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left"/>
      </w:pPr>
      <w:r>
        <w:rPr>
          <w:b/>
          <w:sz w:val="26"/>
        </w:rPr>
        <w:t>BDR-FLEET-READINESS — Executive Brief v0.3 (Draft)</w:t>
      </w:r>
    </w:p>
    <w:p>
      <w:pPr>
        <w:spacing w:after="80"/>
      </w:pPr>
      <w:r>
        <w:rPr>
          <w:i/>
          <w:sz w:val="18"/>
        </w:rPr>
        <w:t>Navy BDAR decision-rehearsal. Five-level progression. Task-order against CACI's existing GSA-wide vehicles. 2026-05-26. Internal exec review, OSI-only.</w:t>
      </w:r>
    </w:p>
    <w:p>
      <w:pPr>
        <w:spacing w:before="100" w:after="40"/>
      </w:pPr>
      <w:r>
        <w:rPr>
          <w:b/>
          <w:sz w:val="22"/>
        </w:rPr>
        <w:t>Bottom Line Up Front</w:t>
      </w:r>
    </w:p>
    <w:p>
      <w:pPr>
        <w:spacing w:after="60"/>
      </w:pPr>
      <w:r>
        <w:t>The Navy has a real wartime-repair problem. The rest of the Defense Department buys related contractor work at multi-hundred-million-dollar scale. The Navy should buy this work too. Today it has not issued a task order for it. That gap is the opportunity.</w:t>
      </w:r>
    </w:p>
    <w:p>
      <w:pPr>
        <w:spacing w:after="60"/>
      </w:pPr>
      <w:r>
        <w:t>Recommendation. CACI should pursue a five-level progression of gamified decision-rehearsal scenarios, starting analog and moving to software at Level 4. The same scenario content serves two audiences: the wardroom at a Navy repair activity preparing to receive a damaged ship, AND the fleet commander deciding where to send her. Port selection is the canonical dual-audience scenario.</w:t>
      </w:r>
    </w:p>
    <w:p>
      <w:pPr>
        <w:spacing w:after="60"/>
      </w:pPr>
      <w:r>
        <w:t>Procurement path is concrete. CACI NSS, LLC already holds GSA OASIS, NITAAC CIO-SP3, and GSA Multiple Award Schedule. The Navy can issue a task order against any of those vehicles. No new contracting infrastructure required. The AFRICOM $194M task order is the precedent — Army funded, GSA awarded, vehicle CACI already held. The Navy equivalent is the same shape with a Navy funder. CACI executives have to pitch the concept directly to PACFLT N7, FLTFORCOM N7, INDOPACOM J7, or SRF-JRMC leadership. The Navy is not running an RFP for this today.</w:t>
      </w:r>
    </w:p>
    <w:p>
      <w:pPr>
        <w:spacing w:before="100" w:after="40"/>
      </w:pPr>
      <w:r>
        <w:rPr>
          <w:b/>
          <w:sz w:val="22"/>
        </w:rPr>
        <w:t>Why It Matters</w:t>
      </w:r>
    </w:p>
    <w:p>
      <w:pPr>
        <w:spacing w:after="40"/>
        <w:ind w:left="216"/>
      </w:pPr>
      <w:r>
        <w:t>• Senior leadership demand signal. CNO Caudle named maintenance a warfighting requirement at HASC on 14 May 2026. The FY27 budget funds $17B for ship maintenance toward an 80% Combat Surge Ready posture. SRF-JRMC ran a wartime-repair exercise with the Philippine Navy at Cebu.</w:t>
      </w:r>
    </w:p>
    <w:p>
      <w:pPr>
        <w:spacing w:after="40"/>
        <w:ind w:left="216"/>
      </w:pPr>
      <w:r>
        <w:t>• DoD buys related contractor work-types at scale. AFRICOM via CACI NSS holds $194M for broad professional services with exercise scope. MDA via Axient holds $234M for missile-defense exercise and wargames. OSD via Parsons holds $557M for real-time decision support to Combatant Commanders. The Navy could plausibly procure any of these. Today it has not.</w:t>
      </w:r>
    </w:p>
    <w:p>
      <w:pPr>
        <w:spacing w:after="40"/>
        <w:ind w:left="216"/>
      </w:pPr>
      <w:r>
        <w:t>• Navy professional community sees the gap. USNI Proceedings published "Fix the Navy's Expeditionary Repair." CIMSEC published "If the U.S. Navy Can't Repair Ships in Peacetime, How Will It Do So in War?" Both reach the customer organizations.</w:t>
      </w:r>
    </w:p>
    <w:p>
      <w:pPr>
        <w:spacing w:after="40"/>
        <w:ind w:left="216"/>
      </w:pPr>
      <w:r>
        <w:t>• Source-grounding caveat. The sources prove the Navy has the problem and the rest of DoD buys related work at scale. The sources do NOT yet prove the Navy has a named procurement line for this sub-product today. The hypothesis is solid. The salesmanship step is real BD work.</w:t>
      </w:r>
    </w:p>
    <w:p>
      <w:pPr>
        <w:spacing w:before="100" w:after="40"/>
      </w:pPr>
      <w:r>
        <w:rPr>
          <w:b/>
          <w:sz w:val="22"/>
        </w:rPr>
        <w:t>The Five-Level Progression</w:t>
      </w:r>
    </w:p>
    <w:p>
      <w:pPr>
        <w:spacing w:after="60"/>
      </w:pPr>
      <w:r>
        <w:t>Start analog. Move to software when scale justifies it. Each level can be procured separately. Each level builds a reference for the next.</w:t>
      </w:r>
    </w:p>
    <w:p>
      <w:pPr>
        <w:spacing w:after="40"/>
        <w:ind w:left="216"/>
      </w:pPr>
      <w:r>
        <w:t>• Level 1. Flash drills. 5 to 15 minutes. One decision on a printed scenario card. Pattern recognition.</w:t>
      </w:r>
    </w:p>
    <w:p>
      <w:pPr>
        <w:spacing w:after="40"/>
        <w:ind w:left="216"/>
      </w:pPr>
      <w:r>
        <w:t>• Level 2. Linked-decision sequences. 30 to 45 minutes. Three to five decisions in a row, each shaping the next.</w:t>
      </w:r>
    </w:p>
    <w:p>
      <w:pPr>
        <w:spacing w:after="40"/>
        <w:ind w:left="216"/>
      </w:pPr>
      <w:r>
        <w:t>• Level 3. Full 1-hour gamified wardroom session. Multi-discipline audience. Turn-based. All six operational-decision moments integrated.</w:t>
      </w:r>
    </w:p>
    <w:p>
      <w:pPr>
        <w:spacing w:after="40"/>
        <w:ind w:left="216"/>
      </w:pPr>
      <w:r>
        <w:t>• Level 4. Multi-session campaign. 2 to 4 hours across a deployment cycle. AI scenario generation pays for itself starting at this level.</w:t>
      </w:r>
    </w:p>
    <w:p>
      <w:pPr>
        <w:spacing w:after="40"/>
        <w:ind w:left="216"/>
      </w:pPr>
      <w:r>
        <w:t>• Level 5. Live exercise injection into COMPTUEX, RIMPAC, Large-Scale Exercise, SWARMEX. Software-driven, federated into Navy synthetic training architecture.</w:t>
      </w:r>
    </w:p>
    <w:p>
      <w:pPr>
        <w:spacing w:before="100" w:after="40"/>
      </w:pPr>
      <w:r>
        <w:rPr>
          <w:b/>
          <w:sz w:val="22"/>
        </w:rPr>
        <w:t>Procurement Path — Task Order Against Existing CACI Vehicles</w:t>
      </w:r>
    </w:p>
    <w:p>
      <w:pPr>
        <w:spacing w:after="60"/>
      </w:pPr>
      <w:r>
        <w:t>This is the sharpest finding from the 2026-05-26 corpus update. CACI NSS, LLC already holds three governmentwide acquisition vehicles open to any federal customer including any Navy command. The Navy can issue a task order against any of these vehicles without standing up a new Navy-specific contract.</w:t>
      </w:r>
    </w:p>
    <w:p>
      <w:pPr>
        <w:spacing w:after="40"/>
        <w:ind w:left="216"/>
      </w:pPr>
      <w:r>
        <w:t>• GSA OASIS — Federal-wide Professional Services contract.</w:t>
      </w:r>
    </w:p>
    <w:p>
      <w:pPr>
        <w:spacing w:after="40"/>
        <w:ind w:left="216"/>
      </w:pPr>
      <w:r>
        <w:t>• NITAAC CIO-SP3 — Information Technology Acquisition and Assessment Center IT services contract.</w:t>
      </w:r>
    </w:p>
    <w:p>
      <w:pPr>
        <w:spacing w:after="40"/>
        <w:ind w:left="216"/>
      </w:pPr>
      <w:r>
        <w:t>• GSA Multiple Award Schedule (GS-35F-349CA).</w:t>
      </w:r>
    </w:p>
    <w:p>
      <w:pPr>
        <w:spacing w:after="60"/>
      </w:pPr>
      <w:r>
        <w:t>The pitch to PACFLT N7 or Fleet Forces N7 is concrete on day one. Here is the work-type. Here is the AFRICOM precedent. Here are the vehicles we already hold. Issue a Level 1 pilot task order. The customer commits no new procurement infrastructure.</w:t>
      </w:r>
    </w:p>
    <w:p>
      <w:pPr>
        <w:spacing w:before="100" w:after="40"/>
      </w:pPr>
      <w:r>
        <w:rPr>
          <w:b/>
          <w:sz w:val="22"/>
        </w:rPr>
        <w:t>Recommendation</w:t>
      </w:r>
    </w:p>
    <w:p>
      <w:pPr>
        <w:spacing w:after="40"/>
        <w:ind w:left="216"/>
      </w:pPr>
      <w:r>
        <w:t>• Pursue the five-level progression. Start at SRF-JRMC if access permits. Otherwise PACFLT or Fleet Forces N7.</w:t>
      </w:r>
    </w:p>
    <w:p>
      <w:pPr>
        <w:spacing w:after="40"/>
        <w:ind w:left="216"/>
      </w:pPr>
      <w:r>
        <w:t>• CACI executives pitch the concept directly. Path runs through proactive engagement with PACFLT N7, FLTFORCOM N7, INDOPACOM J7, NAVSEA 04, or SRF-JRMC leadership. Pitch is a task order against existing OASIS or CIO-SP3 holdings, not a request for a new vehicle.</w:t>
      </w:r>
    </w:p>
    <w:p>
      <w:pPr>
        <w:spacing w:after="40"/>
        <w:ind w:left="216"/>
      </w:pPr>
      <w:r>
        <w:t>• Alternative entry if direct pitching does not produce a task order inside the planning horizon. DIU, SBIR, or STTR pilot for Level 1 or Level 2.</w:t>
      </w:r>
    </w:p>
    <w:p>
      <w:pPr>
        <w:spacing w:after="40"/>
        <w:ind w:left="216"/>
      </w:pPr>
      <w:r>
        <w:t>• Close the FAR 9.5 OCI question before pitch meetings. Decide the HM&amp;E-data bridge approach (partner, internal naval IT, or GFI / ATO). ARKA covers threat-side only.</w:t>
      </w:r>
    </w:p>
    <w:p>
      <w:pPr>
        <w:spacing w:before="100" w:after="40"/>
      </w:pPr>
      <w:r>
        <w:rPr>
          <w:b/>
          <w:sz w:val="22"/>
        </w:rPr>
        <w:t>Top Risks</w:t>
      </w:r>
    </w:p>
    <w:p>
      <w:pPr>
        <w:spacing w:after="40"/>
        <w:ind w:left="216"/>
      </w:pPr>
      <w:r>
        <w:t>• No existing Navy task order. The OASIS / CIO-SP3 finding lowers this risk but does not eliminate it. The Navy still has to decide to issue the task order. If salesmanship fails, entry collapses to DIU / SBIR or subcontract path.</w:t>
      </w:r>
    </w:p>
    <w:p>
      <w:pPr>
        <w:spacing w:after="40"/>
        <w:ind w:left="216"/>
      </w:pPr>
      <w:r>
        <w:t>• Incumbent lockout at the fleet-command exercise-planning layer. Candidate names (Booz Allen, SAIC, HII Mission Technologies, sub-tier players) not yet source-grounded. The next find_sources pass is targeting this gap.</w:t>
      </w:r>
    </w:p>
    <w:p>
      <w:pPr>
        <w:spacing w:after="40"/>
        <w:ind w:left="216"/>
      </w:pPr>
      <w:r>
        <w:t>• FAR 9.5 OCI given operator-side knowledge of contractor exercise planners at SRF-JRMC. Owner: operator. Outcome may change the recommendation shape.</w:t>
      </w:r>
    </w:p>
    <w:p>
      <w:pPr>
        <w:spacing w:before="100" w:after="40"/>
      </w:pPr>
      <w:r>
        <w:rPr>
          <w:b/>
          <w:sz w:val="22"/>
        </w:rPr>
        <w:t>Asks</w:t>
      </w:r>
    </w:p>
    <w:p>
      <w:pPr>
        <w:spacing w:after="40"/>
        <w:ind w:left="216"/>
      </w:pPr>
      <w:r>
        <w:t>• Authorize next find_sources pass to map fleet-command exercise-planning incumbents at PACFLT N7, FLTFORCOM N7, INDOPACOM J7, and SRF-JRMC.</w:t>
      </w:r>
    </w:p>
    <w:p>
      <w:pPr>
        <w:spacing w:after="40"/>
        <w:ind w:left="216"/>
      </w:pPr>
      <w:r>
        <w:t>• Decide the HM&amp;E-data bridge approach. Partner, internal naval IT, or GFI / ATO.</w:t>
      </w:r>
    </w:p>
    <w:p>
      <w:pPr>
        <w:spacing w:after="40"/>
        <w:ind w:left="216"/>
      </w:pPr>
      <w:r>
        <w:t>• Close the FAR 9.5 OCI analysis.</w:t>
      </w:r>
    </w:p>
    <w:p>
      <w:pPr>
        <w:spacing w:after="40"/>
        <w:ind w:left="216"/>
      </w:pPr>
      <w:r>
        <w:t>• Authorize CACI executive engagement with Navy leadership at the named commands. Pitch is task-order against OASIS or CIO-SP3, not new-vehicle creation.</w:t>
      </w:r>
    </w:p>
    <w:p>
      <w:pPr>
        <w:spacing w:before="100"/>
      </w:pPr>
      <w:r>
        <w:rPr>
          <w:i/>
          <w:sz w:val="16"/>
        </w:rPr>
        <w:t>v0.3 built 2026-05-26 from sealed §§1, 3, 4, 5, 6, 7 and §11.3 five-level progression of 00_research-file.md. Updates from v0.2: five-level progression made primary; three federal-contract precedents differentiated by work-type; OASIS / CIO-SP3 / GSA MAS task-order procurement path surfaced; dual-audience scenario design made explicit. Capture brief v0.2 is the long-form companion.</w:t>
      </w:r>
    </w:p>
    <w:sectPr w:rsidR="00FC693F" w:rsidRPr="0006063C" w:rsidSect="00034616">
      <w:pgSz w:w="12240" w:h="15840"/>
      <w:pgMar w:top="648" w:right="792" w:bottom="648"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