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sz w:val="44"/>
        </w:rPr>
        <w:t>CAPTURE BRIEF v0.9 DRAFT</w:t>
        <w:br/>
        <w:br/>
        <w:t>BDR-FLEET-READINESS</w:t>
        <w:br/>
        <w:br/>
        <w:t>Five-level analog-first progression of gamified decision-rehearsal scenarios for U.S. Navy Battle Damage Assessment and Repair (BDAR) teams and the fleet commanders they support</w:t>
        <w:br/>
        <w:br/>
        <w:t>Draft date: 2026-07-28  |  For CACI executive review (open-source only).</w:t>
        <w:br/>
        <w:br/>
        <w:t>Changes in v0.9: corrects an over-claim. Earlier versions said SWRMC and SRF-JRMC were running the container mission. Public sources do not support that. They support SWRMC having built and pre-staged the capability and operating it into a theater where SRF-JRMC holds the Area Maintenance Commander role. Who owns the mission is not established, which is consistent with the RAND finding rather than in tension with it. Section 2.7 states what is not known. v0.8 added the RAND tabletop-exercise report on battle damage repair for Arleigh Burke destroyers (RR-A470-9, 27 May 2026) as new section 2.6. Its leading finding is ambiguous command and control, and two of its five Navy recommendations are training and exercise recommendations, which corroborates the coordination-seam argument from an independent direction. The bottom line and the caveat in section 8.5 are updated, and the study sponsor is added as a payer lead in section 7.</w:t>
        <w:br/>
      </w:r>
      <w:r>
        <w:rPr>
          <w:b/>
          <w:sz w:val="36"/>
        </w:rPr>
      </w:r>
      <w:r>
        <w:rPr>
          <w:i/>
          <w:sz w:val="26"/>
        </w:rPr>
      </w:r>
      <w:r>
        <w:rPr>
          <w:sz w:val="20"/>
        </w:rPr>
      </w:r>
      <w:r>
        <w:rPr>
          <w:i/>
          <w:sz w:val="18"/>
        </w:rPr>
      </w:r>
    </w:p>
    <w:p>
      <w:r>
        <w:br w:type="page"/>
      </w:r>
    </w:p>
    <w:p>
      <w:pPr>
        <w:spacing w:before="360" w:after="120"/>
      </w:pPr>
      <w:r>
        <w:rPr>
          <w:b/>
          <w:sz w:val="36"/>
        </w:rPr>
        <w:t>1. Bottom Line Up Front</w:t>
      </w:r>
    </w:p>
    <w:p>
      <w:pPr>
        <w:spacing w:after="120"/>
      </w:pPr>
      <w:r>
        <w:t>Two independent sources published seven weeks apart describe the same problem from opposite ends. In May 2026 RAND reported the results of a two-day tabletop exercise on repairing battle-damaged Arleigh Burke destroyers in a Pacific conflict, and its leading finding was that existing Navy battle-damage-repair systems are burdened by outdated peacetime frameworks and ambiguous command-and-control structures. In June 2026 the Executive Director of Southwest Regional Maintenance Center (SWRMC) told an industry conference that the Navy has no repair tenders for the surface fleet and no plan to build any, so his command has pre-staged roughly 50 expeditionary maintenance containers across the Pacific as the substitute. He identified Ship Repair Facility Japan Regional Maintenance Center (SRF-JRMC) as the Area Maintenance Commander coordinating the deployments, and he said the mission is unfunded. RAND recommends the Navy expand organic repair capability and ensure deployed personnel are familiar with rapidly deploying it. The Navy is visibly doing the first half. The materiel is being positioned across the theater, the decisions that would route a damaged ship to it have not been rehearsed, and the command relationship RAND says is ambiguous is the one SWRMC and SRF-JRMC are operating under. That is what this brief proposes to sell into.</w:t>
      </w:r>
    </w:p>
    <w:p>
      <w:pPr>
        <w:spacing w:after="120"/>
      </w:pPr>
      <w:r>
        <w:t>The proposed product is a five-level progression of gamified decision-rehearsal scenarios. Level 1 is a five- to fifteen-minute flash drill on a printed scenario card. Level 2 is a thirty- to forty-five-minute linked-decision sequence. Level 3 is the full one-hour gamified wardroom session that integrates the six operational-decision moments. Level 4 is a two- to four-hour multi-session campaign across a deployment cycle. Level 5 is software-driven scenario injection into live fleet exercises. The progression starts analog and moves to software at Level 4, where artificial intelligence (AI) scenario generation is justified by scale. The same scenario content serves two audiences: the wardroom at a Navy repair activity preparing to receive a damaged ship, and the fleet commander deciding where to send her. Port selection is the canonical scenario serving both audiences.</w:t>
      </w:r>
    </w:p>
    <w:p>
      <w:pPr>
        <w:spacing w:after="120"/>
      </w:pPr>
      <w:r>
        <w:t>The proposed procurement path uses contracting vehicles CACI already holds. CACI National Security Solutions, LLC (CACI NSS, LLC) is a CACI subsidiary that holds three governmentwide acquisition vehicles open to any federal customer including any U.S. Navy command: General Services Administration (GSA) One Acquisition Solution for Integrated Services (OASIS); the National Institutes of Health Information Technology Acquisition and Assessment Center Chief Information Officer–Solutions and Partners 3 contract (NITAAC CIO-SP3); and GSA Multiple Award Schedule (MAS). The Navy could issue a task order against any of these vehicles without standing up a new Navy-specific contract. The $194 million task order CACI NSS, LLC currently holds for support to U.S. Africa Command (AFRICOM) is the precedent.</w:t>
      </w:r>
    </w:p>
    <w:p>
      <w:pPr>
        <w:spacing w:after="120"/>
      </w:pPr>
      <w:r>
        <w:t>Section 7 carries the recommendation. It asks CACI leadership to fund a low-cost discovery engagement with SWRMC or SRF-JRMC, and to commit proposal money only if that engagement identifies who would pay. The Navy is not running a solicitation for this work. Procurement would require a fleet command or type commander to issue a task order against a vehicle CACI already holds. An alternative entry runs through the Defense Innovation Unit (DIU), Small Business Innovation Research (SBIR), or Small Business Technology Transfer (STTR) at smaller scale.</w:t>
      </w:r>
    </w:p>
    <w:p>
      <w:r>
        <w:br w:type="page"/>
      </w:r>
    </w:p>
    <w:p>
      <w:pPr>
        <w:spacing w:before="360" w:after="120"/>
      </w:pPr>
      <w:r>
        <w:rPr>
          <w:b/>
          <w:sz w:val="36"/>
        </w:rPr>
        <w:t>2. Demand signal</w:t>
      </w:r>
    </w:p>
    <w:p>
      <w:pPr>
        <w:spacing w:after="120"/>
      </w:pPr>
      <w:r>
        <w:t>Six signals point at the demand, and they are not equal. Four are context: senior Navy leadership is committing budget to wartime repair readiness, the Navy is running the relevant exercise type in the relevant venue, the professional community is arguing the gap is real, and the rest of the Department of Defense buys adjacent work at scale. Two are different in kind. A federally sponsored RAND study ran the exercise and published what is missing, and a Navy command is executing part of the fix today and said so in public. Sections 2.5 and 2.6 carry those two, and together they do most of the work in this brief.</w:t>
      </w:r>
    </w:p>
    <w:p>
      <w:pPr>
        <w:spacing w:before="240" w:after="80"/>
      </w:pPr>
      <w:r>
        <w:rPr>
          <w:b/>
          <w:sz w:val="28"/>
        </w:rPr>
        <w:t>2.1 Senior-leadership signal</w:t>
      </w:r>
    </w:p>
    <w:p>
      <w:pPr>
        <w:spacing w:after="120"/>
      </w:pPr>
      <w:r>
        <w:t>Admiral Daryl L. Caudle, Chief of Naval Operations (CNO), delivered a Statement on the Posture of the United States Navy before the House Armed Services Committee (HASC) on 14 May 2026, naming maintenance a warfighting requirement and announcing a planned deliberate study of Navy yard capacity. The Department of the Navy Fiscal Year 2027 (FY27) President's Budget Press Brief funds Ship Maintenance at $17.0 billion explicitly to drive the fleet toward an 80-percent Combat Surge Ready (CSR) posture. The same brief includes a separate $0.6 billion Contested Logistics line item, justified because adversaries will target supply lines, ports, and communications. Thirty-seven ships are listed as Forward Deployed Naval Forces (FDNF).</w:t>
      </w:r>
    </w:p>
    <w:p>
      <w:pPr>
        <w:spacing w:before="240" w:after="80"/>
      </w:pPr>
      <w:r>
        <w:rPr>
          <w:b/>
          <w:sz w:val="28"/>
        </w:rPr>
        <w:t>2.2 Navy exercise events: the Ship Wartime Repair and Maintenance Exercise at Cebu</w:t>
      </w:r>
    </w:p>
    <w:p>
      <w:pPr>
        <w:spacing w:after="120"/>
      </w:pPr>
      <w:r>
        <w:t>The Ship Repair Facility–Japan Regional Maintenance Center (SRF-JRMC), U.S. Seventh Fleet, U.S. Indo-Pacific Command (USINDOPACOM), and U.S. Pacific Fleet (COMPACFLT) all published parallel releases announcing that USS Ashland (Landing Ship Dock 48) completed the Ship Wartime Repair and Maintenance Exercise (SWARMEX) at Cebu, Philippines in coordination with Philippine Navy partners and local Philippine contractors. The exercise involved an amphibious warfare ship operating at a foreign port, host-nation contractor coordination for repair work, and Philippine Naval Sea Systems Command participation. The exercise structure aligns with three of the six operational-decision moments the proposed product addresses: forward team mobilization, foreign-port emergency contracting, and host-nation legal framework navigation.</w:t>
      </w:r>
    </w:p>
    <w:p>
      <w:pPr>
        <w:spacing w:before="240" w:after="80"/>
      </w:pPr>
      <w:r>
        <w:rPr>
          <w:b/>
          <w:sz w:val="28"/>
        </w:rPr>
        <w:t>2.3 Policy-community pressure</w:t>
      </w:r>
    </w:p>
    <w:p>
      <w:pPr>
        <w:spacing w:after="120"/>
      </w:pPr>
      <w:r>
        <w:t>The U.S. Naval Institute (USNI) Proceedings published "Fix the Navy's Expeditionary Repair," arguing current expeditionary repair capability is inadequate to support fleet operations under wartime contestation. The Center for International Maritime Security (CIMSEC) published "If the U.S. Navy Can't Repair Ships in Peacetime, How Will It Do So in War?", arguing current peacetime repair throughput is the floor and wartime throughput needs to be higher. Both publications reach the customer organizations.</w:t>
      </w:r>
    </w:p>
    <w:p>
      <w:pPr>
        <w:spacing w:before="240" w:after="80"/>
      </w:pPr>
      <w:r>
        <w:rPr>
          <w:b/>
          <w:sz w:val="28"/>
        </w:rPr>
        <w:t>2.4 Three distinct procurement precedents</w:t>
      </w:r>
    </w:p>
    <w:p>
      <w:pPr>
        <w:spacing w:after="120"/>
      </w:pPr>
      <w:r>
        <w:t>Earlier drafts of this brief lumped three federal contracts together as evidence the DoD buys exercise design at scale. That was imprecise. The three contracts split into three distinct work-types, and each tells the reader something different.</w:t>
      </w:r>
    </w:p>
    <w:p>
      <w:pPr>
        <w:spacing w:after="120"/>
      </w:pPr>
      <w:r>
        <w:t>**CACI NSS, LLC at AFRICOM.** $194 million task order for broad professional services to AFRICOM with exercise, training, and operations support as named scope. Department of Defense / Department of the Army funder. Awarded by the GSA Federal Acquisition Service against parent contract GS00Q14OADU121, GSA OASIS Pool 1. This is the closest analog to the proposed product's work-type. It is also the strongest single piece of evidence that CACI has executed the same kind of work at a scale of hundreds of millions of dollars at a sister Combatant Command.</w:t>
      </w:r>
    </w:p>
    <w:p>
      <w:pPr>
        <w:spacing w:after="120"/>
      </w:pPr>
      <w:r>
        <w:t>**Parsons Government Services Inc. at the Office of the Secretary of Defense (OSD).** $556.8 million Command, Control, Communications, Computers, Combat Systems, Intelligence, Surveillance, Reconnaissance, and Targeting / Exercises / Operations / Information Services (CEOIS) task order, providing near real-time situational awareness and decision support to the DoD Combatant Commands. This is decision support for active operations, not exercise design. Software and contractor staff embedded at the Combatant Commands. A different work-type than the proposed product, but adjacent.</w:t>
      </w:r>
    </w:p>
    <w:p>
      <w:pPr>
        <w:spacing w:after="120"/>
      </w:pPr>
      <w:r>
        <w:t>**Axient LLC at the Missile Defense Agency (MDA).** $233.8 million Test, Exercise and Wargames Support contract. Exercise and wargames work for missile defense testing and operator training. Same work-type as the proposed product, but in a different domain. Closest single precedent for a DoD agency procuring a large exercise-and-wargames contract through one named vehicle.</w:t>
      </w:r>
    </w:p>
    <w:p>
      <w:pPr>
        <w:spacing w:after="120"/>
      </w:pPr>
      <w:r>
        <w:t>What the three together suggest. The DoD procures the proposed-product work-type at scale via CACI NSS, LLC at AFRICOM and via Axient at MDA. The DoD procures the adjacent decision-support work-type at scale via Parsons at OSD. The Navy could plausibly procure either or both work-types. As of this draft date, the Navy has not done so under a named vehicle visible in the public record. A targeted source-finding pass for Navy fleet-command exercise-planning contracts was initiated 2026-05-26; results will inform later brief versions.</w:t>
      </w:r>
    </w:p>
    <w:p>
      <w:r>
        <w:br w:type="page"/>
      </w:r>
    </w:p>
    <w:p>
      <w:r>
        <w:rPr>
          <w:b/>
          <w:sz w:val="28"/>
        </w:rPr>
        <w:t>2.5 The SWRMC Pacific expeditionary maintenance container program</w:t>
      </w:r>
    </w:p>
    <w:p>
      <w:r>
        <w:t>The strongest evidence in this brief came from the customer. On 4 June 2026 John Robinson, Executive Director of Southwest Regional Maintenance Center, gave the closing keynote at the MegaRust 2026 conference and described a Pacific battle damage repair capability his command has built.</w:t>
      </w:r>
    </w:p>
    <w:p>
      <w:r>
        <w:t>FACT. Robinson stated that repair tenders for the surface force do not exist and that no tender plan exists for the foreseeable future. In their place SWRMC has pre-staged approximately 50 expeditionary maintenance containers across the Pacific theater for battle damage repair on surface ships. Containers either sit pre-positioned or move to an austere location, and are activated by SWRMC sailors and civilians flown out from San Diego. The program currently supports single-ship deployments of roughly two weeks. Robinson named Pat McDermott as the officer driving it. [MegaRust 2026 trip report, Day 3 keynote, 4 June 2026]</w:t>
      </w:r>
    </w:p>
    <w:p>
      <w:r>
        <w:t>FACT. Robinson stated that SWRMC sends project teams for contract oversight and works through Ship Repair Facility Japan Regional Maintenance Center, which he identified as the Area Maintenance Commander in the Western Pacific, to support the container deployments. [MegaRust 2026 trip report, Day 3 keynote, 4 June 2026]</w:t>
      </w:r>
    </w:p>
    <w:p>
      <w:r>
        <w:t>FACT. Robinson stated that the mission is unfunded. [MegaRust 2026 trip report, Day 3 keynote, 4 June 2026]</w:t>
      </w:r>
    </w:p>
    <w:p>
      <w:r>
        <w:t>Assessment. Three things follow, and one thing deliberately does not. The demand for wartime repair capability in the Pacific is no longer an inference drawn from budget testimony and journal articles, because a command has built a physical capability and said so on the record. The customer set this brief already proposed contains the most visible executor, which shortens the engagement plan. And the opening the product addresses is visible: the division of work between SWRMC and SRF-JRMC on the container capability, and on the related battle damage exercises, was not described in the keynote and does not appear in any public source. What does not follow is that these two commands own the mission. See section 2.7.</w:t>
      </w:r>
    </w:p>
    <w:p>
      <w:r>
        <w:t>Assessment, and it cuts against the opportunity. An unfunded mission has no money to buy training. The organization most likely to want this product is the one least able to pay for it today. That does not make the opportunity false, but it moves the central question from whether the Navy needs this to whose budget would carry it. Section 8.6 treats that as a risk rather than a footnote.</w:t>
      </w:r>
    </w:p>
    <w:p>
      <w:r>
        <w:rPr>
          <w:b/>
          <w:sz w:val="28"/>
        </w:rPr>
        <w:t>2.6 The RAND tabletop exercise on battle damage repair</w:t>
      </w:r>
    </w:p>
    <w:p>
      <w:r>
        <w:t>In May 2026 RAND published the results of a tabletop exercise on repairing battle-damaged Arleigh Burke destroyers in a Pacific conflict. It is the most directly on-point public source in this brief, and it was sponsored by the Office of the Assistant Secretary of War for Sustainment.</w:t>
      </w:r>
    </w:p>
    <w:p>
      <w:r>
        <w:t>FACT. RAND conducted the exercise on 13 and 14 August 2025 with participants from the United States and allied Indo-Pacific nations, split into four groups representing the stakeholders who would be involved in repairs. It ran four vignettes in which ships, including DDG-51s, were damaged and required repair, and it examined the capabilities required, the implied command-and-control arrangements, partner nations’ roles, and the organic capabilities the Navy could deploy. [RAND RR-A470-9, 27 May 2026]</w:t>
      </w:r>
    </w:p>
    <w:p>
      <w:r>
        <w:t>FACT. RAND’s leading takeaway is that existing U.S. Navy systems for battle-damage repair are burdened by outdated peacetime frameworks and ambiguous command-and-control structures during conflict. It also found that the Navy’s organic repair capabilities are sufficient only for limited repairs to combat systems and for repairs that allow ships to transit back to the United States. [RAND RR-A470-9, 27 May 2026]</w:t>
      </w:r>
    </w:p>
    <w:p>
      <w:r>
        <w:t>FACT. Two of RAND’s five recommendations to the Navy bear directly on this brief. The Navy should institutionalize command and control by clarifying authority, streamlining communications and defining approval chains during crisis and conflict. And the Navy should expand organic repair capabilities and ensure that all deployed personnel are familiar with rapidly deploying those capabilities. A third recommends anchoring exercises to strategic objectives. [RAND RR-A470-9, 27 May 2026]</w:t>
      </w:r>
    </w:p>
    <w:p>
      <w:r>
        <w:t>Assessment. The coordination-seam argument in section 2.5 was an inference drawn from what the SWRMC keynote did not say. It is no longer an inference. RAND names ambiguous command and control as the leading problem, from an exercise with allied participants, in a peer-reviewed report paid for by an office of the Secretariat.</w:t>
      </w:r>
    </w:p>
    <w:p>
      <w:r>
        <w:t>Assessment, and it is the sharpest point in this brief. RAND recommends expanding organic repair capability and ensuring deployed personnel are familiar with rapidly deploying it, in a single sentence. SWRMC has built the capability. Fifty containers are pre-staged across the theater. The familiarity half is unaddressed, and the familiarity half is this product. The Navy is executing one half of a two-part recommendation.</w:t>
      </w:r>
    </w:p>
    <w:p>
      <w:r>
        <w:t>Assessment on method. RAND reached its conclusions by running a two-day tabletop exercise. The most authoritative public treatment of this problem used the technique this brief proposes to sell, once, to discover that the Navy is not ready. Discovery is not rehearsal. The commands that would actually execute the mission were not the ones in RAND’s room, and a finding published in a report does not transfer to a wardroom that has never made the decision under time pressure.</w:t>
      </w:r>
    </w:p>
    <w:p>
      <w:r>
        <w:t>Assessment on funding, and it is a lead rather than a conclusion. The study sponsor is the Office of the Assistant Secretary of War for Sustainment, Product Support office. Since the container mission itself is unfunded, an office that already paid for analysis of this exact problem is a more plausible first call than the fleet commands. Whether it has money for training rather than analysis is unknown, and nothing here supports a guess either way. Section 7 carries it as a Phase 1 target.</w:t>
      </w:r>
    </w:p>
    <w:p>
      <w:r>
        <w:rPr>
          <w:b/>
          <w:sz w:val="28"/>
        </w:rPr>
        <w:t>2.7 What the sources do not establish: who owns this mission</w:t>
      </w:r>
    </w:p>
    <w:p>
      <w:r>
        <w:t>Earlier versions of this brief said SWRMC and SRF-JRMC were running the container mission. That went further than the evidence, and the correction matters because the over-claim quietly contradicted the argument the brief is built on.</w:t>
      </w:r>
    </w:p>
    <w:p>
      <w:r>
        <w:t>What the sources support. SWRMC built and pre-staged the containers. SWRMC sends project teams out for contract oversight. SWRMC works through SRF-JRMC, which Robinson identified as the Area Maintenance Commander in the Western Pacific. Pat McDermott drives the program and Robinson did not describe his organizational position. The mission is unfunded.</w:t>
      </w:r>
    </w:p>
    <w:p>
      <w:r>
        <w:t>What they do not support. That either command owns the mission. A command that builds a capability and deploys teams into another command’s area is a visible executor, not necessarily the owner. Several other organizations plausibly hold a piece and are absent from the public record on this: Commander, Navy Regional Maintenance Center as the parent of the RMCs, NAVSEA 04 at the systems-command level, the fleet commander who would own the readiness requirement, MARMC on the Atlantic side, and whoever owns the Expeditionary Mobile Repair Facility concept that RAND recommends. SWRMC is simply the piece that gave a public keynote.</w:t>
      </w:r>
    </w:p>
    <w:p>
      <w:r>
        <w:t>Assessment, and this strengthens the case rather than weakening it. RAND’s leading finding is that command-and-control structures for battle damage repair are ambiguous. A brief that then names the owner would be contradicting its own central source. The honest reading is that the public record shows a capability being built, a theater command coordinating it, an unfunded mission, and no discernible owner. That is what ambiguous command and control looks like from the outside.</w:t>
      </w:r>
    </w:p>
    <w:p>
      <w:r>
        <w:t>Consequence for engagement. Phase 1 cannot open by pitching the mission owner, because nobody outside can identify one. It opens by establishing who owns the decisions, which is a question the customer will recognize as real and which the product exists to rehearse. If discovery finds a clear owner, the brief was too cautious and the engagement gets simpler. If it finds the seam RAND describes, that is the sale.</w:t>
      </w:r>
    </w:p>
    <w:p>
      <w:pPr>
        <w:spacing w:before="360" w:after="120"/>
      </w:pPr>
      <w:r>
        <w:rPr>
          <w:b/>
          <w:sz w:val="36"/>
        </w:rPr>
        <w:t>3. Customer landscape</w:t>
      </w:r>
    </w:p>
    <w:p>
      <w:pPr>
        <w:spacing w:after="120"/>
      </w:pPr>
      <w:r>
        <w:t>The candidate customer set for the proposed product is layered. Strategic direction sits with the Secretary of the Navy (SECNAV) and CNO. They set priorities and authorize budget but do not procure the product directly. The repair-activity layer is the four public naval shipyards: Norfolk Naval Shipyard (NNSY), Puget Sound Naval Shipyard (PSNS), Pearl Harbor Naval Shipyard (PHNS), and Portsmouth Naval Shipyard (PNSY); plus the Regional Maintenance Centers (RMCs), including the forward-deployed SRF-JRMC; plus Commander, Navy Regional Maintenance Center (CNRMC) as the parent command. The doctrinal authority is Naval Warfare Development Center (NWDC). The fleet-command training-authority layer is Commander, U.S. Fleet Forces Command (FLTFORCOM); COMPACFLT; Commander, Naval Surface Forces (COMNAVSURFOR); and the U.S. Indo-Pacific Command Joint Operations Directorate (INDOPACOM J7).</w:t>
      </w:r>
    </w:p>
    <w:p>
      <w:pPr>
        <w:spacing w:before="240" w:after="80"/>
      </w:pPr>
      <w:r>
        <w:rPr>
          <w:b/>
          <w:sz w:val="28"/>
        </w:rPr>
        <w:t>3.1 Two audiences for the same scenario base</w:t>
      </w:r>
    </w:p>
    <w:p>
      <w:pPr>
        <w:spacing w:after="120"/>
      </w:pPr>
      <w:r>
        <w:t>The proposed product serves two audiences with the same scenario content. The repair-activity wardroom (the commanding officer of the shipyard, the executive officer of the RMC, the SRF-JRMC commander, plus department heads and visiting fleet liaisons) prepares to receive a damaged ship and mobilize against the work. The fleet commander (the tactical operator who owns the ship) decides where to send the damaged ship in the first place. Same scenario content. Different decision-maker focus.</w:t>
      </w:r>
    </w:p>
    <w:p>
      <w:pPr>
        <w:spacing w:after="120"/>
      </w:pPr>
      <w:r>
        <w:t>Port selection is the canonical dual-audience scenario. A destroyer takes shock damage 800 miles from three friendly ports. The fleet commander weighs proximity, repair capability, security posture and alliance access, then picks the port. The repair-activity wardroom at the chosen port then runs the same scenario from the receiving end. receive the ship, stage the repair team, hire local welders, handle customs. The product can run as a wardroom exercise at the receiving end (typically Level 3) or as a fleet-commander decision rehearsal at the sending end (Level 1 or Level 3 depending on the customer's preferred format).</w:t>
      </w:r>
    </w:p>
    <w:p>
      <w:pPr>
        <w:spacing w:before="240" w:after="80"/>
      </w:pPr>
      <w:r>
        <w:rPr>
          <w:b/>
          <w:sz w:val="28"/>
        </w:rPr>
        <w:t>3.2 Procurement model: end-user separate from contracting authority</w:t>
      </w:r>
    </w:p>
    <w:p>
      <w:pPr>
        <w:spacing w:after="120"/>
      </w:pPr>
      <w:r>
        <w:t>The operationally-most-exposed end-user (SRF-JRMC) is not necessarily the contracting authority. SRF-JRMC operates with Operations and Maintenance (O&amp;M) dollars to fix forward-deployed ships. It does not typically possess the Research, Development, Test, and Evaluation (RDT&amp;E) or Other Procurement, Navy (OPN) budget authority needed for a net-new software platform. The capture model in this brief decouples the two layers. SRF-JRMC sponsors the operational requirement. PACFLT N7 or N4, or FLTFORCOM N7 or N4, holds the contracting authority and the right budget color.</w:t>
      </w:r>
    </w:p>
    <w:p>
      <w:pPr>
        <w:spacing w:before="160" w:after="40"/>
      </w:pPr>
      <w:r>
        <w:rPr>
          <w:b/>
          <w:sz w:val="24"/>
        </w:rPr>
        <w:t>End-user / sponsor ranking</w:t>
      </w:r>
    </w:p>
    <w:p>
      <w:pPr>
        <w:spacing w:after="60"/>
        <w:ind w:left="360"/>
      </w:pPr>
      <w:r>
        <w:t>• SRF-JRMC wartime readiness cell. Forward-deployed, audience and venue match the product.</w:t>
      </w:r>
    </w:p>
    <w:p>
      <w:pPr>
        <w:spacing w:after="60"/>
        <w:ind w:left="360"/>
      </w:pPr>
      <w:r>
        <w:t>• CNRMC plus subordinate RMCs plus Surface Team One (ST1). Navy-wide repair-activity layer.</w:t>
      </w:r>
    </w:p>
    <w:p>
      <w:pPr>
        <w:spacing w:after="60"/>
        <w:ind w:left="360"/>
      </w:pPr>
      <w:r>
        <w:t>• Public naval shipyards (NNSY, PSNS, PHNS, PNSY). Heaviest infrastructure investment, longer procurement cycles.</w:t>
      </w:r>
    </w:p>
    <w:p>
      <w:pPr>
        <w:spacing w:before="160" w:after="40"/>
      </w:pPr>
      <w:r>
        <w:rPr>
          <w:b/>
          <w:sz w:val="24"/>
        </w:rPr>
        <w:t>Contracting-authority ranking: task order against an existing CACI vehicle</w:t>
      </w:r>
    </w:p>
    <w:p>
      <w:pPr>
        <w:spacing w:after="60"/>
        <w:ind w:left="360"/>
      </w:pPr>
      <w:r>
        <w:t>• PACFLT N7 / N4 or FLTFORCOM N7 / N4. Owns the fleet-exercise rhythm; could issue a task order against CACI NSS, LLC's existing OASIS or CIO-SP3 holdings.</w:t>
      </w:r>
    </w:p>
    <w:p>
      <w:pPr>
        <w:spacing w:after="60"/>
        <w:ind w:left="360"/>
      </w:pPr>
      <w:r>
        <w:t>• INDOPACOM J7. Owns joint multi-domain exercise procurement; same task-order path against the same vehicles.</w:t>
      </w:r>
    </w:p>
    <w:p>
      <w:pPr>
        <w:spacing w:after="60"/>
        <w:ind w:left="360"/>
      </w:pPr>
      <w:r>
        <w:t>• DIU, SBIR, or STTR. Alternative entry if direct task-order pitch does not produce procurement inside the planning horizon.</w:t>
      </w:r>
    </w:p>
    <w:p>
      <w:pPr>
        <w:spacing w:after="60"/>
        <w:ind w:left="360"/>
      </w:pPr>
      <w:r>
        <w:t>• Naval Sea Systems Command Logistics, Maintenance, and Industrial Operations Directorate (NAVSEA 04), which sits above PAE Industrial Operations (PAE-IO), or Program Executive Office Integrated Warfare Systems (PEO IWS). Navy Systems Command (SYSCOM) level authority; longer cycle but applicable if the product enters as part of a program of record.</w:t>
      </w:r>
    </w:p>
    <w:p>
      <w:r>
        <w:br w:type="page"/>
      </w:r>
    </w:p>
    <w:p>
      <w:pPr>
        <w:spacing w:before="360" w:after="120"/>
      </w:pPr>
      <w:r>
        <w:rPr>
          <w:b/>
          <w:sz w:val="36"/>
        </w:rPr>
        <w:t>4. Competitive landscape</w:t>
      </w:r>
    </w:p>
    <w:p>
      <w:pPr>
        <w:spacing w:after="120"/>
      </w:pPr>
      <w:r>
        <w:t>The competitive picture has four layers. Cross-customer exercise, wargames, and decision-support incumbents at federal scale. Navy training-systems incumbents adjacent but not directly competitive. Fleet-command exercise-planning incumbents under-mapped in public sources but the most-likely direct-competition layer. Navy professional-services incumbents at the proposed-product customer.</w:t>
      </w:r>
    </w:p>
    <w:p>
      <w:pPr>
        <w:spacing w:before="240" w:after="80"/>
      </w:pPr>
      <w:r>
        <w:rPr>
          <w:b/>
          <w:sz w:val="28"/>
        </w:rPr>
        <w:t>4.1 Three distinct adjacent-work-type incumbents</w:t>
      </w:r>
    </w:p>
    <w:p>
      <w:pPr>
        <w:spacing w:after="120"/>
      </w:pPr>
      <w:r>
        <w:t>Per section 2.4 above, the three federal-contract precedents are three distinct work-types. CACI itself is the dominant incumbent in the closest analog via CACI NSS, LLC at AFRICOM. Parsons holds the OSD decision-support work. Axient holds the MDA missile-defense wargames work. None of the three are direct competitors for the proposed product at the Navy repair-activity level. CACI NSS, LLC is the same-vendor capability-lineage anchor. Parsons and Axient are procurement-precedents only.</w:t>
      </w:r>
    </w:p>
    <w:p>
      <w:pPr>
        <w:spacing w:before="240" w:after="80"/>
      </w:pPr>
      <w:r>
        <w:rPr>
          <w:b/>
          <w:sz w:val="28"/>
        </w:rPr>
        <w:t>4.2 Navy training-systems incumbents: adjacent scope, not direct competition</w:t>
      </w:r>
    </w:p>
    <w:p>
      <w:pPr>
        <w:spacing w:after="120"/>
      </w:pPr>
      <w:r>
        <w:t>On 31 March 2026 the Navy modified the Naval Air Warfare Center Training Systems Division (NAWCTSD) training-systems support Indefinite Delivery / Indefinite Quantity (IDIQ) contract to add $1.2 billion in ceiling, raising total contract value to $2.51 billion. Nine prime contractors compete for task orders: BGI–Aero Simulation Joint Venture (JV), CAE USA, Delaware Resource Group of Oklahoma, Engineering Support Personnel, Fidelity Technologies, FlightSafety Defense, LB&amp;B Associates, LTSS JV, and Valiant Global Defense Services. The work is simulator sustainment and instructional services, not the proposed-product work-type. The nine primes have Navy training relationships, contracting vehicles, and installation access, but are adjacent incumbents rather than direct competitors at the proposed-product level.</w:t>
      </w:r>
    </w:p>
    <w:p>
      <w:pPr>
        <w:spacing w:before="240" w:after="80"/>
      </w:pPr>
      <w:r>
        <w:rPr>
          <w:b/>
          <w:sz w:val="28"/>
        </w:rPr>
        <w:t>4.3 Fleet-command exercise-planning incumbents: under-mapped layer</w:t>
      </w:r>
    </w:p>
    <w:p>
      <w:pPr>
        <w:spacing w:after="120"/>
      </w:pPr>
      <w:r>
        <w:t>The fleet-command exercise authorities (FLTFORCOM N7, PACFLT N7, INDOPACOM J7, and SRF-JRMC's wartime-readiness cell) procure exercise-planning support for Composite Training Unit Exercise (COMPTUEX), the Rim of the Pacific Exercise (RIMPAC), the Navy Large-Scale Exercise (LSE) series, the Ship Wartime Repair and Maintenance Exercise (SWARMEX) program, and unit-level workups. Three credible candidate incumbents are now source-grounded at adjacent Navy customers. SAIC at $120M Navy Tactical Training War Game Support (NAVSUP, 2024); HII Mission Technologies at $267M Navy training multiple-award IDIQ (2025) plus $75M Aegis live-virtual-constructive task order (2024); and Booz Allen Hamilton at the Indo-Pacific defense-services portfolio level. Whether these primes pivot capability into FLTFORCOM N7, PACFLT N7, INDOPACOM J7, or SRF-JRMC specifically depends on whether they identify the fleet-command exercise-planning procurement pathway and commit capability into it. The specific incumbent subset at those N7 contracting offices is the open research question for the next find_sources pass; specialized exercise-design sub-tier firms exist alongside the named primes and remain to be source-grounded.</w:t>
      </w:r>
    </w:p>
    <w:p>
      <w:pPr>
        <w:spacing w:before="240" w:after="80"/>
      </w:pPr>
      <w:r>
        <w:rPr>
          <w:b/>
          <w:sz w:val="28"/>
        </w:rPr>
        <w:t>4.4 Navy professional-services incumbents at CNRMC: right customer, wrong vehicle</w:t>
      </w:r>
    </w:p>
    <w:p>
      <w:pPr>
        <w:spacing w:after="120"/>
      </w:pPr>
      <w:r>
        <w:t>Invictus Associates LLC holds Navy delivery order N0016424F3006 against parent contract N0017819D7883 for Professional Support Services (PSS) covering Fleet Readiness Support for CNRMC, subordinate RMCs, and Surface Team One. Total obligation $19,384,385. Place of performance Norfolk, Virginia. Department of the Navy funder. The parent contract is SeaPort Next-Generation (SeaPort-NxG), the Navy's generic-services vehicle. PSS through SeaPort-NxG buys staff augmentation and administrative support, not wargaming or scenario design. The Invictus task order is evidence the right customer procures contractor support generally, but the vehicle category is the wrong color of money for the proposed product.</w:t>
      </w:r>
    </w:p>
    <w:p>
      <w:r>
        <w:br w:type="page"/>
      </w:r>
    </w:p>
    <w:p>
      <w:pPr>
        <w:spacing w:before="360" w:after="120"/>
      </w:pPr>
      <w:r>
        <w:rPr>
          <w:b/>
          <w:sz w:val="36"/>
        </w:rPr>
        <w:t>5. Our fit: the case for CACI entry</w:t>
      </w:r>
    </w:p>
    <w:p>
      <w:pPr>
        <w:spacing w:after="120"/>
      </w:pPr>
      <w:r>
        <w:t>The case for CACI entry rests on three capability pillars and one procurement-infrastructure asset. The pillars: existing federal contract footprint in the work-type at scale (section 5.1); applied capability lineage from CACI's INDOPACOM J7 multi-domain exercise-design work (section 5.2); the ARKA acquisition signature libraries for threat-environment realism (section 5.3). The infrastructure asset: CACI NSS, LLC already holds the GSA-side governmentwide vehicles a Navy fleet command could issue task orders against (section 5.4).</w:t>
      </w:r>
    </w:p>
    <w:p>
      <w:pPr>
        <w:spacing w:before="240" w:after="80"/>
      </w:pPr>
      <w:r>
        <w:rPr>
          <w:b/>
          <w:sz w:val="28"/>
        </w:rPr>
        <w:t>5.1 CACI NSS, LLC at AFRICOM</w:t>
      </w:r>
    </w:p>
    <w:p>
      <w:pPr>
        <w:spacing w:after="120"/>
      </w:pPr>
      <w:r>
        <w:t>CACI NSS, LLC holds task order 47QFCA20F0002 against parent contract GS00Q14OADU121 for "Plans, Operations, Logistics, Engagement, Training, Exercise, and Assessment Support to AFRICOM." Total obligation $194,034,792. Army funder via the GSA Federal Acquisition Service. The task order scope covers the full work-type stack named in the proposed-product description. AFRICOM is a Combatant Command operating with COCOM-level contracting; PACFLT and FLTFORCOM are Component Commands operating within a NAVSEA-controlled technical culture, so engagement at the Navy customer set must prioritize technical validation alongside operational fit. The AFRICOM precedent is a work-type proof, not a direct contracting-culture transfer.</w:t>
      </w:r>
    </w:p>
    <w:p>
      <w:pPr>
        <w:spacing w:after="120"/>
      </w:pPr>
      <w:r>
        <w:t>What CACI NSS, LLC actually is. CACI NSS, LLC is a CACI subsidiary that holds multiple federal contracting vehicles. It is a general-purpose CACI services subsidiary, not a Navy-specific subsidiary. It provides program management, systems engineering, scientific services, logistics services, information technology solutions, and custom software development across DoD and the federal civil agencies. The "NSS" designation is historically tied to a National Security Solutions line.</w:t>
      </w:r>
    </w:p>
    <w:p>
      <w:pPr>
        <w:spacing w:before="240" w:after="80"/>
      </w:pPr>
      <w:r>
        <w:rPr>
          <w:b/>
          <w:sz w:val="28"/>
        </w:rPr>
        <w:t>5.2 PMTEC INDOPACOM J7 capability lineage</w:t>
      </w:r>
    </w:p>
    <w:p>
      <w:pPr>
        <w:spacing w:after="120"/>
      </w:pPr>
      <w:r>
        <w:t>CACI participates in the USINDOPACOM J7 Pacific Multi-Domain Training and Experimentation Capability (PMTEC) ecosystem, tracked separately in the PMTEC-USINDOPACOM opportunity in this vault. The capabilities CACI demonstrates under PMTEC are Live-Virtual-Constructive (LVC) integration, scenario design for multi-domain decision-making, AI and digital-twin technologies, and Regional Joint Training Infrastructure (RJTI). These transfer down-vertical to the naval-repair domain. The proposed product is a focused sub-application of the broader multi-domain exercise-design capability CACI demonstrates at PMTEC.</w:t>
      </w:r>
    </w:p>
    <w:p>
      <w:pPr>
        <w:spacing w:before="240" w:after="80"/>
      </w:pPr>
      <w:r>
        <w:rPr>
          <w:b/>
          <w:sz w:val="28"/>
        </w:rPr>
        <w:t>5.3 ARKA: threat-environment realism. Hull, Mechanical, and Electrical bridge needed separately.</w:t>
      </w:r>
    </w:p>
    <w:p>
      <w:pPr>
        <w:spacing w:after="120"/>
      </w:pPr>
      <w:r>
        <w:t>The March 2026 ARKA acquisition gives CACI electro-optical (EO), infrared (IR), and hyperspectral sensor signature libraries from intelligence, surveillance, and reconnaissance (ISR) work. For scenario realism, ARKA addresses the threat side: what a damaged ship's sensors would report, what threat indicators the team would see in the moments after a hit, what the operational picture looks like with degraded sensors. ARKA does not address repair-side realism: pump-out status, bulkhead compromise, drydock blocking, supply-chain routing for replacement valves. So ARKA covers about half of what a credible scenario needs. The HM&amp;E bridge described below has to cover the repair side, and both are required before the environment is believable to a wardroom.</w:t>
      </w:r>
    </w:p>
    <w:p>
      <w:pPr>
        <w:spacing w:after="120"/>
      </w:pPr>
      <w:r>
        <w:t>Repair-side realism requires a bridge to Navy Hull, Mechanical, and Electrical (HM&amp;E) engineering and logistics data. The path-selection decision is owned by the executive engaged with the customer or by the proposal team that drafts the actual response, not by the BD analyst; the analyst recommendation, recorded for downstream reference, is to negotiate Government Furnished Information (GFI) from a Navy data-holder, most likely Naval Surface Warfare Center Carderock Division (NSWC Carderock), with possible additional sources at another Naval Surface Warfare Center or somewhere in PAE Industrial Operations (PAE-IO). The actual data-release authority sits with Naval Sea Systems Command Ship Design and Engineering (NAVSEA 05); without NAVSEA 05's blessing the Carderock GFI conversation will not progress, and without their technical concurrence on the damage-model fidelity the fleet commanders are unlikely to trust the training. The GFI path carries a 12-to-18-month Authority to Operate (ATO) schedule risk for a gamified non-system-of-record environment; CACI's internal naval-IT footprint remains a viable fallback if the GFI negotiation stalls. Section 7.3 lays out the full recommendation.</w:t>
      </w:r>
    </w:p>
    <w:p>
      <w:pPr>
        <w:spacing w:before="240" w:after="80"/>
      </w:pPr>
      <w:r>
        <w:rPr>
          <w:b/>
          <w:sz w:val="28"/>
        </w:rPr>
        <w:t>5.4 CACI NSS, LLC vehicle holdings: the procurement-infrastructure asset</w:t>
      </w:r>
    </w:p>
    <w:p>
      <w:pPr>
        <w:spacing w:after="120"/>
      </w:pPr>
      <w:r>
        <w:t>CACI NSS, LLC already holds three governmentwide acquisition vehicles open to any federal customer including any Navy command:</w:t>
      </w:r>
    </w:p>
    <w:p>
      <w:pPr>
        <w:spacing w:after="60"/>
        <w:ind w:left="360"/>
      </w:pPr>
      <w:r>
        <w:t>• GSA One Acquisition Solution for Integrated Services (OASIS). Federal-wide Professional Services contract.</w:t>
      </w:r>
    </w:p>
    <w:p>
      <w:pPr>
        <w:spacing w:after="60"/>
        <w:ind w:left="360"/>
      </w:pPr>
      <w:r>
        <w:t>• NITAAC Chief Information Officer–Solutions and Partners 3 (CIO-SP3). Information Technology services contract. CACI NSS, LLC holds parent contract HHSN316201200032W with demonstrated delivery at $101.2M-task-order scale (PIID 19AQMM21F1762, Iterative Software Development Project Management).</w:t>
      </w:r>
    </w:p>
    <w:p>
      <w:pPr>
        <w:spacing w:after="60"/>
        <w:ind w:left="360"/>
      </w:pPr>
      <w:r>
        <w:t>• GSA Multiple Award Schedule, contract number GS-35F-349CA.</w:t>
      </w:r>
    </w:p>
    <w:p>
      <w:pPr>
        <w:spacing w:after="120"/>
      </w:pPr>
      <w:r>
        <w:t>These are governmentwide acquisition contracts open to any federal customer. The holdings are not an advantage over the incumbents named in section 4.3, who hold equivalent or larger OASIS, CIO-SP3 and MAS positions of their own. They matter for a narrower reason. They remove the multi-year job of standing up a new contract, which would otherwise sit between a Navy decision to buy and an actual award.</w:t>
      </w:r>
    </w:p>
    <w:p>
      <w:pPr>
        <w:spacing w:after="120"/>
      </w:pPr>
      <w:r>
        <w:t>Implication for the pitch. CACI executives engaging PACFLT N7, FLTFORCOM N7, INDOPACOM J7, or SRF-JRMC leadership have a defined starting point. The work-type is named. The AFRICOM precedent is published. The vehicles are already held. The customer can issue a Level 1 pilot task order without committing to new procurement infrastructure.</w:t>
      </w:r>
    </w:p>
    <w:p>
      <w:r>
        <w:br w:type="page"/>
      </w:r>
    </w:p>
    <w:p>
      <w:pPr>
        <w:spacing w:before="360" w:after="120"/>
      </w:pPr>
      <w:r>
        <w:rPr>
          <w:b/>
          <w:sz w:val="36"/>
        </w:rPr>
        <w:t>6. Working hypothesis and falsifying legs</w:t>
      </w:r>
    </w:p>
    <w:p>
      <w:pPr>
        <w:spacing w:after="120"/>
      </w:pPr>
      <w:r>
        <w:t>Working hypothesis. The Navy has demand for contractor-supplied operational-decision-scenario content for BDAR teams and the fleet commanders they support. The proposed product is the five-level progression. CACI's case for entry rests on the four assets in section 5. The most-likely procurement pathway is a task order against CACI NSS, LLC's existing OASIS, CIO-SP3, or MAS holdings, sponsored operationally by SRF-JRMC and contracted by PACFLT N7 or FLTFORCOM N7.</w:t>
      </w:r>
    </w:p>
    <w:p>
      <w:pPr>
        <w:spacing w:before="240" w:after="80"/>
      </w:pPr>
      <w:r>
        <w:rPr>
          <w:b/>
          <w:sz w:val="28"/>
        </w:rPr>
        <w:t>6.1 Six falsifying legs</w:t>
      </w:r>
    </w:p>
    <w:p>
      <w:pPr>
        <w:spacing w:after="60"/>
        <w:ind w:left="360"/>
      </w:pPr>
      <w:r>
        <w:t>• Leg 1. Navy operational-decision-scenario demand gap. Killed by senior signals turning ceremonial AND existing fleet exercises already injecting equivalent content organically.</w:t>
      </w:r>
    </w:p>
    <w:p>
      <w:pPr>
        <w:spacing w:after="60"/>
        <w:ind w:left="360"/>
      </w:pPr>
      <w:r>
        <w:t>• Leg 2. Sub-product moat. Killed by incumbents replicating the analog form factor at the same time durations, or by the AI scenario-generation capability maturing rapidly enough among incumbents that CACI's PMTEC head start does not translate to a moat by procurement time.</w:t>
      </w:r>
    </w:p>
    <w:p>
      <w:pPr>
        <w:spacing w:after="60"/>
        <w:ind w:left="360"/>
      </w:pPr>
      <w:r>
        <w:t>• Leg 3. CACI capability transferability from PMTEC to naval repair. Killed by PMTEC's multi-domain Combatant Command staff focus being structurally different from naval-repair small-unit decision rehearsal in ways that prevent direct capability transfer.</w:t>
      </w:r>
    </w:p>
    <w:p>
      <w:pPr>
        <w:spacing w:after="60"/>
        <w:ind w:left="360"/>
      </w:pPr>
      <w:r>
        <w:t>• Leg 4. ARKA signature-library differentiator viability. Killed by intellectual-property posture blocking release, OR comparable data available to incumbents, OR the HM&amp;E-data bridge cannot be closed, OR the GFI / ATO friction introduces a 12-to-18-month schedule delay that neutralizes the head start.</w:t>
      </w:r>
    </w:p>
    <w:p>
      <w:pPr>
        <w:spacing w:after="60"/>
        <w:ind w:left="360"/>
      </w:pPr>
      <w:r>
        <w:t>• Leg 5. Customer-access pathway feasibility. Killed by fleet-command incumbents locking out CACI entry timeline, or by contractual right-of-first-refusal language preventing new-entrant access.</w:t>
      </w:r>
    </w:p>
    <w:p>
      <w:pPr>
        <w:spacing w:after="60"/>
        <w:ind w:left="360"/>
      </w:pPr>
      <w:r>
        <w:t>• Leg 6. Sub-product viability as a fundable line. Killed by the sub-product being too small for standalone procurement (so it can only ride embedded in multi-day exercise contracts, which would mean partnering rather than priming), OR too specialized to attract a procurement vehicle at all, in which case the entry path is DIU, SBIR, or STTR pilot first.</w:t>
        <w:br/>
        <w:br/>
        <w:t>Scaling logic: why a customer who buys Level 1 advances to Levels 4 and 5. Levels 1 and 2 are hand-built scenario content. Analyst time drives the cost, so it rises in step with the number of exercises. Levels 3 through 5 add reusable scenario libraries and generated variants, and the cost of each exercise falls sharply once a command moves from occasional sessions to a quarterly or faster rhythm across several wardrooms. What moves a customer up the ladder is therefore how often they exercise. At low rhythm the hand-built levels are cheaper. At high rhythm they cannot keep up. The proposal should frame the Level 1 pilot as a reference customer whose exercise rhythm tells CACI when to invest in the software build, not as a standalone product.</w:t>
      </w:r>
    </w:p>
    <w:p>
      <w:r>
        <w:br w:type="page"/>
      </w:r>
    </w:p>
    <w:p>
      <w:pPr>
        <w:spacing w:before="360" w:after="120"/>
      </w:pPr>
      <w:r>
        <w:rPr>
          <w:b/>
          <w:sz w:val="36"/>
        </w:rPr>
        <w:t>7. Recommendations for executive action</w:t>
      </w:r>
    </w:p>
    <w:p>
      <w:pPr>
        <w:spacing w:after="120"/>
      </w:pPr>
      <w:r>
        <w:t>Four recommendations for CACI executive consideration.</w:t>
      </w:r>
    </w:p>
    <w:p>
      <w:pPr>
        <w:spacing w:before="240" w:after="80"/>
      </w:pPr>
      <w:r>
        <w:rPr>
          <w:b/>
          <w:sz w:val="28"/>
        </w:rPr>
        <w:t>7.1 Pursue the five-level progression at one initial customer</w:t>
      </w:r>
    </w:p>
    <w:p>
      <w:pPr>
        <w:spacing w:after="120"/>
      </w:pPr>
      <w:r>
        <w:t>Consider positioning CACI as a candidate prime for the five-level progression. Initial entry through Level 1 or Level 2 pilot. Operational sponsor: to be established in Phase 1 rather than assumed. SWRMC is the most visible executor and SRF-JRMC holds the Area Maintenance Commander role, so both are entry points, but neither is confirmed as the mission owner and the first job of discovery is to find out who is. Contracting authority: PACFLT N7 or N4, or FLTFORCOM N7 or N4. Contracting vehicle: CACI NSS, LLC’s existing OASIS, CIO-SP3, or MAS holding, with no new Navy-specific vehicle required. Precondition: CACI legal and contracts must complete the Federal Acquisition Regulation (FAR) Subpart 9.5 Organizational Conflict of Interest (OCI) review described in section 8.4 before any engagement step under the Phase 1 engagement in section 7.2 begins. The OCI review is a hard gate, not a parallel workstream.</w:t>
      </w:r>
    </w:p>
    <w:p>
      <w:pPr>
        <w:spacing w:before="240" w:after="80"/>
      </w:pPr>
      <w:r>
        <w:rPr>
          <w:b/>
          <w:sz w:val="28"/>
        </w:rPr>
        <w:t>7.2 Initiate CACI executive engagement with the named Navy commands</w:t>
      </w:r>
    </w:p>
    <w:p>
      <w:pPr>
        <w:spacing w:after="120"/>
      </w:pPr>
      <w:r>
        <w:t>The Navy is not running an RFP for this work today, and the BD analyst is not asking CACI to commit Bid and Proposal (B&amp;P) dollars to a market-making effort. The recommendation is a two-phase engagement with a hard gate between the phases. Phase 1 (low-cost): CACI executive leadership initiates a discovery meeting at PACFLT N7, FLTFORCOM N7, INDOPACOM J7, NAVSEA 04 (the headquarters above PAE-IO), or SRF-JRMC leadership. Pitch opens with the work-type, the AFRICOM precedent, the GSA-wide vehicles CACI already holds, and a request for the customer's read on whether a Level 1 pilot fits a near-term need. Phase 1 cost is executive travel and analyst preparation; no B&amp;P commitment. Phase 2 (B&amp;P gate): IF Phase 1 produces a customer Letter of Interest, a named funding vehicle (O&amp;M or RDT&amp;E realignment), or a similarly concrete buying signal, THEN CACI commits B&amp;P to a Level 1 pilot task-order proposal against the existing OASIS or CIO-SP3 holding. If Phase 1 produces only general interest or a "come back when you have something concrete" response, CACI declines the B&amp;P commitment and falls back to the alternative entry path in section 7.4. The gate is binary and operator-explicit so the executive sees the commit decision separately from the engagement decision.</w:t>
      </w:r>
    </w:p>
    <w:p>
      <w:pPr>
        <w:spacing w:before="240" w:after="80"/>
      </w:pPr>
      <w:r>
        <w:rPr>
          <w:b/>
          <w:sz w:val="28"/>
        </w:rPr>
        <w:t>7.3 Decide the HM&amp;E data bridge approach early</w:t>
      </w:r>
    </w:p>
    <w:p>
      <w:pPr>
        <w:spacing w:after="120"/>
      </w:pPr>
      <w:r>
        <w:t>Repair-side scenario realism needs Navy Hull, Mechanical, and Electrical (HM&amp;E) engineering and logistics data. The ARKA acquisition covers threat-side realism only. The path-selection decision belongs to the executive engaged with the customer or to the proposal team that drafts the actual response, not to the BD analyst. The analyst recommendation, recorded for downstream reference, is to negotiate Government Furnished Information (GFI) from a Navy data-holder, most likely NSWC Carderock, with NAVSEA 05 (Ship Design and Engineering) as the data-release technical authority and the credibility anchor for the damage-model fidelity. Treat the 12-to-18-month Authority to Operate (ATO) risk as a known schedule item. Avoid pre-committing to a teaming-with-HM&amp;E-prime path because it forces an early commit to a specific partner before customer pull is known. Plan B if NAVSEA 05 declines the data release: pivot to a tactical teaming arrangement with a naval-engineering firm that holds HM&amp;E modeling capability. The partner choice is contingent on customer pull and is properly the proposal team's decision, not the BD analyst's. Plan C: CACI's internal naval-IT footprint, scoped to whatever HM&amp;E telemetry or maintenance-record data it actually holds. This fallback has not been inventoried in this draft, and the proposal team should confirm what is in fact available before relying on it.</w:t>
      </w:r>
    </w:p>
    <w:p>
      <w:pPr>
        <w:spacing w:before="240" w:after="80"/>
      </w:pPr>
      <w:r>
        <w:rPr>
          <w:b/>
          <w:sz w:val="28"/>
        </w:rPr>
        <w:t>7.4 Prepare an alternative entry path via DIU, SBIR, or STTR</w:t>
      </w:r>
    </w:p>
    <w:p>
      <w:pPr>
        <w:spacing w:after="120"/>
      </w:pPr>
      <w:r>
        <w:t>If direct executive engagement does not produce a task order inside the planning horizon, the alternative entry path is a DIU, SBIR, or STTR pilot for Level 1 or Level 2 scope. Lower per-engagement scale. Unblocks the no-existing-Navy-vehicle problem. Produces a reference customer for follow-on task-order competition. A parallel pilot strategy is worth having ready.</w:t>
      </w:r>
    </w:p>
    <w:p>
      <w:r>
        <w:br w:type="page"/>
      </w:r>
    </w:p>
    <w:p>
      <w:pPr>
        <w:spacing w:before="360" w:after="120"/>
      </w:pPr>
      <w:r>
        <w:rPr>
          <w:b/>
          <w:sz w:val="36"/>
        </w:rPr>
        <w:t>8. Risks and flagged concerns</w:t>
      </w:r>
    </w:p>
    <w:p>
      <w:pPr>
        <w:spacing w:before="240" w:after="80"/>
      </w:pPr>
      <w:r>
        <w:rPr>
          <w:b/>
          <w:sz w:val="28"/>
        </w:rPr>
        <w:t>8.1 No existing Navy task order</w:t>
      </w:r>
    </w:p>
    <w:p>
      <w:pPr>
        <w:spacing w:after="120"/>
      </w:pPr>
      <w:r>
        <w:t>The biggest risk. The Navy has not procured this sub-product as of this draft date. The OASIS / CIO-SP3 vehicle-holdings finding reduces this risk because no new contracting vehicle would be required, but the Navy still has to decide to issue the task order. If executive engagement fails to produce one, entry would collapse to the DIU, SBIR, or STTR pilot path, or to a subcontract on someone else's vehicle.</w:t>
      </w:r>
    </w:p>
    <w:p>
      <w:pPr>
        <w:spacing w:before="240" w:after="80"/>
      </w:pPr>
      <w:r>
        <w:rPr>
          <w:b/>
          <w:sz w:val="28"/>
        </w:rPr>
        <w:t>8.2 Incumbent lockout</w:t>
      </w:r>
    </w:p>
    <w:p>
      <w:pPr>
        <w:spacing w:after="120"/>
      </w:pPr>
      <w:r>
        <w:t>The fleet-command exercise-planning incumbent base is partially mapped. Three credible candidate incumbents are source-grounded at adjacent Navy customers per section 4.3 (Booz Allen Hamilton, SAIC, HII Mission Technologies). The specific incumbent subset active at FLTFORCOM N7, PACFLT N7, INDOPACOM J7, and SRF-JRMC remains an open research question. The layer could be crowded enough to require partnering, or sparse enough to allow first-mover prime entry. A find_sources pass narrowed to those N7 contracting offices is the next investigative step before any partnering or capture decision.</w:t>
        <w:br/>
        <w:br/>
        <w:t>NAVSEA 05 negative-stakeholder risk. NAVSEA 05 (Ship Design and Engineering) is the Navy's technical authority for ship-design and damage-modeling data. They are not the customer for the proposed product, since they do not procure exercise content for the fleet, but they hold veto power over the damage-model fidelity through their data-release authority and their reputation as the credibility anchor for repair-side technical claims. An engagement strategy that pitches PACFLT N7 or SRF-JRMC without first briefing NAVSEA 05 on the damage-model approach risks NAVSEA 05 sniping the effort at the technical-validation gate. A NAVSEA 05 technical briefing should precede the Phase 1 PACFLT engagement in section 7.2, not follow it.</w:t>
      </w:r>
    </w:p>
    <w:p>
      <w:pPr>
        <w:spacing w:before="240" w:after="80"/>
      </w:pPr>
      <w:r>
        <w:rPr>
          <w:b/>
          <w:sz w:val="28"/>
        </w:rPr>
        <w:t>8.3 HM&amp;E-data bridge schedule risk</w:t>
      </w:r>
    </w:p>
    <w:p>
      <w:pPr>
        <w:spacing w:after="120"/>
      </w:pPr>
      <w:r>
        <w:t>If the chosen bridge approach is the GFI path, securing the ATO for a gamified non-system-of-record environment can take 12 to 18 months. Engagement sequencing should account for that lead time. Mitigations include partnering with a prime that already holds HM&amp;E data, leveraging CACI's existing naval IT footprint, or starting the ATO process in parallel with the engagement work.</w:t>
      </w:r>
    </w:p>
    <w:p>
      <w:pPr>
        <w:spacing w:before="240" w:after="80"/>
      </w:pPr>
      <w:r>
        <w:rPr>
          <w:b/>
          <w:sz w:val="28"/>
        </w:rPr>
        <w:t>8.4 Federal Acquisition Regulation Subpart 9.5: Organizational Conflict of Interest</w:t>
      </w:r>
    </w:p>
    <w:p>
      <w:pPr>
        <w:spacing w:after="120"/>
      </w:pPr>
      <w:r>
        <w:t>Flagged here for executive review. The analytical direction of this research is informed in part by non-public knowledge of contractor personnel currently working at SRF-JRMC's wartime readiness group. This non-public knowledge has not entered any vault content as a citable claim. Its existence, however, may trigger an Organizational Conflict of Interest (OCI) analysis under Federal Acquisition Regulation (FAR) Subpart 9.5 if CACI advances this opportunity. CACI legal and contracts should review the OCI question before any pursuit decision or executive engagement with the named commands.</w:t>
      </w:r>
    </w:p>
    <w:p>
      <w:pPr>
        <w:spacing w:before="240" w:after="80"/>
      </w:pPr>
      <w:r>
        <w:rPr>
          <w:b/>
          <w:sz w:val="28"/>
        </w:rPr>
        <w:t>8.5 Source-grounding caveat</w:t>
      </w:r>
    </w:p>
    <w:p>
      <w:pPr>
        <w:spacing w:after="120"/>
      </w:pPr>
      <w:r>
        <w:t>The evidence improved again in this version and it still is not a buying signal. Public sources now establish the mission, the most visible executor of one part of it, the fact that it is unfunded, and an independent federally sponsored assessment that names ambiguous command and control as the leading problem and recommends both expanded organic repair capability and personnel familiar with deploying it rapidly. Public sources still do not show a Navy procurement line for decision-rehearsal training, and no solicitation exists. What has changed is that the case no longer rests on this desk’s inference. It rests on a published recommendation the Navy has only half executed. It does not rest on the Navy asking for this product, because the Navy has not asked.</w:t>
      </w:r>
    </w:p>
    <w:p>
      <w:r>
        <w:br w:type="page"/>
      </w:r>
    </w:p>
    <w:p>
      <w:r>
        <w:rPr>
          <w:b/>
          <w:sz w:val="28"/>
        </w:rPr>
        <w:t>8.6 The mission that needs this product is unfunded</w:t>
      </w:r>
    </w:p>
    <w:p>
      <w:r>
        <w:t>Robinson described the container program as unfunded. A program with no money cannot issue a task order however much it wants the capability. Any pursuit therefore has to identify whose budget would carry decision-rehearsal training. Candidates are the fleet commander who owns the readiness requirement, the type commander, a research and development line, or an existing training contract with room in scope. The discovery engagement in section 7 should treat the funding question as the first thing to learn, ahead of technical scope and ahead of scenario design. If Phase 1 cannot name a plausible payer, the correct answer is to stop.</w:t>
      </w:r>
    </w:p>
    <w:p>
      <w:pPr>
        <w:spacing w:before="360" w:after="120"/>
      </w:pPr>
      <w:r>
        <w:rPr>
          <w:b/>
          <w:sz w:val="36"/>
        </w:rPr>
        <w:t>9. Business Development team next actions</w:t>
      </w:r>
    </w:p>
    <w:p>
      <w:pPr>
        <w:spacing w:after="120"/>
      </w:pPr>
      <w:r>
        <w:t>Operating tasks the BD team is ready to execute on green-light from CACI leadership. These do not require individual executive authorization. They are the workflow that follows from a decision to advance the recommendations in section 7.</w:t>
      </w:r>
    </w:p>
    <w:p>
      <w:pPr>
        <w:spacing w:after="60"/>
        <w:ind w:left="360"/>
      </w:pPr>
      <w:r>
        <w:t>• BD team gate review of this brief at v0.6 to confirm the proposed-scope frame.</w:t>
      </w:r>
    </w:p>
    <w:p>
      <w:pPr>
        <w:spacing w:after="60"/>
        <w:ind w:left="360"/>
      </w:pPr>
      <w:r>
        <w:t>• Run a follow-on source-finding pass narrowed to specific contracting offices at PACFLT N7, FLTFORCOM N7, INDOPACOM J7, and SRF-JRMC. Surface the incumbent subset active at those N7 offices, not the adjacent-customer footprint already source-grounded in section 4.3. Results will inform brief v0.6.</w:t>
      </w:r>
    </w:p>
    <w:p>
      <w:pPr>
        <w:spacing w:after="60"/>
        <w:ind w:left="360"/>
      </w:pPr>
      <w:r>
        <w:t>• Build the engagement-surface inventory targeting the specific contracting offices and active solicitations at the named commands, plus the SYSCOM authorities (NAVSEA 04 and PEO IWS).</w:t>
      </w:r>
    </w:p>
    <w:p>
      <w:pPr>
        <w:spacing w:after="60"/>
        <w:ind w:left="360"/>
      </w:pPr>
      <w:r>
        <w:t>• Develop the Level 1 pilot scenario portfolio, meaning initial scenario cards for the port-selection, foreign-port emergency contracting and forward team mobilization decision moments, ready for executive pitch meetings.</w:t>
      </w:r>
    </w:p>
    <w:p>
      <w:pPr>
        <w:spacing w:after="60"/>
        <w:ind w:left="360"/>
      </w:pPr>
      <w:r>
        <w:t>• Hold pursuit of any procurement action until CACI executive leadership commits to recommendations 7.1, 7.2, and 7.3, and the FAR Subpart 9.5 OCI consideration in section 8.4 is resolved by CACI leadership.</w:t>
      </w:r>
    </w:p>
    <w:p>
      <w:r>
        <w:br w:type="page"/>
      </w:r>
    </w:p>
    <w:p>
      <w:pPr>
        <w:spacing w:before="360" w:after="120"/>
      </w:pPr>
      <w:r>
        <w:rPr>
          <w:b/>
          <w:sz w:val="36"/>
        </w:rPr>
        <w:t>10. Source ledger reference</w:t>
      </w:r>
    </w:p>
    <w:p>
      <w:pPr>
        <w:spacing w:after="120"/>
      </w:pPr>
      <w:r>
        <w:t>Load-bearing factual claims trace to primary or quasi-primary sources in the opportunity's `01_sources/` directory. The full source ledger is at section 8 of `00_research-file.md` in the BDR-FLEET-READINESS opportunity folder. Key sources used in this brief:</w:t>
      </w:r>
    </w:p>
    <w:p>
      <w:pPr>
        <w:spacing w:after="60"/>
        <w:ind w:left="360"/>
      </w:pPr>
      <w:r>
        <w:t>• Department of the Navy FY 2027 President's Budget Press Brief, 28 April 2026.</w:t>
        <w:br/>
        <w:br/>
        <w:t>• RAND Corporation, Battle Damage Repair for Arleigh Burke–Class Destroyers: Tabletop Exercise Results, RR-A470-9, 27 May 2026. Martin, Shlapak, Yun, Carter, Trauger, Hoard. Sponsored by the Office of the Assistant Secretary of War for Sustainment, Product Support office.</w:t>
      </w:r>
    </w:p>
    <w:p>
      <w:pPr>
        <w:spacing w:after="60"/>
        <w:ind w:left="360"/>
      </w:pPr>
      <w:r>
        <w:t>• CNO Caudle Statement on the Posture of the United States Navy, HASC, 14 May 2026.</w:t>
      </w:r>
    </w:p>
    <w:p>
      <w:pPr>
        <w:spacing w:after="60"/>
        <w:ind w:left="360"/>
      </w:pPr>
      <w:r>
        <w:t>• USS Ashland Ship Wartime Repair and Maintenance Exercise primary press releases. Navy.mil, Commander, U.S. Seventh Fleet (C7F), USINDOPACOM, COMPACFLT, NavalNews, NavalToday.</w:t>
      </w:r>
    </w:p>
    <w:p>
      <w:pPr>
        <w:spacing w:after="60"/>
        <w:ind w:left="360"/>
      </w:pPr>
      <w:r>
        <w:t>• USNI Proceedings, "Fix the Navy's Expeditionary Repair."</w:t>
      </w:r>
    </w:p>
    <w:p>
      <w:pPr>
        <w:spacing w:after="60"/>
        <w:ind w:left="360"/>
      </w:pPr>
      <w:r>
        <w:t>• CIMSEC, "If the U.S. Navy Can't Repair Ships in Peacetime, How Will It Do So in War?"</w:t>
      </w:r>
    </w:p>
    <w:p>
      <w:pPr>
        <w:spacing w:after="60"/>
        <w:ind w:left="360"/>
      </w:pPr>
      <w:r>
        <w:t>• FY27 DoD Comptroller Justification Book. MAGTF Tactical Warfare Simulation, Joint Exercise Design (JExD) workforce, AI scenario generation funding lines.</w:t>
      </w:r>
    </w:p>
    <w:p>
      <w:pPr>
        <w:spacing w:after="60"/>
        <w:ind w:left="360"/>
      </w:pPr>
      <w:r>
        <w:t>• USAspending.gov award records: CACI NSS, LLC $194M AFRICOM; Parsons Government Services $556.8M CEOIS; Axient LLC $233.8M MDA wargames; Invictus Associates $19.4M CNRMC PSS.</w:t>
      </w:r>
    </w:p>
    <w:p>
      <w:pPr>
        <w:spacing w:after="60"/>
        <w:ind w:left="360"/>
      </w:pPr>
      <w:r>
        <w:t>• GovConWire article. Navy nine-contractors $1.2B NAWCTSD training-systems IDIQ modification, 31 March 2026.</w:t>
      </w:r>
    </w:p>
    <w:p>
      <w:pPr>
        <w:spacing w:after="60"/>
        <w:ind w:left="360"/>
      </w:pPr>
      <w:r>
        <w:t>• Norfolk Naval Shipyard $442M drydock modernization announcement (workboat.com).</w:t>
      </w:r>
    </w:p>
    <w:p>
      <w:pPr>
        <w:spacing w:after="60"/>
        <w:ind w:left="360"/>
      </w:pPr>
      <w:r>
        <w:t>• Pacific NAVFAC Shipyard Infrastructure Optimization Program (SIOP) Brief. PSNS and Subordinate Bases.</w:t>
      </w:r>
    </w:p>
    <w:p>
      <w:pPr>
        <w:spacing w:after="60"/>
        <w:ind w:left="360"/>
      </w:pPr>
      <w:r>
        <w:t>• CACI NSS, LLC vehicle holdings. GSA OASIS, NITAAC CIO-SP3, GSA MAS GS-35F-349CA (web-verified 2026-05-26).</w:t>
      </w:r>
    </w:p>
    <w:p>
      <w:pPr>
        <w:spacing w:after="120"/>
      </w:pPr>
      <w:r>
        <w:rPr>
          <w:i/>
        </w:rPr>
        <w:t>End of capture brief v0.9 draft. Build date: 2026-07-28. The demand case rests on two sources: the RAND tabletop-exercise report of 27 May 2026, carried in section 2.6, and the SWRMC expeditionary maintenance container program described publicly on 4 June 2026, carried in section 2.5. Section 7 leads with identifying a payer, because the mission is unfunded. Section 8.6 carries that risk.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