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Executive Brief v0.10 (Draft)</w:t>
      </w:r>
    </w:p>
    <w:p>
      <w:pPr>
        <w:spacing w:after="80"/>
      </w:pPr>
      <w:r>
        <w:rPr>
          <w:i/>
          <w:sz w:val="18"/>
        </w:rPr>
        <w:t>U.S. Navy Battle Damage Assessment and Repair (BDAR) decision-rehearsal training. Five-level progression. 2026-07-28. For CACI executive review (open-source only).</w:t>
      </w:r>
    </w:p>
    <w:p>
      <w:pPr>
        <w:spacing w:before="100" w:after="40"/>
      </w:pPr>
      <w:r>
        <w:rPr>
          <w:b/>
          <w:sz w:val="22"/>
        </w:rPr>
        <w:t>Bottom Line Up Front</w:t>
      </w:r>
    </w:p>
    <w:p>
      <w:pPr>
        <w:spacing w:after="60"/>
      </w:pPr>
      <w:r>
        <w:t>Two independent sources seven weeks apart describe the same problem from opposite ends. In May 2026 RAND published the results of a two-day tabletop exercise on repairing battle-damaged Arleigh Burke destroyers in a Pacific conflict; its leading finding was that Navy battle-damage-repair systems are burdened by outdated peacetime frameworks and ambiguous command-and-control structures. In June 2026 the Executive Director of Southwest Regional Maintenance Center (SWRMC) told an industry conference that the Navy has no repair tenders for the surface fleet and no plan to build any, so his command has pre-staged roughly 50 expeditionary maintenance containers across the Pacific as the substitute. He named Ship Repair Facility Japan Regional Maintenance Center (SRF-JRMC) as the Area Maintenance Commander coordinating the deployments, and said the mission is unfunded. RAND recommends the Navy expand organic repair capability and ensure deployed personnel are familiar with rapidly deploying it. The Navy is doing the first half. The second half is this product.</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ind w:left="360"/>
      </w:pPr>
      <w:r>
        <w:t>• An independent federally sponsored study says the gap is command and control. RAND ran a two-day tabletop exercise in August 2025 with U.S. and allied Indo-Pacific participants and published the results in May 2026 (RR-A470-9). Its leading takeaway is that Navy battle-damage-repair systems carry outdated peacetime frameworks and ambiguous command-and-control structures into conflict, and that organic repair capability is sufficient only for limited repairs and for getting a ship home. Two of its five Navy recommendations are to institutionalize command and control, and to expand organic repair capability while ensuring deployed personnel are familiar with rapidly deploying it.</w:t>
      </w:r>
    </w:p>
    <w:p>
      <w:pPr>
        <w:ind w:left="360"/>
      </w:pPr>
      <w:r>
        <w:t>• A Navy command has built part of the answer and said so in public. John Robinson, Executive Director of SWRMC, described the container capability at the MegaRust 2026 conference on 4 June 2026. Tenders for the surface force do not exist and are not planned, so SWRMC pre-staged the containers as the substitute. Pat McDermott drives the program. SWRMC sends project teams out for contract oversight and works through SRF-JRMC in its Area Maintenance Commander role. Note what this does not establish: who owns the mission. SWRMC is the most visible executor, not a confirmed owner, and no public source names one. That absence is consistent with what RAND found.</w:t>
      </w:r>
    </w:p>
    <w:p>
      <w:pPr>
        <w:spacing w:after="40"/>
        <w:ind w:left="216"/>
      </w:pPr>
      <w:r>
        <w:t>• Senior leadership is funding the problem. Admiral Daryl L. Caudle, Chief of Naval Operations, named maintenance a warfighting requirement before the House Armed Services Committee on 14 May 2026. The Fiscal Year 2027 Navy budget funds ship maintenance at $17 billion toward an 80-percent Combat Surge Ready posture. SRF-JRMC ran a wartime 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What the evidence still does not show. Public sources now establish the mission, the most visible executor of one part of it, that it is unfunded, and an independent federally sponsored finding that command and control is the leading problem. They still do not show a Navy procurement line for decision-rehearsal training, and no solicitation exists. The case rests on a published recommendation the Navy has half executed, not on the Navy asking for this product.</w:t>
      </w:r>
    </w:p>
    <w:p>
      <w:pPr>
        <w:spacing w:before="100" w:after="40"/>
      </w:pPr>
      <w:r>
        <w:rPr>
          <w:b/>
          <w:sz w:val="22"/>
        </w:rPr>
        <w:t>The Five-Level Progression</w:t>
      </w:r>
    </w:p>
    <w:p>
      <w:pPr>
        <w:spacing w:after="60"/>
      </w:pPr>
      <w:r>
        <w:t>Start analog. Move to software as scale justifies it. Each level can be bought separately, and each builds material the next one reuses. What drives a customer up the ladder is how often they exercise. Levels 1 and 2 are delivered by hand, so cost rises in step with the number of sessions. Levels 3 through 5 add reusable scenario libraries and generated variants, and the cost of each exercise falls once a command is running them quarterly or more often across several wardrooms.</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Task Order Against an Existing CACI Vehicle</w:t>
      </w:r>
    </w:p>
    <w:p>
      <w:pPr>
        <w:spacing w:after="60"/>
      </w:pPr>
      <w:r>
        <w:t>CACI NSS, LLC holds three governmentwide contracts open to any federal customer, including any Navy command. These are not an advantage over the incumbents named in the risks below, who hold the same vehicles. They matter for a narrower reason. They remove the multi-year job of standing up a new contract, which would otherwise sit between a Navy decision to buy and an actual award.</w:t>
      </w:r>
    </w:p>
    <w:p>
      <w:pPr>
        <w:spacing w:after="40"/>
        <w:ind w:left="216"/>
      </w:pPr>
      <w:r>
        <w:t>• GSA OASIS Pool 1 (parent contract GS00Q14OADU121). Federal-wide Professional Services contract; CACI NSS, LLC executes the $194M AFRICOM task order against this vehicle.</w:t>
      </w:r>
    </w:p>
    <w:p>
      <w:pPr>
        <w:spacing w:after="40"/>
        <w:ind w:left="216"/>
      </w:pPr>
      <w:r>
        <w:t>• NITAAC CIO-SP3 (parent contract HHSN316201200032W).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progression against the container mission, entering at SWRMC or SRF-JRMC. SWRMC is the most visible executor and SRF-JRMC holds the Area Maintenance Commander role, but neither is confirmed as the mission owner, so establishing who owns the decisions is the first task of discovery rather than an assumption going in. Contracting authority sits above both, at Commander, U.S. Pacific Fleet (Training and Readiness, N7, or Logistics, N4) or Commander, U.S. Fleet Forces Command. The vehicle would be CACI NSS, LLC’s existing OASIS or CIO-SP3 holdings.</w:t>
      </w:r>
    </w:p>
    <w:p>
      <w:pPr>
        <w:spacing w:after="40"/>
        <w:ind w:left="216"/>
      </w:pPr>
      <w:r>
        <w:t>• Initiate a two-phase engagement with a hard gate between phases. Phase 1 (low-cost): executive-led discovery meeting at PACFLT N7, FLTFORCOM N7, INDOPACOM J7, NAVSEA 04, or SRF-JRMC leadership; cost is executive travel and analyst prep; no Bid-and-Proposal (B&amp;P) commitment. Phase 2 (B&amp;P gate): commit B&amp;P to a Level 1 pilot task-order proposal ONLY if Phase 1 produces a customer Letter of Interest, a named funding vehicle (O&amp;M or RDT&amp;E realignment), or a comparably concrete buying signal. Precondition for any engagement step: CACI legal and contracts complete the Federal Acquisition Regulation (FAR) Subpart 9.5 Organizational Conflict of Interest (OCI) review described in the Risks section. The OCI review is a hard gate, not a parallel workstream.</w:t>
      </w:r>
    </w:p>
    <w:p>
      <w:pPr>
        <w:spacing w:after="40"/>
        <w:ind w:left="216"/>
      </w:pPr>
      <w:r>
        <w:t>• Set up the Hull, Mechanical, and Electrical (HM&amp;E) data bridge decision for downstream owners. ARKA covers about half of what a credible scenario needs, the threat side. The HM&amp;E bridge has to cover the repair side. Both are required before the environment is believable to a wardroom. The decision belongs to the executive engaged with the customer or to the proposal team, not to the BD analyst. The analyst recommendation: negotiate Government Furnished Information (GFI) from Naval Surface Warfare Center Carderock Division (NSWC Carderock), with Naval Sea Systems Command Ship Design and Engineering (NAVSEA 05) as the data-release technical authority. The GFI conversation will not progress without NAVSEA 05 agreement. Plan B if NAVSEA 05 declines: pivot to a tactical teaming arrangement with a naval-engineering firm that holds HM&amp;E modeling capability, partner choice contingent on customer pull. Plan C: CACI's internal naval-IT footprint, scoped to whatever HM&amp;E telemetry or maintenance-record data it actually holds. The proposal team confirms availability before relying on it. Treat the 12-to-18-month Authority to Operate (ATO) risk as a known schedule item.</w:t>
      </w:r>
    </w:p>
    <w:p>
      <w:pPr>
        <w:ind w:left="360"/>
      </w:pPr>
      <w:r>
        <w:t>• Find the payer, and start with the study sponsor. The container mission is unfunded, so the organization most likely to want this is the one least able to buy it. RAND’s report was paid for by the Office of the Assistant Secretary of War for Sustainment, Product Support office, which makes it a more plausible first call than the fleet commands. Other candidates are the fleet commander who owns the readiness requirement, the type commander, a research and development line, or an existing training contract with room in scope. If Phase 1 cannot name a plausible payer, stop there and say so.</w:t>
      </w:r>
    </w:p>
    <w:p>
      <w:pPr>
        <w:spacing w:after="40"/>
        <w:ind w:left="216"/>
      </w:pPr>
      <w:r>
        <w:t>• Keep an alternative entry ready through the Defense Innovation Unit (DIU), Small Business Innovation Research (SBIR), or Small Business Technology Transfer (STTR) at Level 1 or Level 2 scope. Run it if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Organizational Conflict of Interest, and it is sharper in this version. The direction of this research is informed in part by non-public knowledge of work at SRF-JRMC. None of that knowledge is cited anywhere in this brief, and every claim here traces to a public source. But SRF-JRMC is now named in the public record as the command coordinating the mission this product would serve, which makes the question harder rather than easier. CACI legal and contracts should close a review under Federal Acquisition Regulation Subpart 9.5 before any engagement with either command. This is a gate, not a parallel task.</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v0.10 built 2026-07-28, distilled from capture brief v0.9. Corrects an over-claim carried since v0.8: public sources do not establish that SWRMC or SRF-JRMC owns the container mission, only that SWRMC built the capability and operates it into SRF-JRMC’s area. Naming an owner would have contradicted the RAND finding this brief relies on. Capture section 2.7 states what is not known and what it means for engagement.</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