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v0.1 (Draft)</w:t>
      </w:r>
    </w:p>
    <w:p>
      <w:pPr>
        <w:spacing w:after="80"/>
      </w:pPr>
      <w:r>
        <w:rPr>
          <w:i/>
          <w:sz w:val="18"/>
        </w:rPr>
        <w:t>Navy BDAR / BDAT operational-decision scenarios for repair-activity teams  |  2026-05-26  |  For internal exec review (OSI-only)</w:t>
      </w:r>
    </w:p>
    <w:p>
      <w:pPr>
        <w:spacing w:before="120" w:after="40"/>
      </w:pPr>
      <w:r>
        <w:rPr>
          <w:b/>
          <w:sz w:val="22"/>
        </w:rPr>
        <w:t>Bottom Line Up Front</w:t>
      </w:r>
    </w:p>
    <w:p>
      <w:pPr>
        <w:spacing w:after="60"/>
      </w:pPr>
      <w:r>
        <w:t>The U.S. Navy is publicly signaling demand for contractor-supplied 1-hour gamified decision-rehearsal sessions for the staff cells and wardrooms of its Battle Damage Assessment and Repair (BDAR) teams at the four public naval shipyards, the Regional Maintenance Centers (RMCs), and the forward-deployed Ship Repair Facility–Japan (SRF-JRMC). CACI's right to win rests on (a) the $194M NSS LLC AFRICOM contract that demonstrates the exact work-type at sister Combatant Command scale, (b) the INDOPACOM PMTEC exercise-design capability lineage that translates down-vertical to naval repair, and (c) the March 2026 ARKA acquisition signature libraries for threat-environment realism. Recommendation: pursue initial entry as a subcontractor on a Pacific Fleet or Fleet Forces N7 / N4 exercise-planning vehicle with SRF-JRMC as operational sponsor, with a DIU / SBIR / STTR pilot as the alternative entry path.</w:t>
      </w:r>
    </w:p>
    <w:p>
      <w:pPr>
        <w:spacing w:before="120" w:after="40"/>
      </w:pPr>
      <w:r>
        <w:rPr>
          <w:b/>
          <w:sz w:val="22"/>
        </w:rPr>
        <w:t>Why It Matters</w:t>
      </w:r>
    </w:p>
    <w:p>
      <w:pPr>
        <w:spacing w:after="40"/>
        <w:ind w:left="216"/>
      </w:pPr>
      <w:r>
        <w:t>• FY27 DON budget: $17B for Ship Maintenance targeting 80% Combat Surge Ready posture; $0.6B for Contested Logistics. CNO Caudle named maintenance a warfighting requirement at HASC on 14 May 2026.</w:t>
      </w:r>
    </w:p>
    <w:p>
      <w:pPr>
        <w:spacing w:after="40"/>
        <w:ind w:left="216"/>
      </w:pPr>
      <w:r>
        <w:t>• Navy already executing the right exercise shape in the right venue: SRF-JRMC ran SWARMEX-Cebu on USS Ashland with Philippine Navy and host-nation contractor coordination — directly rehearsing the foreign-port emergency repair decision moments the corrected-scope product addresses.</w:t>
      </w:r>
    </w:p>
    <w:p>
      <w:pPr>
        <w:spacing w:after="40"/>
        <w:ind w:left="216"/>
      </w:pPr>
      <w:r>
        <w:t>• DoD procures contractor-delivered exercise design at scale: $194M CACI NSS at AFRICOM, $556.8M Parsons CEOIS at OSD, $233.8M Axient Wargames at MDA. The FY27 comptroller justification book funds AI-powered scenario generation and a Joint Exercise Design workforce as named capability lines.</w:t>
      </w:r>
    </w:p>
    <w:p>
      <w:pPr>
        <w:spacing w:after="40"/>
        <w:ind w:left="216"/>
      </w:pPr>
      <w:r>
        <w:t>• Policy-community pressure is real: USNI Proceedings ("Fix the Navy's Expeditionary Repair") and CIMSEC ("If the U.S. Navy Can't Repair Ships in Peacetime, How Will It Do So in War?") both argue wartime repair throughput is undersized — both publications read inside the customer organizations.</w:t>
      </w:r>
    </w:p>
    <w:p>
      <w:pPr>
        <w:spacing w:before="120" w:after="40"/>
      </w:pPr>
      <w:r>
        <w:rPr>
          <w:b/>
          <w:sz w:val="22"/>
        </w:rPr>
        <w:t>Recommendation</w:t>
      </w:r>
    </w:p>
    <w:p>
      <w:pPr>
        <w:spacing w:after="40"/>
        <w:ind w:left="216"/>
      </w:pPr>
      <w:r>
        <w:t>• Pursue the 1-hour turn-based gamified decision-rehearsal sub-product for BDAR / BDAT staff-cell and wardroom audiences. Differentiate on gamified-software engine + AI scenario generation, not 1-hour duration alone (incumbents can replicate analog tabletops at the same duration).</w:t>
      </w:r>
    </w:p>
    <w:p>
      <w:pPr>
        <w:spacing w:after="40"/>
        <w:ind w:left="216"/>
      </w:pPr>
      <w:r>
        <w:t>• Two-layer customer-procurement model: SRF-JRMC wartime readiness cell as end-user / sponsor; PACFLT N7 / N4 or FLTFORCOM N7 / N4 as the contracting authority. CNRMC PSS-on-SeaPort-NxG vehicle is wrong color of money. Alternative entry path: DIU / SBIR / STTR pilot.</w:t>
      </w:r>
    </w:p>
    <w:p>
      <w:pPr>
        <w:spacing w:after="40"/>
        <w:ind w:left="216"/>
      </w:pPr>
      <w:r>
        <w:t>• Close the repair-side scenario realism gap (HM&amp;E, drydock, MFOM / NMD data) via partnering with an HM&amp;E-data-holding prime, leveraging CACI naval-IT footprint, or negotiating Government Furnished Information — start the ATO process now in parallel with engagement work to avoid 12-18 month schedule risk.</w:t>
      </w:r>
    </w:p>
    <w:p>
      <w:pPr>
        <w:spacing w:before="120" w:after="40"/>
      </w:pPr>
      <w:r>
        <w:rPr>
          <w:b/>
          <w:sz w:val="22"/>
        </w:rPr>
        <w:t>Top Risks</w:t>
      </w:r>
    </w:p>
    <w:p>
      <w:pPr>
        <w:spacing w:after="40"/>
        <w:ind w:left="216"/>
      </w:pPr>
      <w:r>
        <w:t>• Procurement-vehicle risk — specific Navy fleet-command vehicle for the sub-product is not yet identified; if no vehicle materializes inside the planning horizon, entry collapses to pilot or subcontract paths with longer paths to material revenue.</w:t>
      </w:r>
    </w:p>
    <w:p>
      <w:pPr>
        <w:spacing w:after="40"/>
        <w:ind w:left="216"/>
      </w:pPr>
      <w:r>
        <w:t>• Incumbent-lockout risk — fleet-command exercise-planning incumbent base (likely Booz Allen Hamilton, SAIC, HII Mission Technologies, plus sub-tier players) is real but under-mapped in OSI sources; whether the layer is partnering-friendly or new-entrant-hostile is the next find_sources-pass research question.</w:t>
      </w:r>
    </w:p>
    <w:p>
      <w:pPr>
        <w:spacing w:after="40"/>
        <w:ind w:left="216"/>
      </w:pPr>
      <w:r>
        <w:t>• FAR 9.5 OCI risk — operator-side research origin triggers Organizational Conflict of Interest analysis (owner: operator); a finding that limits CACI's competitive position could change the recommendation shape before pursuit.</w:t>
      </w:r>
    </w:p>
    <w:p>
      <w:pPr>
        <w:spacing w:before="120" w:after="40"/>
      </w:pPr>
      <w:r>
        <w:rPr>
          <w:b/>
          <w:sz w:val="22"/>
        </w:rPr>
        <w:t>Asks</w:t>
      </w:r>
    </w:p>
    <w:p>
      <w:pPr>
        <w:spacing w:after="40"/>
        <w:ind w:left="216"/>
      </w:pPr>
      <w:r>
        <w:t>• Authorize next find_sources pass targeting fleet-command-exercise-planning contracts at PACFLT N7 / N4, FLTFORCOM N7 / N4, INDOPACOM J7, and SRF-JRMC — closes the incumbent-identification research gap.</w:t>
      </w:r>
    </w:p>
    <w:p>
      <w:pPr>
        <w:spacing w:after="40"/>
        <w:ind w:left="216"/>
      </w:pPr>
      <w:r>
        <w:t>• Decide on the repair-side data bridge: partner, internal naval-IT leverage, or GFI / ATO path. The GFI / ATO path requires starting now to avoid 12-18 month schedule risk.</w:t>
      </w:r>
    </w:p>
    <w:p>
      <w:pPr>
        <w:spacing w:after="40"/>
        <w:ind w:left="216"/>
      </w:pPr>
      <w:r>
        <w:t>• Close the FAR 9.5 OCI analysis given operator-side research-origin knowledge of contractor exercise planners at SRF-JRMC wartime readiness group.</w:t>
      </w:r>
    </w:p>
    <w:p>
      <w:pPr>
        <w:spacing w:before="120"/>
      </w:pPr>
      <w:r>
        <w:rPr>
          <w:i/>
          <w:sz w:val="16"/>
        </w:rPr>
        <w:t>Derived from capture-brief-v0.1-draft.docx (2026-05-26); both built from sealed §§1, 3, 4, 5, 6, 7 of 00_research-file.md under the 2026-05-26 corrected scope. Verifier: claude-sonnet-4-6. Cross-AI red-team: Gemini Pro.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