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SRF-JRMC askSage Governance — Routing Package Index</w:t>
      </w:r>
    </w:p>
    <w:bookmarkStart w:id="9" w:name="X9ce80293bd22beae0a9f218c8bb1ee2dc63f977"/>
    <w:p>
      <w:pPr>
        <w:pStyle w:val="Heading1"/>
      </w:pPr>
      <w:r>
        <w:t xml:space="preserve">SRF-JRMC askSage Governance — Working-Group Routing Package</w:t>
      </w:r>
    </w:p>
    <w:p>
      <w:pPr>
        <w:pStyle w:val="FirstParagraph"/>
      </w:pPr>
      <w:r>
        <w:rPr>
          <w:i/>
          <w:iCs/>
        </w:rPr>
        <w:t xml:space="preserve">Transmittal / table of contents. This package contains everything the working group needs to</w:t>
      </w:r>
      <w:r>
        <w:rPr>
          <w:i/>
          <w:iCs/>
        </w:rPr>
        <w:t xml:space="preserve"> </w:t>
      </w:r>
      <w:r>
        <w:rPr>
          <w:i/>
          <w:iCs/>
        </w:rPr>
        <w:t xml:space="preserve">review the askSage governance instruction in context — the standard it was built against, how it</w:t>
      </w:r>
      <w:r>
        <w:rPr>
          <w:i/>
          <w:iCs/>
        </w:rPr>
        <w:t xml:space="preserve"> </w:t>
      </w:r>
      <w:r>
        <w:rPr>
          <w:i/>
          <w:iCs/>
        </w:rPr>
        <w:t xml:space="preserve">was derived, the instruction itself, and the artifacts that stand it up. Suggested reading order</w:t>
      </w:r>
      <w:r>
        <w:rPr>
          <w:i/>
          <w:iCs/>
        </w:rPr>
        <w:t xml:space="preserve"> </w:t>
      </w:r>
      <w:r>
        <w:rPr>
          <w:i/>
          <w:iCs/>
        </w:rPr>
        <w:t xml:space="preserve">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262"/>
        <w:gridCol w:w="271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Read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 &amp; comment sheet</w:t>
            </w:r>
          </w:p>
        </w:tc>
        <w:tc>
          <w:tcPr/>
          <w:p>
            <w:pPr>
              <w:pStyle w:val="Compact"/>
            </w:pPr>
            <w:r>
              <w:t xml:space="preserve">What’s decided, what the working group must resolve, comment-resolution table</w:t>
            </w:r>
          </w:p>
        </w:tc>
        <w:tc>
          <w:tcPr/>
          <w:p>
            <w:pPr>
              <w:pStyle w:val="Compact"/>
            </w:pPr>
            <w:r>
              <w:t xml:space="preserve">Start here; capture your comments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brief</w:t>
            </w:r>
          </w:p>
        </w:tc>
        <w:tc>
          <w:tcPr/>
          <w:p>
            <w:pPr>
              <w:pStyle w:val="Compact"/>
            </w:pPr>
            <w:r>
              <w:t xml:space="preserve">Why this exists, the standard, how it was built, the decisions already made</w:t>
            </w:r>
          </w:p>
        </w:tc>
        <w:tc>
          <w:tcPr/>
          <w:p>
            <w:pPr>
              <w:pStyle w:val="Compact"/>
            </w:pPr>
            <w:r>
              <w:t xml:space="preserve">Context before you mark up the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Landscape report</w:t>
            </w:r>
          </w:p>
        </w:tc>
        <w:tc>
          <w:tcPr/>
          <w:p>
            <w:pPr>
              <w:pStyle w:val="Compact"/>
            </w:pPr>
            <w:r>
              <w:t xml:space="preserve">What the military, corporate, federal, and regulated sectors actually do for AI governance (the standard)</w:t>
            </w:r>
          </w:p>
        </w:tc>
        <w:tc>
          <w:tcPr/>
          <w:p>
            <w:pPr>
              <w:pStyle w:val="Compact"/>
            </w:pPr>
            <w:r>
              <w:t xml:space="preserve">Reference — the basis for the instruction’s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 instruction (SRF-JRMC INST 5239.[__])</w:t>
            </w:r>
          </w:p>
        </w:tc>
        <w:tc>
          <w:tcPr/>
          <w:p>
            <w:pPr>
              <w:pStyle w:val="Compact"/>
            </w:pPr>
            <w:r>
              <w:t xml:space="preserve">The governing policy for askSage use</w:t>
            </w:r>
          </w:p>
        </w:tc>
        <w:tc>
          <w:tcPr/>
          <w:p>
            <w:pPr>
              <w:pStyle w:val="Compact"/>
            </w:pPr>
            <w:r>
              <w:t xml:space="preserve">The main review item — track-changes and 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authorization memo</w:t>
            </w:r>
          </w:p>
        </w:tc>
        <w:tc>
          <w:tcPr/>
          <w:p>
            <w:pPr>
              <w:pStyle w:val="Compact"/>
            </w:pPr>
            <w:r>
              <w:t xml:space="preserve">CO memo launching a limited, read-only pilot under the draft to validate it before promulgation</w:t>
            </w:r>
          </w:p>
        </w:tc>
        <w:tc>
          <w:tcPr/>
          <w:p>
            <w:pPr>
              <w:pStyle w:val="Compact"/>
            </w:pPr>
            <w:r>
              <w:t xml:space="preserve">The near-term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Departmental information-governance plan (template)</w:t>
            </w:r>
          </w:p>
        </w:tc>
        <w:tc>
          <w:tcPr/>
          <w:p>
            <w:pPr>
              <w:pStyle w:val="Compact"/>
            </w:pPr>
            <w:r>
              <w:t xml:space="preserve">The one-page plan each code completes before its people get access</w:t>
            </w:r>
          </w:p>
        </w:tc>
        <w:tc>
          <w:tcPr/>
          <w:p>
            <w:pPr>
              <w:pStyle w:val="Compact"/>
            </w:pPr>
            <w:r>
              <w:t xml:space="preserve">What each department fills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plan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“Responsible AI and Use”</w:t>
            </w:r>
            <w:r>
              <w:t xml:space="preserve"> </w:t>
            </w:r>
            <w:r>
              <w:t xml:space="preserve">training gate — sourced + command-specific</w:t>
            </w:r>
          </w:p>
        </w:tc>
        <w:tc>
          <w:tcPr/>
          <w:p>
            <w:pPr>
              <w:pStyle w:val="Compact"/>
            </w:pPr>
            <w:r>
              <w:t xml:space="preserve">How users qualify for 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work it:</w:t>
      </w:r>
      <w:r>
        <w:t xml:space="preserve"> </w:t>
      </w:r>
      <w:r>
        <w:t xml:space="preserve">read 0 and 1 first, skim 2 for the rationale, then review 3 (the instruction)</w:t>
      </w:r>
      <w:r>
        <w:t xml:space="preserve"> </w:t>
      </w:r>
      <w:r>
        <w:t xml:space="preserve">in detail with track-changes. 4–6 are the supporting artifacts that operationalize 3. Resolve the</w:t>
      </w:r>
      <w:r>
        <w:t xml:space="preserve"> </w:t>
      </w:r>
      <w:r>
        <w:t xml:space="preserve">“Working group to resolve”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[CONFIRM]</w:t>
      </w:r>
      <w:r>
        <w:t xml:space="preserve"> </w:t>
      </w:r>
      <w:r>
        <w:t xml:space="preserve">markers and record comments on the cover/comment sheet.</w:t>
      </w:r>
    </w:p>
    <w:p>
      <w:pPr>
        <w:pStyle w:val="BodyText"/>
      </w:pPr>
      <w:r>
        <w:rPr>
          <w:b/>
          <w:bCs/>
        </w:rPr>
        <w:t xml:space="preserve">Fill-ins before routing</w:t>
      </w:r>
      <w:r>
        <w:t xml:space="preserve"> </w:t>
      </w:r>
      <w:r>
        <w:t xml:space="preserve">(originator): date and comments-due on the cover sheet; this package</w:t>
      </w:r>
      <w:r>
        <w:t xml:space="preserve"> </w:t>
      </w:r>
      <w:r>
        <w:t xml:space="preserve">is a draft for review, not a promulgated instruction.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SRF-JRMC askSage Governance — Routing Package Index</dc:title>
  <dc:creator/>
  <cp:keywords/>
  <dcterms:created xsi:type="dcterms:W3CDTF">2026-06-22T01:20:27Z</dcterms:created>
  <dcterms:modified xsi:type="dcterms:W3CDTF">2026-06-22T01:20:27Z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