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Governance Landscape Report</w:t>
      </w:r>
    </w:p>
    <w:bookmarkStart w:id="18" w:name="ai-governance-landscape"/>
    <w:p>
      <w:pPr>
        <w:pStyle w:val="Heading1"/>
      </w:pPr>
      <w:r>
        <w:t xml:space="preserve">AI Governance Landscape</w:t>
      </w:r>
    </w:p>
    <w:p>
      <w:pPr>
        <w:pStyle w:val="FirstParagraph"/>
      </w:pPr>
      <w:r>
        <w:t xml:space="preserve">This report documents how other organizations govern artificial intelligence (AI):</w:t>
      </w:r>
      <w:r>
        <w:t xml:space="preserve"> </w:t>
      </w:r>
      <w:r>
        <w:t xml:space="preserve">the U.S. military, large corporations, cross-industry standards bodies, regulated</w:t>
      </w:r>
      <w:r>
        <w:t xml:space="preserve"> </w:t>
      </w:r>
      <w:r>
        <w:t xml:space="preserve">industries, and the civilian federal government. It is a landscape, not a</w:t>
      </w:r>
      <w:r>
        <w:t xml:space="preserve"> </w:t>
      </w:r>
      <w:r>
        <w:t xml:space="preserve">recommendation. It deliberately does not grade or rewrite any draft instruction;</w:t>
      </w:r>
      <w:r>
        <w:t xml:space="preserve"> </w:t>
      </w:r>
      <w:r>
        <w:t xml:space="preserve">mapping these findings onto a specific SRF-JRMC policy is a separate later pass.</w:t>
      </w:r>
      <w:r>
        <w:t xml:space="preserve"> </w:t>
      </w:r>
      <w:r>
        <w:t xml:space="preserve">The aim is narrow and useful: before you write your own AI governance policy, see</w:t>
      </w:r>
      <w:r>
        <w:t xml:space="preserve"> </w:t>
      </w:r>
      <w:r>
        <w:t xml:space="preserve">the shape of the ones already in the field.</w:t>
      </w:r>
    </w:p>
    <w:p>
      <w:pPr>
        <w:pStyle w:val="BlockText"/>
      </w:pPr>
      <w:r>
        <w:rPr>
          <w:b/>
          <w:bCs/>
        </w:rPr>
        <w:t xml:space="preserve">Where this sits now (2026-06-19):</w:t>
      </w:r>
      <w:r>
        <w:t xml:space="preserve"> </w:t>
      </w:r>
      <w:r>
        <w:t xml:space="preserve">this report is product 1 of 3 and stays a</w:t>
      </w:r>
      <w:r>
        <w:t xml:space="preserve"> </w:t>
      </w:r>
      <w:r>
        <w:t xml:space="preserve">reusable reference. The downstream products it fed now exist: the gap analysis</w:t>
      </w:r>
      <w:r>
        <w:t xml:space="preserve"> </w:t>
      </w:r>
      <w:r>
        <w:t xml:space="preserve">(</w:t>
      </w:r>
      <w:r>
        <w:rPr>
          <w:rStyle w:val="VerbatimChar"/>
        </w:rPr>
        <w:t xml:space="preserve">gap-analysis.md</w:t>
      </w:r>
      <w:r>
        <w:t xml:space="preserve">) and the rewritten instruction (</w:t>
      </w:r>
      <w:r>
        <w:rPr>
          <w:rStyle w:val="VerbatimChar"/>
        </w:rPr>
        <w:t xml:space="preserve">03_instruction/instruction-v0.3.md</w:t>
      </w:r>
      <w:r>
        <w:t xml:space="preserve">).</w:t>
      </w:r>
      <w:r>
        <w:t xml:space="preserve"> </w:t>
      </w:r>
      <w:r>
        <w:t xml:space="preserve">This report is unchanged in substance; it is the standard the others were measured against.</w:t>
      </w:r>
    </w:p>
    <w:p>
      <w:pPr>
        <w:pStyle w:val="FirstParagraph"/>
      </w:pPr>
      <w:r>
        <w:rPr>
          <w:b/>
          <w:bCs/>
        </w:rPr>
        <w:t xml:space="preserve">Labeling.</w:t>
      </w:r>
      <w:r>
        <w:t xml:space="preserve"> </w:t>
      </w:r>
      <w:r>
        <w:t xml:space="preserve">A statement that</w:t>
      </w:r>
      <w:r>
        <w:t xml:space="preserve"> </w:t>
      </w:r>
      <w:r>
        <w:t xml:space="preserve">“Organization X does Y”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FACT</w:t>
      </w:r>
      <w:r>
        <w:t xml:space="preserve"> </w:t>
      </w:r>
      <w:r>
        <w:t xml:space="preserve">when a cited</w:t>
      </w:r>
      <w:r>
        <w:t xml:space="preserve"> </w:t>
      </w:r>
      <w:r>
        <w:t xml:space="preserve">source says so; the citation slug (for example</w:t>
      </w:r>
      <w:r>
        <w:t xml:space="preserve"> </w:t>
      </w:r>
      <w:r>
        <w:rPr>
          <w:rStyle w:val="VerbatimChar"/>
        </w:rPr>
        <w:t xml:space="preserve">[nist-ai-rmf]</w:t>
      </w:r>
      <w:r>
        <w:t xml:space="preserve">) resolves in</w:t>
      </w:r>
      <w:r>
        <w:t xml:space="preserve"> </w:t>
      </w:r>
      <w:r>
        <w:rPr>
          <w:rStyle w:val="VerbatimChar"/>
        </w:rPr>
        <w:t xml:space="preserve">../source-ledger.md</w:t>
      </w:r>
      <w:r>
        <w:t xml:space="preserve">, and the full quote lives in the matching</w:t>
      </w:r>
      <w:r>
        <w:t xml:space="preserve"> </w:t>
      </w:r>
      <w:r>
        <w:rPr>
          <w:rStyle w:val="VerbatimChar"/>
        </w:rPr>
        <w:t xml:space="preserve">01_sources/</w:t>
      </w:r>
      <w:r>
        <w:t xml:space="preserve"> </w:t>
      </w:r>
      <w:r>
        <w:t xml:space="preserve">file. Anything that is my reading of the pattern is marked</w:t>
      </w:r>
      <w:r>
        <w:t xml:space="preserve"> </w:t>
      </w:r>
      <w:r>
        <w:rPr>
          <w:b/>
          <w:bCs/>
        </w:rPr>
        <w:t xml:space="preserve">Assessment</w:t>
      </w:r>
      <w:r>
        <w:t xml:space="preserve">.</w:t>
      </w:r>
      <w:r>
        <w:t xml:space="preserve"> </w:t>
      </w:r>
      <w:r>
        <w:t xml:space="preserve">Unconfirmed leads are marked</w:t>
      </w:r>
      <w:r>
        <w:t xml:space="preserve"> </w:t>
      </w:r>
      <w:r>
        <w:rPr>
          <w:b/>
          <w:bCs/>
        </w:rPr>
        <w:t xml:space="preserve">Speculation / unverified</w:t>
      </w:r>
      <w:r>
        <w:t xml:space="preserve"> </w:t>
      </w:r>
      <w:r>
        <w:t xml:space="preserve">and must not be treated</w:t>
      </w:r>
      <w:r>
        <w:t xml:space="preserve"> </w:t>
      </w:r>
      <w:r>
        <w:t xml:space="preserve">as fact. Two honesty notes carried from the research: McKinsey article bodies could</w:t>
      </w:r>
      <w:r>
        <w:t xml:space="preserve"> </w:t>
      </w:r>
      <w:r>
        <w:t xml:space="preserve">not be retrieved (their claims here are from McKinsey’s own search abstracts, not</w:t>
      </w:r>
      <w:r>
        <w:t xml:space="preserve"> </w:t>
      </w:r>
      <w:r>
        <w:t xml:space="preserve">full text, and are flagged for you to pull behind your subscription), and several</w:t>
      </w:r>
      <w:r>
        <w:t xml:space="preserve"> </w:t>
      </w:r>
      <w:r>
        <w:t xml:space="preserve">primary</w:t>
      </w:r>
      <w:r>
        <w:t xml:space="preserve"> </w:t>
      </w:r>
      <w:r>
        <w:rPr>
          <w:rStyle w:val="VerbatimChar"/>
        </w:rPr>
        <w:t xml:space="preserve">.mil</w:t>
      </w:r>
      <w:r>
        <w:t xml:space="preserve">/</w:t>
      </w:r>
      <w:r>
        <w:rPr>
          <w:rStyle w:val="VerbatimChar"/>
        </w:rPr>
        <w:t xml:space="preserve">.gov</w:t>
      </w:r>
      <w:r>
        <w:t xml:space="preserve"> </w:t>
      </w:r>
      <w:r>
        <w:t xml:space="preserve">pages hard-blocked the fetcher, so a few items rest on</w:t>
      </w:r>
      <w:r>
        <w:t xml:space="preserve"> </w:t>
      </w:r>
      <w:r>
        <w:t xml:space="preserve">reputable secondary sources that quote the primary. See the reliability section.</w:t>
      </w:r>
      <w:r>
        <w:t xml:space="preserve"> </w:t>
      </w:r>
      <w:r>
        <w:t xml:space="preserve">(Update, v0.2: both Harvard Business Review pieces have now been read in full from</w:t>
      </w:r>
      <w:r>
        <w:t xml:space="preserve"> </w:t>
      </w:r>
      <w:r>
        <w:t xml:space="preserve">operator-provided PDFs; their claims below rest on full text, not abstracts.)</w:t>
      </w:r>
    </w:p>
    <w:p>
      <w:r>
        <w:pict>
          <v:rect style="width:0;height:1.5pt" o:hralign="center" o:hrstd="t" o:hr="t"/>
        </w:pict>
      </w:r>
    </w:p>
    <w:bookmarkStart w:id="9" w:name="tldr-the-seven-things-everybody-does"/>
    <w:p>
      <w:pPr>
        <w:pStyle w:val="Heading2"/>
      </w:pPr>
      <w:r>
        <w:t xml:space="preserve">TL;DR — the seven things everybody does</w:t>
      </w:r>
    </w:p>
    <w:p>
      <w:pPr>
        <w:pStyle w:val="FirstParagraph"/>
      </w:pPr>
      <w:r>
        <w:rPr>
          <w:b/>
          <w:bCs/>
        </w:rPr>
        <w:t xml:space="preserve">Assessment.</w:t>
      </w:r>
      <w:r>
        <w:t xml:space="preserve"> </w:t>
      </w:r>
      <w:r>
        <w:t xml:space="preserve">Across military, corporate, federal, banking, and healthcare</w:t>
      </w:r>
      <w:r>
        <w:t xml:space="preserve"> </w:t>
      </w:r>
      <w:r>
        <w:t xml:space="preserve">sources, the same seven governance primitives recur. The vocabulary differs by</w:t>
      </w:r>
      <w:r>
        <w:t xml:space="preserve"> </w:t>
      </w:r>
      <w:r>
        <w:t xml:space="preserve">sector, but the machine underneath is strikingly consistent. If there is one</w:t>
      </w:r>
      <w:r>
        <w:t xml:space="preserve"> </w:t>
      </w:r>
      <w:r>
        <w:t xml:space="preserve">takeaway, it is that mature AI governance is not a document, it is these seven</w:t>
      </w:r>
      <w:r>
        <w:t xml:space="preserve"> </w:t>
      </w:r>
      <w:r>
        <w:t xml:space="preserve">standing functions: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named accountable owner plus a standing governance body.</w:t>
      </w:r>
      <w:r>
        <w:t xml:space="preserve"> </w:t>
      </w:r>
      <w:r>
        <w:t xml:space="preserve">A single</w:t>
      </w:r>
      <w:r>
        <w:t xml:space="preserve"> </w:t>
      </w:r>
      <w:r>
        <w:t xml:space="preserve">senior person who owns the policy (Chief AI Officer, Authorizing Official,</w:t>
      </w:r>
      <w:r>
        <w:t xml:space="preserve"> </w:t>
      </w:r>
      <w:r>
        <w:t xml:space="preserve">model-risk head), sitting over a cross-functional committee that meets on a</w:t>
      </w:r>
      <w:r>
        <w:t xml:space="preserve"> </w:t>
      </w:r>
      <w:r>
        <w:t xml:space="preserve">set cadence.</w:t>
      </w:r>
      <w:r>
        <w:t xml:space="preserve"> </w:t>
      </w:r>
      <w:r>
        <w:rPr>
          <w:rStyle w:val="VerbatimChar"/>
        </w:rPr>
        <w:t xml:space="preserve">[dod-caio-statement]</w:t>
      </w:r>
      <w:r>
        <w:t xml:space="preserve"> </w:t>
      </w:r>
      <w:r>
        <w:rPr>
          <w:rStyle w:val="VerbatimChar"/>
        </w:rPr>
        <w:t xml:space="preserve">[omb-m-25-21]</w:t>
      </w:r>
      <w:r>
        <w:t xml:space="preserve"> </w:t>
      </w:r>
      <w:r>
        <w:rPr>
          <w:rStyle w:val="VerbatimChar"/>
        </w:rPr>
        <w:t xml:space="preserve">[diligent-ai-gov]</w:t>
      </w:r>
      <w:r>
        <w:t xml:space="preserve"> </w:t>
      </w:r>
      <w:r>
        <w:rPr>
          <w:rStyle w:val="VerbatimChar"/>
        </w:rPr>
        <w:t xml:space="preserve">[nist-ai-rmf]</w:t>
      </w:r>
      <w:r>
        <w:t xml:space="preserve"> </w:t>
      </w:r>
      <w:r>
        <w:rPr>
          <w:rStyle w:val="VerbatimChar"/>
        </w:rPr>
        <w:t xml:space="preserve">[sr-11-7]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inventory of AI use cases, bound to a risk tier.</w:t>
      </w:r>
      <w:r>
        <w:t xml:space="preserve"> </w:t>
      </w:r>
      <w:r>
        <w:t xml:space="preserve">You cannot govern what</w:t>
      </w:r>
      <w:r>
        <w:t xml:space="preserve"> </w:t>
      </w:r>
      <w:r>
        <w:t xml:space="preserve">you have not catalogued. Every regime keeps a register and classifies each</w:t>
      </w:r>
      <w:r>
        <w:t xml:space="preserve"> </w:t>
      </w:r>
      <w:r>
        <w:t xml:space="preserve">entry by risk so controls scale to consequence.</w:t>
      </w:r>
      <w:r>
        <w:t xml:space="preserve"> </w:t>
      </w:r>
      <w:r>
        <w:rPr>
          <w:rStyle w:val="VerbatimChar"/>
        </w:rPr>
        <w:t xml:space="preserve">[omb-m-25-21]</w:t>
      </w:r>
      <w:r>
        <w:t xml:space="preserve"> </w:t>
      </w:r>
      <w:r>
        <w:rPr>
          <w:rStyle w:val="VerbatimChar"/>
        </w:rPr>
        <w:t xml:space="preserve">[diligent-ai-gov]</w:t>
      </w:r>
      <w:r>
        <w:t xml:space="preserve"> </w:t>
      </w:r>
      <w:r>
        <w:rPr>
          <w:rStyle w:val="VerbatimChar"/>
        </w:rPr>
        <w:t xml:space="preserve">[sr-11-7]</w:t>
      </w:r>
      <w:r>
        <w:t xml:space="preserve"> </w:t>
      </w:r>
      <w:r>
        <w:rPr>
          <w:rStyle w:val="VerbatimChar"/>
        </w:rPr>
        <w:t xml:space="preserve">[eu-ai-act]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tiering that drives proportional controls.</w:t>
      </w:r>
      <w:r>
        <w:t xml:space="preserve"> </w:t>
      </w:r>
      <w:r>
        <w:t xml:space="preserve">Light touch for low-risk</w:t>
      </w:r>
      <w:r>
        <w:t xml:space="preserve"> </w:t>
      </w:r>
      <w:r>
        <w:t xml:space="preserve">uses, hard gates and extra review for high-risk ones. The EU writes this into</w:t>
      </w:r>
      <w:r>
        <w:t xml:space="preserve"> </w:t>
      </w:r>
      <w:r>
        <w:t xml:space="preserve">law; enterprises and agencies mirror it internally.</w:t>
      </w:r>
      <w:r>
        <w:t xml:space="preserve"> </w:t>
      </w:r>
      <w:r>
        <w:rPr>
          <w:rStyle w:val="VerbatimChar"/>
        </w:rPr>
        <w:t xml:space="preserve">[eu-ai-act]</w:t>
      </w:r>
      <w:r>
        <w:t xml:space="preserve"> </w:t>
      </w:r>
      <w:r>
        <w:rPr>
          <w:rStyle w:val="VerbatimChar"/>
        </w:rPr>
        <w:t xml:space="preserve">[omb-m-25-21]</w:t>
      </w:r>
      <w:r>
        <w:t xml:space="preserve"> </w:t>
      </w:r>
      <w:r>
        <w:rPr>
          <w:rStyle w:val="VerbatimChar"/>
        </w:rPr>
        <w:t xml:space="preserve">[sg-model-ai-gov]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review before consequential action.</w:t>
      </w:r>
      <w:r>
        <w:t xml:space="preserve"> </w:t>
      </w:r>
      <w:r>
        <w:t xml:space="preserve">A person validates or approves</w:t>
      </w:r>
      <w:r>
        <w:t xml:space="preserve"> </w:t>
      </w:r>
      <w:r>
        <w:t xml:space="preserve">before a high-stakes output is used or released.</w:t>
      </w:r>
      <w:r>
        <w:t xml:space="preserve"> </w:t>
      </w:r>
      <w:r>
        <w:rPr>
          <w:rStyle w:val="VerbatimChar"/>
        </w:rPr>
        <w:t xml:space="preserve">[omb-m-25-21]</w:t>
      </w:r>
      <w:r>
        <w:t xml:space="preserve"> </w:t>
      </w:r>
      <w:r>
        <w:rPr>
          <w:rStyle w:val="VerbatimChar"/>
        </w:rPr>
        <w:t xml:space="preserve">[dodi-5400.19]</w:t>
      </w:r>
      <w:r>
        <w:t xml:space="preserve"> </w:t>
      </w:r>
      <w:r>
        <w:rPr>
          <w:rStyle w:val="VerbatimChar"/>
        </w:rPr>
        <w:t xml:space="preserve">[anthropic-agent-framework]</w:t>
      </w:r>
      <w:r>
        <w:t xml:space="preserve"> </w:t>
      </w:r>
      <w:r>
        <w:rPr>
          <w:rStyle w:val="VerbatimChar"/>
        </w:rPr>
        <w:t xml:space="preserve">[sg-model-ai-gov]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Strict data-handling boundaries.</w:t>
      </w:r>
      <w:r>
        <w:t xml:space="preserve"> </w:t>
      </w:r>
      <w:r>
        <w:t xml:space="preserve">What data may enter which system, set by</w:t>
      </w:r>
      <w:r>
        <w:t xml:space="preserve"> </w:t>
      </w:r>
      <w:r>
        <w:t xml:space="preserve">sensitivity, with a bright line against pouring protected data into tools that</w:t>
      </w:r>
      <w:r>
        <w:t xml:space="preserve"> </w:t>
      </w:r>
      <w:r>
        <w:t xml:space="preserve">are not authorized for it.</w:t>
      </w:r>
      <w:r>
        <w:t xml:space="preserve"> </w:t>
      </w:r>
      <w:r>
        <w:rPr>
          <w:rStyle w:val="VerbatimChar"/>
        </w:rPr>
        <w:t xml:space="preserve">[dodi-5400.19]</w:t>
      </w:r>
      <w:r>
        <w:t xml:space="preserve"> </w:t>
      </w:r>
      <w:r>
        <w:rPr>
          <w:rStyle w:val="VerbatimChar"/>
        </w:rPr>
        <w:t xml:space="preserve">[navy-genai-mil]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Lifecycle monitoring, not one-time sign-off.</w:t>
      </w:r>
      <w:r>
        <w:t xml:space="preserve"> </w:t>
      </w:r>
      <w:r>
        <w:t xml:space="preserve">Approval is a gate, then</w:t>
      </w:r>
      <w:r>
        <w:t xml:space="preserve"> </w:t>
      </w:r>
      <w:r>
        <w:t xml:space="preserve">continuous monitoring watches for drift, degradation, and new failure modes.</w:t>
      </w:r>
      <w:r>
        <w:t xml:space="preserve"> </w:t>
      </w:r>
      <w:r>
        <w:rPr>
          <w:rStyle w:val="VerbatimChar"/>
        </w:rPr>
        <w:t xml:space="preserve">[gao-21-519sp]</w:t>
      </w:r>
      <w:r>
        <w:t xml:space="preserve"> </w:t>
      </w:r>
      <w:r>
        <w:rPr>
          <w:rStyle w:val="VerbatimChar"/>
        </w:rPr>
        <w:t xml:space="preserve">[fda-ai-device]</w:t>
      </w:r>
      <w:r>
        <w:t xml:space="preserve"> </w:t>
      </w:r>
      <w:r>
        <w:rPr>
          <w:rStyle w:val="VerbatimChar"/>
        </w:rPr>
        <w:t xml:space="preserve">[sr-11-7]</w:t>
      </w:r>
      <w:r>
        <w:t xml:space="preserve"> </w:t>
      </w:r>
      <w:r>
        <w:rPr>
          <w:rStyle w:val="VerbatimChar"/>
        </w:rPr>
        <w:t xml:space="preserve">[nist-ai-rmf]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challenge and audit.</w:t>
      </w:r>
      <w:r>
        <w:t xml:space="preserve"> </w:t>
      </w:r>
      <w:r>
        <w:t xml:space="preserve">Someone separate from the builder can</w:t>
      </w:r>
      <w:r>
        <w:t xml:space="preserve"> </w:t>
      </w:r>
      <w:r>
        <w:t xml:space="preserve">question, validate, and if needed halt the system, with audit trails to make</w:t>
      </w:r>
      <w:r>
        <w:t xml:space="preserve"> </w:t>
      </w:r>
      <w:r>
        <w:t xml:space="preserve">that possible. This is the function that most distinguishes a mature regime</w:t>
      </w:r>
      <w:r>
        <w:t xml:space="preserve"> </w:t>
      </w:r>
      <w:r>
        <w:t xml:space="preserve">from a checklist.</w:t>
      </w:r>
      <w:r>
        <w:t xml:space="preserve"> </w:t>
      </w:r>
      <w:r>
        <w:rPr>
          <w:rStyle w:val="VerbatimChar"/>
        </w:rPr>
        <w:t xml:space="preserve">[gao-21-519sp]</w:t>
      </w:r>
      <w:r>
        <w:t xml:space="preserve"> </w:t>
      </w:r>
      <w:r>
        <w:rPr>
          <w:rStyle w:val="VerbatimChar"/>
        </w:rPr>
        <w:t xml:space="preserve">[sr-11-7]</w:t>
      </w:r>
    </w:p>
    <w:p>
      <w:pPr>
        <w:pStyle w:val="FirstParagraph"/>
      </w:pPr>
      <w:r>
        <w:rPr>
          <w:b/>
          <w:bCs/>
        </w:rPr>
        <w:t xml:space="preserve">Assessment.</w:t>
      </w:r>
      <w:r>
        <w:t xml:space="preserve"> </w:t>
      </w:r>
      <w:r>
        <w:t xml:space="preserve">The agentic layer (Section 4) adds a further set of controls that</w:t>
      </w:r>
      <w:r>
        <w:t xml:space="preserve"> </w:t>
      </w:r>
      <w:r>
        <w:t xml:space="preserve">ordinary chatbot governance does not need: per-agent identity, write-action</w:t>
      </w:r>
      <w:r>
        <w:t xml:space="preserve"> </w:t>
      </w:r>
      <w:r>
        <w:t xml:space="preserve">gating, runaway-loop and cost brakes, and agent-speed kill switches. Those are the</w:t>
      </w:r>
      <w:r>
        <w:t xml:space="preserve"> </w:t>
      </w:r>
      <w:r>
        <w:t xml:space="preserve">controls most specific to an askSage-class platform.</w:t>
      </w:r>
    </w:p>
    <w:p>
      <w:r>
        <w:pict>
          <v:rect style="width:0;height:1.5pt" o:hralign="center" o:hrstd="t" o:hr="t"/>
        </w:pict>
      </w:r>
    </w:p>
    <w:bookmarkEnd w:id="9"/>
    <w:bookmarkStart w:id="10" w:name="X71773520fe5ed4ec1fd9ba769fbf97902e6e4c8"/>
    <w:p>
      <w:pPr>
        <w:pStyle w:val="Heading2"/>
      </w:pPr>
      <w:r>
        <w:t xml:space="preserve">1. The military: one authority, five principles, a hard data line</w:t>
      </w:r>
    </w:p>
    <w:p>
      <w:pPr>
        <w:pStyle w:val="FirstParagraph"/>
      </w:pPr>
      <w:r>
        <w:rPr>
          <w:b/>
          <w:bCs/>
        </w:rPr>
        <w:t xml:space="preserve">The U.S. Department of Defense (DoD) runs AI governance as hub-and-spoke: a</w:t>
      </w:r>
      <w:r>
        <w:rPr>
          <w:b/>
          <w:bCs/>
        </w:rPr>
        <w:t xml:space="preserve"> </w:t>
      </w:r>
      <w:r>
        <w:rPr>
          <w:b/>
          <w:bCs/>
        </w:rPr>
        <w:t xml:space="preserve">single office sets policy, the components execute.</w:t>
      </w:r>
      <w:r>
        <w:t xml:space="preserve"> </w:t>
      </w:r>
      <w:r>
        <w:t xml:space="preserve">The Chief Digital and</w:t>
      </w:r>
      <w:r>
        <w:t xml:space="preserve"> </w:t>
      </w:r>
      <w:r>
        <w:t xml:space="preserve">Artificial Intelligence Office (CDAO) is the DoD lead for AI policy and oversight,</w:t>
      </w:r>
      <w:r>
        <w:t xml:space="preserve"> </w:t>
      </w:r>
      <w:r>
        <w:t xml:space="preserve">and the CDAO is explicitly named as the Department’s Chief AI Officer (CAIO); the</w:t>
      </w:r>
      <w:r>
        <w:t xml:space="preserve"> </w:t>
      </w:r>
      <w:r>
        <w:t xml:space="preserve">CDAO Council is described as</w:t>
      </w:r>
      <w:r>
        <w:t xml:space="preserve"> </w:t>
      </w:r>
      <w:r>
        <w:t xml:space="preserve">“the DoD’s AI governance body.”</w:t>
      </w:r>
      <w:r>
        <w:t xml:space="preserve"> </w:t>
      </w:r>
      <w:r>
        <w:rPr>
          <w:rStyle w:val="VerbatimChar"/>
        </w:rPr>
        <w:t xml:space="preserve">[dod-caio-statement]</w:t>
      </w:r>
      <w:r>
        <w:t xml:space="preserve"> </w:t>
      </w:r>
      <w:r>
        <w:rPr>
          <w:rStyle w:val="VerbatimChar"/>
        </w:rPr>
        <w:t xml:space="preserve">[dod-rai-strategy]</w:t>
      </w:r>
      <w:r>
        <w:t xml:space="preserve"> </w:t>
      </w:r>
      <w:r>
        <w:t xml:space="preserve">The stated operating model is</w:t>
      </w:r>
      <w:r>
        <w:t xml:space="preserve"> </w:t>
      </w:r>
      <w:r>
        <w:t xml:space="preserve">“centralized coordination of</w:t>
      </w:r>
      <w:r>
        <w:t xml:space="preserve"> </w:t>
      </w:r>
      <w:r>
        <w:t xml:space="preserve">RAI policies and guidance with decentralized execution.”</w:t>
      </w:r>
      <w:r>
        <w:t xml:space="preserve"> </w:t>
      </w:r>
      <w:r>
        <w:rPr>
          <w:rStyle w:val="VerbatimChar"/>
        </w:rPr>
        <w:t xml:space="preserve">[dod-rai-strategy]</w:t>
      </w:r>
    </w:p>
    <w:p>
      <w:pPr>
        <w:pStyle w:val="BodyText"/>
      </w:pPr>
      <w:r>
        <w:rPr>
          <w:b/>
          <w:bCs/>
        </w:rPr>
        <w:t xml:space="preserve">FACT.</w:t>
      </w:r>
      <w:r>
        <w:t xml:space="preserve"> </w:t>
      </w:r>
      <w:r>
        <w:t xml:space="preserve">The normative spine is the five DoD AI Ethical Principles, adopted</w:t>
      </w:r>
      <w:r>
        <w:t xml:space="preserve"> </w:t>
      </w:r>
      <w:r>
        <w:t xml:space="preserve">February 2020: Responsible, Equitable, Traceable, Reliable, and Governable.</w:t>
      </w:r>
      <w:r>
        <w:t xml:space="preserve"> </w:t>
      </w:r>
      <w:r>
        <w:rPr>
          <w:rStyle w:val="VerbatimChar"/>
        </w:rPr>
        <w:t xml:space="preserve">[dod-ai-ethical-principles]</w:t>
      </w:r>
      <w:r>
        <w:t xml:space="preserve"> </w:t>
      </w:r>
      <w:r>
        <w:t xml:space="preserve">Two of these do governance work directly.</w:t>
      </w:r>
      <w:r>
        <w:t xml:space="preserve"> </w:t>
      </w:r>
      <w:r>
        <w:t xml:space="preserve">“Responsible”</w:t>
      </w:r>
      <w:r>
        <w:t xml:space="preserve"> </w:t>
      </w:r>
      <w:r>
        <w:t xml:space="preserve">hard-codes human accountability (</w:t>
      </w:r>
      <w:r>
        <w:t xml:space="preserve">“DoD personnel will exercise</w:t>
      </w:r>
      <w:r>
        <w:t xml:space="preserve"> </w:t>
      </w:r>
      <w:r>
        <w:t xml:space="preserve">appropriate levels of judgment and care, while remaining responsible for the</w:t>
      </w:r>
      <w:r>
        <w:t xml:space="preserve"> </w:t>
      </w:r>
      <w:r>
        <w:t xml:space="preserve">development, deployment, and use of AI capabilities”</w:t>
      </w:r>
      <w:r>
        <w:t xml:space="preserve">).</w:t>
      </w:r>
      <w:r>
        <w:t xml:space="preserve"> </w:t>
      </w:r>
      <w:r>
        <w:t xml:space="preserve">“Governable”</w:t>
      </w:r>
      <w:r>
        <w:t xml:space="preserve"> </w:t>
      </w:r>
      <w:r>
        <w:t xml:space="preserve">requires a</w:t>
      </w:r>
      <w:r>
        <w:t xml:space="preserve"> </w:t>
      </w:r>
      <w:r>
        <w:t xml:space="preserve">built-in off-switch (</w:t>
      </w:r>
      <w:r>
        <w:t xml:space="preserve">“the ability to disengage or deactivate deployed systems that</w:t>
      </w:r>
      <w:r>
        <w:t xml:space="preserve"> </w:t>
      </w:r>
      <w:r>
        <w:t xml:space="preserve">demonstrate unintended behavior”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[dod-ai-ethical-principles]</w:t>
      </w:r>
      <w:r>
        <w:t xml:space="preserve"> </w:t>
      </w:r>
      <w:r>
        <w:t xml:space="preserve">The Responsible AI</w:t>
      </w:r>
      <w:r>
        <w:t xml:space="preserve"> </w:t>
      </w:r>
      <w:r>
        <w:t xml:space="preserve">(RAI) Strategy and Implementation Pathway (2022) turns the principles into six</w:t>
      </w:r>
      <w:r>
        <w:t xml:space="preserve"> </w:t>
      </w:r>
      <w:r>
        <w:t xml:space="preserve">Foundational Tenets, each broken into Lines of Effort with an assigned Office of</w:t>
      </w:r>
      <w:r>
        <w:t xml:space="preserve"> </w:t>
      </w:r>
      <w:r>
        <w:t xml:space="preserve">Primary Responsibility.</w:t>
      </w:r>
      <w:r>
        <w:t xml:space="preserve"> </w:t>
      </w:r>
      <w:r>
        <w:rPr>
          <w:rStyle w:val="VerbatimChar"/>
        </w:rPr>
        <w:t xml:space="preserve">[dod-rai-strategy]</w:t>
      </w:r>
    </w:p>
    <w:p>
      <w:pPr>
        <w:pStyle w:val="BodyText"/>
      </w:pPr>
      <w:r>
        <w:rPr>
          <w:b/>
          <w:bCs/>
        </w:rPr>
        <w:t xml:space="preserve">On generative AI specifically, the pattern has been pilot-then-codify.</w:t>
      </w:r>
      <w:r>
        <w:t xml:space="preserve"> </w:t>
      </w:r>
      <w:r>
        <w:t xml:space="preserve">The DoD</w:t>
      </w:r>
      <w:r>
        <w:t xml:space="preserve"> </w:t>
      </w:r>
      <w:r>
        <w:t xml:space="preserve">stood up Task Force Lima (August 2023) to study generative AI and large language</w:t>
      </w:r>
      <w:r>
        <w:t xml:space="preserve"> </w:t>
      </w:r>
      <w:r>
        <w:t xml:space="preserve">models, then sunset it (December 2024) and federated the work to standing offices,</w:t>
      </w:r>
      <w:r>
        <w:t xml:space="preserve"> </w:t>
      </w:r>
      <w:r>
        <w:t xml:space="preserve">launching an AI Rapid Capabilities Cell to scale adoption.</w:t>
      </w:r>
      <w:r>
        <w:t xml:space="preserve"> </w:t>
      </w:r>
      <w:r>
        <w:rPr>
          <w:rStyle w:val="VerbatimChar"/>
        </w:rPr>
        <w:t xml:space="preserve">[tf-lima-charter]</w:t>
      </w:r>
      <w:r>
        <w:t xml:space="preserve"> </w:t>
      </w:r>
      <w:r>
        <w:rPr>
          <w:rStyle w:val="VerbatimChar"/>
        </w:rPr>
        <w:t xml:space="preserve">[tf-lima-execsum]</w:t>
      </w:r>
      <w:r>
        <w:t xml:space="preserve"> </w:t>
      </w:r>
      <w:r>
        <w:rPr>
          <w:rStyle w:val="VerbatimChar"/>
        </w:rPr>
        <w:t xml:space="preserve">[ai-rcc]</w:t>
      </w:r>
      <w:r>
        <w:t xml:space="preserve"> </w:t>
      </w:r>
      <w:r>
        <w:t xml:space="preserve">The current acceptable-use rule set with real teeth</w:t>
      </w:r>
      <w:r>
        <w:t xml:space="preserve"> </w:t>
      </w:r>
      <w:r>
        <w:t xml:space="preserve">is DoD Instruction 5400.19 (effective July 2025), which governs public-affairs use</w:t>
      </w:r>
      <w:r>
        <w:t xml:space="preserve"> </w:t>
      </w:r>
      <w:r>
        <w:t xml:space="preserve">of AI and states the bright line plainly:</w:t>
      </w:r>
      <w:r>
        <w:t xml:space="preserve"> </w:t>
      </w:r>
      <w:r>
        <w:t xml:space="preserve">“Commercial AI solutions outside of the</w:t>
      </w:r>
      <w:r>
        <w:t xml:space="preserve"> </w:t>
      </w:r>
      <w:r>
        <w:t xml:space="preserve">DoD’s control are not authorized for any non-public information.”</w:t>
      </w:r>
      <w:r>
        <w:t xml:space="preserve"> </w:t>
      </w:r>
      <w:r>
        <w:rPr>
          <w:rStyle w:val="VerbatimChar"/>
        </w:rPr>
        <w:t xml:space="preserve">[dodi-5400.19]</w:t>
      </w:r>
      <w:r>
        <w:t xml:space="preserve"> </w:t>
      </w:r>
      <w:r>
        <w:t xml:space="preserve">It also requires pre-use assessment, continuous monitoring, human oversight and</w:t>
      </w:r>
      <w:r>
        <w:t xml:space="preserve"> </w:t>
      </w:r>
      <w:r>
        <w:t xml:space="preserve">approval of generative outputs before public release, provenance labeling, and</w:t>
      </w:r>
      <w:r>
        <w:t xml:space="preserve"> </w:t>
      </w:r>
      <w:r>
        <w:t xml:space="preserve">reporting of anomalous outputs to the Component Chief Information Officer.</w:t>
      </w:r>
      <w:r>
        <w:t xml:space="preserve"> </w:t>
      </w:r>
      <w:r>
        <w:rPr>
          <w:rStyle w:val="VerbatimChar"/>
        </w:rPr>
        <w:t xml:space="preserve">[dodi-5400.19]</w:t>
      </w:r>
      <w:r>
        <w:t xml:space="preserve"> </w:t>
      </w:r>
      <w:r>
        <w:t xml:space="preserve">Authorization runs through the DoD Risk Management Framework, with</w:t>
      </w:r>
      <w:r>
        <w:t xml:space="preserve"> </w:t>
      </w:r>
      <w:r>
        <w:t xml:space="preserve">the Authorizing Official as the accountable decision-maker and AI-specific threats</w:t>
      </w:r>
      <w:r>
        <w:t xml:space="preserve"> </w:t>
      </w:r>
      <w:r>
        <w:t xml:space="preserve">(data poisoning, inference attacks, model drift) named for monitoring.</w:t>
      </w:r>
      <w:r>
        <w:t xml:space="preserve"> </w:t>
      </w:r>
      <w:r>
        <w:rPr>
          <w:rStyle w:val="VerbatimChar"/>
        </w:rPr>
        <w:t xml:space="preserve">[dod-ai-cyber-rmf]</w:t>
      </w:r>
    </w:p>
    <w:p>
      <w:pPr>
        <w:pStyle w:val="BodyText"/>
      </w:pPr>
      <w:r>
        <w:rPr>
          <w:b/>
          <w:bCs/>
        </w:rPr>
        <w:t xml:space="preserve">The most concrete recent development is platform consolidation.</w:t>
      </w:r>
      <w:r>
        <w:t xml:space="preserve"> </w:t>
      </w:r>
      <w:r>
        <w:t xml:space="preserve">The DoD is</w:t>
      </w:r>
      <w:r>
        <w:t xml:space="preserve"> </w:t>
      </w:r>
      <w:r>
        <w:t xml:space="preserve">collapsing service-specific tools onto a single CDAO-governed platform,</w:t>
      </w:r>
      <w:r>
        <w:t xml:space="preserve"> </w:t>
      </w:r>
      <w:r>
        <w:t xml:space="preserve">GenAI.mil, with all tools certified for Controlled Unclassified Information (CUI)</w:t>
      </w:r>
      <w:r>
        <w:t xml:space="preserve"> </w:t>
      </w:r>
      <w:r>
        <w:t xml:space="preserve">and Impact Level 5 (IL5), under enterprise contracts with four frontier vendors</w:t>
      </w:r>
      <w:r>
        <w:t xml:space="preserve"> </w:t>
      </w:r>
      <w:r>
        <w:t xml:space="preserve">(Anthropic, OpenAI, xAI, Google).</w:t>
      </w:r>
      <w:r>
        <w:t xml:space="preserve"> </w:t>
      </w:r>
      <w:r>
        <w:rPr>
          <w:rStyle w:val="VerbatimChar"/>
        </w:rPr>
        <w:t xml:space="preserve">[dod-genai-mil-rollout]</w:t>
      </w:r>
      <w:r>
        <w:t xml:space="preserve"> </w:t>
      </w:r>
      <w:r>
        <w:t xml:space="preserve">The Department of the</w:t>
      </w:r>
      <w:r>
        <w:t xml:space="preserve"> </w:t>
      </w:r>
      <w:r>
        <w:t xml:space="preserve">Navy mandated transition to GenAI.mil by April 30, 2026, and the platform prohibits</w:t>
      </w:r>
      <w:r>
        <w:t xml:space="preserve"> </w:t>
      </w:r>
      <w:r>
        <w:t xml:space="preserve">protected health information and personally identifiable information even at IL5.</w:t>
      </w:r>
      <w:r>
        <w:t xml:space="preserve"> </w:t>
      </w:r>
      <w:r>
        <w:rPr>
          <w:rStyle w:val="VerbatimChar"/>
        </w:rPr>
        <w:t xml:space="preserve">[navy-genai-mil]</w:t>
      </w:r>
      <w:r>
        <w:t xml:space="preserve"> </w:t>
      </w:r>
      <w:r>
        <w:t xml:space="preserve">The Air Force’s NIPRGPT and the Army’s CamoGPT are being folded</w:t>
      </w:r>
      <w:r>
        <w:t xml:space="preserve"> </w:t>
      </w:r>
      <w:r>
        <w:t xml:space="preserve">in.</w:t>
      </w:r>
      <w:r>
        <w:t xml:space="preserve"> </w:t>
      </w:r>
      <w:r>
        <w:rPr>
          <w:rStyle w:val="VerbatimChar"/>
        </w:rPr>
        <w:t xml:space="preserve">[niprgpt-sunset]</w:t>
      </w:r>
    </w:p>
    <w:p>
      <w:pPr>
        <w:pStyle w:val="BodyText"/>
      </w:pPr>
      <w:r>
        <w:rPr>
          <w:b/>
          <w:bCs/>
        </w:rPr>
        <w:t xml:space="preserve">Assessment, and directly relevant to your situation.</w:t>
      </w:r>
      <w:r>
        <w:t xml:space="preserve"> </w:t>
      </w:r>
      <w:r>
        <w:t xml:space="preserve">The Army provides the</w:t>
      </w:r>
      <w:r>
        <w:t xml:space="preserve"> </w:t>
      </w:r>
      <w:r>
        <w:t xml:space="preserve">closest public analog to what SRF-JRMC is doing. In 2025 the Army CIO blocked the</w:t>
      </w:r>
      <w:r>
        <w:t xml:space="preserve"> </w:t>
      </w:r>
      <w:r>
        <w:t xml:space="preserve">Air Force’s NIPRGPT from Army networks over data-governance concerns, then stood up</w:t>
      </w:r>
      <w:r>
        <w:t xml:space="preserve"> </w:t>
      </w:r>
      <w:r>
        <w:t xml:space="preserve">its own Enterprise LLM Workspace powered by</w:t>
      </w:r>
      <w:r>
        <w:t xml:space="preserve"> </w:t>
      </w:r>
      <w:r>
        <w:rPr>
          <w:b/>
          <w:bCs/>
        </w:rPr>
        <w:t xml:space="preserve">Ask Sage</w:t>
      </w:r>
      <w:r>
        <w:t xml:space="preserve">, accredited for CUI with</w:t>
      </w:r>
      <w:r>
        <w:t xml:space="preserve"> </w:t>
      </w:r>
      <w:r>
        <w:t xml:space="preserve">an IL5 / FedRAMP-High Authority to Operate, and governed partly through</w:t>
      </w:r>
      <w:r>
        <w:t xml:space="preserve"> </w:t>
      </w:r>
      <w:r>
        <w:rPr>
          <w:b/>
          <w:bCs/>
        </w:rPr>
        <w:t xml:space="preserve">token-based billing controlled by the CIO</w:t>
      </w:r>
      <w:r>
        <w:t xml:space="preserve">, where releasing tokens is the</w:t>
      </w:r>
      <w:r>
        <w:t xml:space="preserve"> </w:t>
      </w:r>
      <w:r>
        <w:t xml:space="preserve">access-control lever.</w:t>
      </w:r>
      <w:r>
        <w:t xml:space="preserve"> </w:t>
      </w:r>
      <w:r>
        <w:rPr>
          <w:rStyle w:val="VerbatimChar"/>
        </w:rPr>
        <w:t xml:space="preserve">[army-camogpt-asksage]</w:t>
      </w:r>
      <w:r>
        <w:t xml:space="preserve"> </w:t>
      </w:r>
      <w:r>
        <w:t xml:space="preserve">That is the same platform family and</w:t>
      </w:r>
      <w:r>
        <w:t xml:space="preserve"> </w:t>
      </w:r>
      <w:r>
        <w:t xml:space="preserve">the same token-budget control vector your draft contemplates, already running</w:t>
      </w:r>
      <w:r>
        <w:t xml:space="preserve"> </w:t>
      </w:r>
      <w:r>
        <w:t xml:space="preserve">inside a DoD component. The Army CIO’s framing of accountability is worth keeping:</w:t>
      </w:r>
      <w:r>
        <w:t xml:space="preserve"> </w:t>
      </w:r>
      <w:r>
        <w:t xml:space="preserve">“If you’re using an AI tool, it doesn’t absolve you from meeting those</w:t>
      </w:r>
      <w:r>
        <w:t xml:space="preserve"> </w:t>
      </w:r>
      <w:r>
        <w:t xml:space="preserve">requirements.”</w:t>
      </w:r>
      <w:r>
        <w:t xml:space="preserve"> </w:t>
      </w:r>
      <w:r>
        <w:rPr>
          <w:rStyle w:val="VerbatimChar"/>
        </w:rPr>
        <w:t xml:space="preserve">[army-camogpt-asksage]</w:t>
      </w:r>
      <w:r>
        <w:t xml:space="preserve"> </w:t>
      </w:r>
      <w:r>
        <w:t xml:space="preserve">(A caveat against over-reading this: the</w:t>
      </w:r>
      <w:r>
        <w:t xml:space="preserve"> </w:t>
      </w:r>
      <w:r>
        <w:t xml:space="preserve">DoD-wide direction is toward GenAI.mil as the single platform; a command standing</w:t>
      </w:r>
      <w:r>
        <w:t xml:space="preserve"> </w:t>
      </w:r>
      <w:r>
        <w:t xml:space="preserve">up a separate askSage instance should understand how that squares with the</w:t>
      </w:r>
      <w:r>
        <w:t xml:space="preserve"> </w:t>
      </w:r>
      <w:r>
        <w:t xml:space="preserve">consolidation push. That is a strategic question for you, flagged not answered.)</w:t>
      </w:r>
    </w:p>
    <w:p>
      <w:pPr>
        <w:pStyle w:val="BodyText"/>
      </w:pPr>
      <w:r>
        <w:rPr>
          <w:b/>
          <w:bCs/>
        </w:rPr>
        <w:t xml:space="preserve">Reliability note for this section.</w:t>
      </w:r>
      <w:r>
        <w:t xml:space="preserve"> </w:t>
      </w:r>
      <w:r>
        <w:t xml:space="preserve">The Department of the Navy CIO’s own</w:t>
      </w:r>
      <w:r>
        <w:t xml:space="preserve"> </w:t>
      </w:r>
      <w:r>
        <w:t xml:space="preserve">generative-AI memos could not be fetched (the doncio.navy.mil site hard-blocks</w:t>
      </w:r>
      <w:r>
        <w:t xml:space="preserve"> </w:t>
      </w:r>
      <w:r>
        <w:t xml:space="preserve">automated retrieval); the Navy specifics above rest on the Naval Postgraduate</w:t>
      </w:r>
      <w:r>
        <w:t xml:space="preserve"> </w:t>
      </w:r>
      <w:r>
        <w:t xml:space="preserve">School library guide and defense trade press that quote those memos. Verify exact</w:t>
      </w:r>
      <w:r>
        <w:t xml:space="preserve"> </w:t>
      </w:r>
      <w:r>
        <w:t xml:space="preserve">wording against the memos before quoting them as primary.</w:t>
      </w:r>
      <w:r>
        <w:t xml:space="preserve"> </w:t>
      </w:r>
      <w:r>
        <w:rPr>
          <w:rStyle w:val="VerbatimChar"/>
        </w:rPr>
        <w:t xml:space="preserve">[don-genai-guidance]</w:t>
      </w:r>
    </w:p>
    <w:p>
      <w:r>
        <w:pict>
          <v:rect style="width:0;height:1.5pt" o:hralign="center" o:hrstd="t" o:hr="t"/>
        </w:pict>
      </w:r>
    </w:p>
    <w:bookmarkEnd w:id="10"/>
    <w:bookmarkStart w:id="11" w:name="Xfa2fcb8aa5a145c82c767666b40fbc81e5e4766"/>
    <w:p>
      <w:pPr>
        <w:pStyle w:val="Heading2"/>
      </w:pPr>
      <w:r>
        <w:t xml:space="preserve">2. Corporations: a board-backed committee, an inventory, federated execution</w:t>
      </w:r>
    </w:p>
    <w:p>
      <w:pPr>
        <w:pStyle w:val="FirstParagraph"/>
      </w:pPr>
      <w:r>
        <w:rPr>
          <w:b/>
          <w:bCs/>
        </w:rPr>
        <w:t xml:space="preserve">Large enterprises converge on a standing governance body plus a named executive</w:t>
      </w:r>
      <w:r>
        <w:rPr>
          <w:b/>
          <w:bCs/>
        </w:rPr>
        <w:t xml:space="preserve"> </w:t>
      </w:r>
      <w:r>
        <w:rPr>
          <w:b/>
          <w:bCs/>
        </w:rPr>
        <w:t xml:space="preserve">owner, increasingly at the very top.</w:t>
      </w:r>
      <w:r>
        <w:t xml:space="preserve"> </w:t>
      </w:r>
      <w:r>
        <w:t xml:space="preserve">The recurring corporate structure is a</w:t>
      </w:r>
      <w:r>
        <w:t xml:space="preserve"> </w:t>
      </w:r>
      <w:r>
        <w:t xml:space="preserve">board-approved AI policy and risk appetite, a cross-functional committee (risk,</w:t>
      </w:r>
      <w:r>
        <w:t xml:space="preserve"> </w:t>
      </w:r>
      <w:r>
        <w:t xml:space="preserve">legal, compliance, data, security, business) meeting monthly, and a single</w:t>
      </w:r>
      <w:r>
        <w:t xml:space="preserve"> </w:t>
      </w:r>
      <w:r>
        <w:t xml:space="preserve">accountable executive per high-risk system.</w:t>
      </w:r>
      <w:r>
        <w:t xml:space="preserve"> </w:t>
      </w:r>
      <w:r>
        <w:rPr>
          <w:rStyle w:val="VerbatimChar"/>
        </w:rPr>
        <w:t xml:space="preserve">[diligent-ai-gov]</w:t>
      </w:r>
      <w:r>
        <w:t xml:space="preserve"> </w:t>
      </w:r>
      <w:r>
        <w:t xml:space="preserve">McKinsey’s survey</w:t>
      </w:r>
      <w:r>
        <w:t xml:space="preserve"> </w:t>
      </w:r>
      <w:r>
        <w:t xml:space="preserve">data (from its abstract, pending your full-text pull) reports that 28 percent of</w:t>
      </w:r>
      <w:r>
        <w:t xml:space="preserve"> </w:t>
      </w:r>
      <w:r>
        <w:t xml:space="preserve">respondents say the CEO oversees AI governance and that CEO oversight is the single</w:t>
      </w:r>
      <w:r>
        <w:t xml:space="preserve"> </w:t>
      </w:r>
      <w:r>
        <w:t xml:space="preserve">governance element most correlated with earnings impact from generative AI.</w:t>
      </w:r>
      <w:r>
        <w:t xml:space="preserve"> </w:t>
      </w:r>
      <w:r>
        <w:rPr>
          <w:rStyle w:val="VerbatimChar"/>
        </w:rPr>
        <w:t xml:space="preserve">[mck-state-of-ai]</w:t>
      </w:r>
      <w:r>
        <w:t xml:space="preserve"> </w:t>
      </w:r>
      <w:r>
        <w:t xml:space="preserve">The Chief AI Officer role is institutionalizing this ownership.</w:t>
      </w:r>
      <w:r>
        <w:t xml:space="preserve"> </w:t>
      </w:r>
      <w:r>
        <w:rPr>
          <w:rStyle w:val="VerbatimChar"/>
        </w:rPr>
        <w:t xml:space="preserve">[caio-role-pattern]</w:t>
      </w:r>
    </w:p>
    <w:p>
      <w:pPr>
        <w:pStyle w:val="BodyText"/>
      </w:pPr>
      <w:r>
        <w:rPr>
          <w:b/>
          <w:bCs/>
        </w:rPr>
        <w:t xml:space="preserve">The dominant operating model is</w:t>
      </w:r>
      <w:r>
        <w:rPr>
          <w:b/>
          <w:bCs/>
        </w:rPr>
        <w:t xml:space="preserve"> </w:t>
      </w:r>
      <w:r>
        <w:rPr>
          <w:b/>
          <w:bCs/>
        </w:rPr>
        <w:t xml:space="preserve">“centralized governance, federated execution.”</w:t>
      </w:r>
      <w:r>
        <w:t xml:space="preserve"> </w:t>
      </w:r>
      <w:r>
        <w:t xml:space="preserve">A central risk or compliance function sets enterprise policy and provides</w:t>
      </w:r>
      <w:r>
        <w:t xml:space="preserve"> </w:t>
      </w:r>
      <w:r>
        <w:t xml:space="preserve">challenge, while business, legal, IT, and data teams own implementation across the</w:t>
      </w:r>
      <w:r>
        <w:t xml:space="preserve"> </w:t>
      </w:r>
      <w:r>
        <w:t xml:space="preserve">AI life cycle.</w:t>
      </w:r>
      <w:r>
        <w:t xml:space="preserve"> </w:t>
      </w:r>
      <w:r>
        <w:rPr>
          <w:rStyle w:val="VerbatimChar"/>
        </w:rPr>
        <w:t xml:space="preserve">[mck-trust-maturity]</w:t>
      </w:r>
      <w:r>
        <w:t xml:space="preserve"> </w:t>
      </w:r>
      <w:r>
        <w:t xml:space="preserve">Microsoft is a documented worked example: a</w:t>
      </w:r>
      <w:r>
        <w:t xml:space="preserve"> </w:t>
      </w:r>
      <w:r>
        <w:t xml:space="preserve">central Office of Responsible AI owns the standard and the mandatory impact</w:t>
      </w:r>
      <w:r>
        <w:t xml:space="preserve"> </w:t>
      </w:r>
      <w:r>
        <w:t xml:space="preserve">assessment, a Responsible AI Council acts as the governance body, and</w:t>
      </w:r>
      <w:r>
        <w:t xml:space="preserve"> </w:t>
      </w:r>
      <w:r>
        <w:t xml:space="preserve">“Responsible</w:t>
      </w:r>
      <w:r>
        <w:t xml:space="preserve"> </w:t>
      </w:r>
      <w:r>
        <w:t xml:space="preserve">AI Champions”</w:t>
      </w:r>
      <w:r>
        <w:t xml:space="preserve"> </w:t>
      </w:r>
      <w:r>
        <w:t xml:space="preserve">are embedded in each division as reviewers.</w:t>
      </w:r>
      <w:r>
        <w:t xml:space="preserve"> </w:t>
      </w:r>
      <w:r>
        <w:rPr>
          <w:rStyle w:val="VerbatimChar"/>
        </w:rPr>
        <w:t xml:space="preserve">[microsoft-rai-standard]</w:t>
      </w:r>
      <w:r>
        <w:t xml:space="preserve"> </w:t>
      </w:r>
      <w:r>
        <w:t xml:space="preserve">Microsoft also requires an impact assessment completed early, at product vision,</w:t>
      </w:r>
      <w:r>
        <w:t xml:space="preserve"> </w:t>
      </w:r>
      <w:r>
        <w:t xml:space="preserve">and review gates for sensitive uses.</w:t>
      </w:r>
      <w:r>
        <w:t xml:space="preserve"> </w:t>
      </w:r>
      <w:r>
        <w:rPr>
          <w:rStyle w:val="VerbatimChar"/>
        </w:rPr>
        <w:t xml:space="preserve">[microsoft-rai-standard]</w:t>
      </w:r>
    </w:p>
    <w:p>
      <w:pPr>
        <w:pStyle w:val="BodyText"/>
      </w:pPr>
      <w:r>
        <w:rPr>
          <w:b/>
          <w:bCs/>
        </w:rPr>
        <w:t xml:space="preserve">The frameworks everyone maps to are NIST, ISO, and the EU AI Act.</w:t>
      </w:r>
      <w:r>
        <w:t xml:space="preserve"> </w:t>
      </w:r>
      <w:r>
        <w:t xml:space="preserve">The U.S.</w:t>
      </w:r>
      <w:r>
        <w:t xml:space="preserve"> </w:t>
      </w:r>
      <w:r>
        <w:t xml:space="preserve">National Institute of Standards and Technology AI Risk Management Framework (AI RMF</w:t>
      </w:r>
      <w:r>
        <w:t xml:space="preserve"> </w:t>
      </w:r>
      <w:r>
        <w:t xml:space="preserve">1.0, 2023, plus a Generative AI Profile in 2024) organizes the work into four</w:t>
      </w:r>
      <w:r>
        <w:t xml:space="preserve"> </w:t>
      </w:r>
      <w:r>
        <w:t xml:space="preserve">functions, Govern, Map, Measure, and Manage, with Govern as the cross-cutting</w:t>
      </w:r>
      <w:r>
        <w:t xml:space="preserve"> </w:t>
      </w:r>
      <w:r>
        <w:t xml:space="preserve">function</w:t>
      </w:r>
      <w:r>
        <w:t xml:space="preserve"> </w:t>
      </w:r>
      <w:r>
        <w:t xml:space="preserve">“infused throughout”</w:t>
      </w:r>
      <w:r>
        <w:t xml:space="preserve"> </w:t>
      </w:r>
      <w:r>
        <w:t xml:space="preserve">and senior leadership setting</w:t>
      </w:r>
      <w:r>
        <w:t xml:space="preserve"> </w:t>
      </w:r>
      <w:r>
        <w:t xml:space="preserve">“the tone for risk</w:t>
      </w:r>
      <w:r>
        <w:t xml:space="preserve"> </w:t>
      </w:r>
      <w:r>
        <w:t xml:space="preserve">management.”</w:t>
      </w:r>
      <w:r>
        <w:t xml:space="preserve"> </w:t>
      </w:r>
      <w:r>
        <w:rPr>
          <w:rStyle w:val="VerbatimChar"/>
        </w:rPr>
        <w:t xml:space="preserve">[nist-ai-rmf]</w:t>
      </w:r>
      <w:r>
        <w:t xml:space="preserve"> </w:t>
      </w:r>
      <w:r>
        <w:t xml:space="preserve">ISO/IEC 42001 (2023) is the certifiable management-</w:t>
      </w:r>
      <w:r>
        <w:t xml:space="preserve"> </w:t>
      </w:r>
      <w:r>
        <w:t xml:space="preserve">system standard: top-management commitment, a documented AI policy, AI risk and</w:t>
      </w:r>
      <w:r>
        <w:t xml:space="preserve"> </w:t>
      </w:r>
      <w:r>
        <w:t xml:space="preserve">impact assessments before deployment, lifecycle controls, third-party management,</w:t>
      </w:r>
      <w:r>
        <w:t xml:space="preserve"> </w:t>
      </w:r>
      <w:r>
        <w:t xml:space="preserve">and certification by independent third-party audit.</w:t>
      </w:r>
      <w:r>
        <w:t xml:space="preserve"> </w:t>
      </w:r>
      <w:r>
        <w:rPr>
          <w:rStyle w:val="VerbatimChar"/>
        </w:rPr>
        <w:t xml:space="preserve">[iso-42001]</w:t>
      </w:r>
      <w:r>
        <w:t xml:space="preserve"> </w:t>
      </w:r>
      <w:r>
        <w:t xml:space="preserve">The EU AI Act</w:t>
      </w:r>
      <w:r>
        <w:t xml:space="preserve"> </w:t>
      </w:r>
      <w:r>
        <w:t xml:space="preserve">supplies the risk-tiering template in law: unacceptable-risk uses prohibited,</w:t>
      </w:r>
      <w:r>
        <w:t xml:space="preserve"> </w:t>
      </w:r>
      <w:r>
        <w:t xml:space="preserve">high-risk uses carrying the bulk of obligations (lifecycle risk management, data</w:t>
      </w:r>
      <w:r>
        <w:t xml:space="preserve"> </w:t>
      </w:r>
      <w:r>
        <w:t xml:space="preserve">governance, logging, human oversight, conformity assessment), limited-risk uses</w:t>
      </w:r>
      <w:r>
        <w:t xml:space="preserve"> </w:t>
      </w:r>
      <w:r>
        <w:t xml:space="preserve">needing only transparency, and minimal-risk uses unregulated.</w:t>
      </w:r>
      <w:r>
        <w:t xml:space="preserve"> </w:t>
      </w:r>
      <w:r>
        <w:rPr>
          <w:rStyle w:val="VerbatimChar"/>
        </w:rPr>
        <w:t xml:space="preserve">[eu-ai-act]</w:t>
      </w:r>
    </w:p>
    <w:p>
      <w:pPr>
        <w:pStyle w:val="BodyText"/>
      </w:pPr>
      <w:r>
        <w:rPr>
          <w:b/>
          <w:bCs/>
        </w:rPr>
        <w:t xml:space="preserve">A Harvard Business Review checklist frames how to build the program, and its</w:t>
      </w:r>
      <w:r>
        <w:rPr>
          <w:b/>
          <w:bCs/>
        </w:rPr>
        <w:t xml:space="preserve"> </w:t>
      </w:r>
      <w:r>
        <w:rPr>
          <w:b/>
          <w:bCs/>
        </w:rPr>
        <w:t xml:space="preserve">single most transferable idea is design-then-phase.</w:t>
      </w:r>
      <w:r>
        <w:t xml:space="preserve"> </w:t>
      </w:r>
      <w:r>
        <w:t xml:space="preserve">A responsible-AI program is</w:t>
      </w:r>
      <w:r>
        <w:t xml:space="preserve"> </w:t>
      </w:r>
      <w:r>
        <w:t xml:space="preserve">enterprise-wide governance, not per-project guardrails: it</w:t>
      </w:r>
      <w:r>
        <w:t xml:space="preserve"> </w:t>
      </w:r>
      <w:r>
        <w:t xml:space="preserve">“defines the</w:t>
      </w:r>
      <w:r>
        <w:t xml:space="preserve"> </w:t>
      </w:r>
      <w:r>
        <w:t xml:space="preserve">enterprise-wide policy, governance structures, roles and responsibilities,</w:t>
      </w:r>
      <w:r>
        <w:t xml:space="preserve"> </w:t>
      </w:r>
      <w:r>
        <w:t xml:space="preserve">processes, and more that enable wide-scale deployment of AI.”</w:t>
      </w:r>
      <w:r>
        <w:t xml:space="preserve"> </w:t>
      </w:r>
      <w:r>
        <w:rPr>
          <w:rStyle w:val="VerbatimChar"/>
        </w:rPr>
        <w:t xml:space="preserve">[hbr-rai-checklist]</w:t>
      </w:r>
      <w:r>
        <w:t xml:space="preserve"> </w:t>
      </w:r>
      <w:r>
        <w:t xml:space="preserve">The authors’ core warning is that companies rush to implement before they finish</w:t>
      </w:r>
      <w:r>
        <w:t xml:space="preserve"> </w:t>
      </w:r>
      <w:r>
        <w:t xml:space="preserve">designing, with predictable results (</w:t>
      </w:r>
      <w:r>
        <w:t xml:space="preserve">“inefficient and difficult-to-scale efforts…</w:t>
      </w:r>
      <w:r>
        <w:t xml:space="preserve"> </w:t>
      </w:r>
      <w:r>
        <w:t xml:space="preserve">wasted resources; and slowed innovation”</w:t>
      </w:r>
      <w:r>
        <w:t xml:space="preserve">). Their rule: phase the rollout, but do</w:t>
      </w:r>
      <w:r>
        <w:t xml:space="preserve"> </w:t>
      </w:r>
      <w:r>
        <w:t xml:space="preserve">not take baby steps in the design;</w:t>
      </w:r>
      <w:r>
        <w:t xml:space="preserve"> </w:t>
      </w:r>
      <w:r>
        <w:t xml:space="preserve">“the program should be designed as fully as</w:t>
      </w:r>
      <w:r>
        <w:t xml:space="preserve"> </w:t>
      </w:r>
      <w:r>
        <w:t xml:space="preserve">possible prior to implementation,”</w:t>
      </w:r>
      <w:r>
        <w:t xml:space="preserve"> </w:t>
      </w:r>
      <w:r>
        <w:t xml:space="preserve">because</w:t>
      </w:r>
      <w:r>
        <w:t xml:space="preserve"> </w:t>
      </w:r>
      <w:r>
        <w:t xml:space="preserve">“completing design of an RAI program</w:t>
      </w:r>
      <w:r>
        <w:t xml:space="preserve"> </w:t>
      </w:r>
      <w:r>
        <w:t xml:space="preserve">requires far fewer resources than implementation.”</w:t>
      </w:r>
      <w:r>
        <w:t xml:space="preserve"> </w:t>
      </w:r>
      <w:r>
        <w:rPr>
          <w:rStyle w:val="VerbatimChar"/>
        </w:rPr>
        <w:t xml:space="preserve">[hbr-rai-checklist]</w:t>
      </w:r>
      <w:r>
        <w:t xml:space="preserve"> </w:t>
      </w:r>
      <w:r>
        <w:t xml:space="preserve">They offer</w:t>
      </w:r>
      <w:r>
        <w:t xml:space="preserve"> </w:t>
      </w:r>
      <w:r>
        <w:t xml:space="preserve">an eight-question readiness test (strategic objectives; values tied to concrete</w:t>
      </w:r>
      <w:r>
        <w:t xml:space="preserve"> </w:t>
      </w:r>
      <w:r>
        <w:t xml:space="preserve">procedures; metrics for the program itself, not just the models; trained oversight</w:t>
      </w:r>
      <w:r>
        <w:t xml:space="preserve"> </w:t>
      </w:r>
      <w:r>
        <w:t xml:space="preserve">people; the personnel to do the work; harmonization with cyber, privacy, and IT</w:t>
      </w:r>
      <w:r>
        <w:t xml:space="preserve"> </w:t>
      </w:r>
      <w:r>
        <w:t xml:space="preserve">programs; a strategic roadmap; an implementation playbook), and advise that if you</w:t>
      </w:r>
      <w:r>
        <w:t xml:space="preserve"> </w:t>
      </w:r>
      <w:r>
        <w:t xml:space="preserve">cannot answer yes to all eight, slow the rollout and finish the design.</w:t>
      </w:r>
      <w:r>
        <w:t xml:space="preserve"> </w:t>
      </w:r>
      <w:r>
        <w:rPr>
          <w:rStyle w:val="VerbatimChar"/>
        </w:rPr>
        <w:t xml:space="preserve">[hbr-rai-checklist]</w:t>
      </w:r>
      <w:r>
        <w:t xml:space="preserve"> </w:t>
      </w:r>
      <w:r>
        <w:t xml:space="preserve">One test worth lifting directly: are your stated values tied</w:t>
      </w:r>
      <w:r>
        <w:t xml:space="preserve"> </w:t>
      </w:r>
      <w:r>
        <w:t xml:space="preserve">to procedures, or left abstract?</w:t>
      </w:r>
      <w:r>
        <w:t xml:space="preserve"> </w:t>
      </w:r>
      <w:r>
        <w:t xml:space="preserve">“Articulated… abstractly, the values are impossible</w:t>
      </w:r>
      <w:r>
        <w:t xml:space="preserve"> </w:t>
      </w:r>
      <w:r>
        <w:t xml:space="preserve">to implement.”</w:t>
      </w:r>
      <w:r>
        <w:t xml:space="preserve"> </w:t>
      </w:r>
      <w:r>
        <w:rPr>
          <w:rStyle w:val="VerbatimChar"/>
        </w:rPr>
        <w:t xml:space="preserve">[hbr-rai-checklist]</w:t>
      </w:r>
    </w:p>
    <w:p>
      <w:pPr>
        <w:pStyle w:val="BodyText"/>
      </w:pPr>
      <w:r>
        <w:rPr>
          <w:b/>
          <w:bCs/>
        </w:rPr>
        <w:t xml:space="preserve">A second HBR piece, by the same lead author, supplies the agentic urgency.</w:t>
      </w:r>
      <w:r>
        <w:t xml:space="preserve"> </w:t>
      </w:r>
      <w:r>
        <w:t xml:space="preserve">It</w:t>
      </w:r>
      <w:r>
        <w:t xml:space="preserve"> </w:t>
      </w:r>
      <w:r>
        <w:t xml:space="preserve">argues that risk programs built for</w:t>
      </w:r>
      <w:r>
        <w:t xml:space="preserve"> </w:t>
      </w:r>
      <w:r>
        <w:t xml:space="preserve">“narrow AI”</w:t>
      </w:r>
      <w:r>
        <w:t xml:space="preserve"> </w:t>
      </w:r>
      <w:r>
        <w:t xml:space="preserve">rest on assumptions that break as</w:t>
      </w:r>
      <w:r>
        <w:t xml:space="preserve"> </w:t>
      </w:r>
      <w:r>
        <w:t xml:space="preserve">you move to generative and then agentic systems, and it reframes</w:t>
      </w:r>
      <w:r>
        <w:t xml:space="preserve"> </w:t>
      </w:r>
      <w:r>
        <w:t xml:space="preserve">“agentic”</w:t>
      </w:r>
      <w:r>
        <w:t xml:space="preserve"> </w:t>
      </w:r>
      <w:r>
        <w:t xml:space="preserve">as a</w:t>
      </w:r>
      <w:r>
        <w:t xml:space="preserve"> </w:t>
      </w:r>
      <w:r>
        <w:t xml:space="preserve">five-stage staircase rather than a yes/no property. See Section 3 for the staircase</w:t>
      </w:r>
      <w:r>
        <w:t xml:space="preserve"> </w:t>
      </w:r>
      <w:r>
        <w:t xml:space="preserve">and the six controls that get harder as you climb.</w:t>
      </w:r>
      <w:r>
        <w:t xml:space="preserve"> </w:t>
      </w:r>
      <w:r>
        <w:rPr>
          <w:rStyle w:val="VerbatimChar"/>
        </w:rPr>
        <w:t xml:space="preserve">[hbr-agentic-risks]</w:t>
      </w:r>
    </w:p>
    <w:p>
      <w:r>
        <w:pict>
          <v:rect style="width:0;height:1.5pt" o:hralign="center" o:hrstd="t" o:hr="t"/>
        </w:pict>
      </w:r>
    </w:p>
    <w:bookmarkEnd w:id="11"/>
    <w:bookmarkStart w:id="12" w:name="Xf96f12db542a98db4e8efe57526946dd44fc3c6"/>
    <w:p>
      <w:pPr>
        <w:pStyle w:val="Heading2"/>
      </w:pPr>
      <w:r>
        <w:t xml:space="preserve">3. The agentic layer: the controls a chatbot policy does not have</w:t>
      </w:r>
    </w:p>
    <w:p>
      <w:pPr>
        <w:pStyle w:val="FirstParagraph"/>
      </w:pPr>
      <w:r>
        <w:rPr>
          <w:b/>
          <w:bCs/>
        </w:rPr>
        <w:t xml:space="preserve">This is the part most specific to askSage, because askSage is agentic.</w:t>
      </w:r>
      <w:r>
        <w:t xml:space="preserve"> </w:t>
      </w:r>
      <w:r>
        <w:t xml:space="preserve">An</w:t>
      </w:r>
      <w:r>
        <w:t xml:space="preserve"> </w:t>
      </w:r>
      <w:r>
        <w:t xml:space="preserve">agent that can plan, chain steps, retrieve data, and take actions needs governance</w:t>
      </w:r>
      <w:r>
        <w:t xml:space="preserve"> </w:t>
      </w:r>
      <w:r>
        <w:t xml:space="preserve">beyond</w:t>
      </w:r>
      <w:r>
        <w:t xml:space="preserve"> </w:t>
      </w:r>
      <w:r>
        <w:t xml:space="preserve">“don’t paste CUI into the chatbot.”</w:t>
      </w:r>
      <w:r>
        <w:t xml:space="preserve"> </w:t>
      </w:r>
      <w:r>
        <w:t xml:space="preserve">The research surfaces a coherent and</w:t>
      </w:r>
      <w:r>
        <w:t xml:space="preserve"> </w:t>
      </w:r>
      <w:r>
        <w:t xml:space="preserve">fast-maturing set of agent-specific controls, grouped below.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these</w:t>
      </w:r>
      <w:r>
        <w:t xml:space="preserve"> </w:t>
      </w:r>
      <w:r>
        <w:t xml:space="preserve">five clusters are the substance of agentic governance as the field currently</w:t>
      </w:r>
      <w:r>
        <w:t xml:space="preserve"> </w:t>
      </w:r>
      <w:r>
        <w:t xml:space="preserve">understands it.</w:t>
      </w:r>
    </w:p>
    <w:p>
      <w:pPr>
        <w:pStyle w:val="BodyText"/>
      </w:pPr>
      <w:r>
        <w:rPr>
          <w:b/>
          <w:bCs/>
        </w:rPr>
        <w:t xml:space="preserve">First, a framing worth borrowing:</w:t>
      </w:r>
      <w:r>
        <w:rPr>
          <w:b/>
          <w:bCs/>
        </w:rPr>
        <w:t xml:space="preserve"> </w:t>
      </w:r>
      <w:r>
        <w:rPr>
          <w:b/>
          <w:bCs/>
        </w:rPr>
        <w:t xml:space="preserve">“agentic”</w:t>
      </w:r>
      <w:r>
        <w:rPr>
          <w:b/>
          <w:bCs/>
        </w:rPr>
        <w:t xml:space="preserve"> </w:t>
      </w:r>
      <w:r>
        <w:rPr>
          <w:b/>
          <w:bCs/>
        </w:rPr>
        <w:t xml:space="preserve">is a staircase, not a switch.</w:t>
      </w:r>
      <w:r>
        <w:t xml:space="preserve"> </w:t>
      </w:r>
      <w:r>
        <w:t xml:space="preserve">HBR’s</w:t>
      </w:r>
      <w:r>
        <w:t xml:space="preserve"> </w:t>
      </w:r>
      <w:r>
        <w:t xml:space="preserve">Reid Blackman lays out five stages of rising complexity: (1) one model connected to</w:t>
      </w:r>
      <w:r>
        <w:t xml:space="preserve"> </w:t>
      </w:r>
      <w:r>
        <w:t xml:space="preserve">another, (2) a model wired to dozens of databases, narrow AIs, and the open</w:t>
      </w:r>
      <w:r>
        <w:t xml:space="preserve"> </w:t>
      </w:r>
      <w:r>
        <w:t xml:space="preserve">internet, (3) the same plus the ability to take digital actions, which is the point</w:t>
      </w:r>
      <w:r>
        <w:t xml:space="preserve"> </w:t>
      </w:r>
      <w:r>
        <w:t xml:space="preserve">it becomes</w:t>
      </w:r>
      <w:r>
        <w:t xml:space="preserve"> </w:t>
      </w:r>
      <w:r>
        <w:t xml:space="preserve">“multi-model agentic AI,”</w:t>
      </w:r>
      <w:r>
        <w:t xml:space="preserve"> </w:t>
      </w:r>
      <w:r>
        <w:t xml:space="preserve">(4) the ability to talk to other agents inside</w:t>
      </w:r>
      <w:r>
        <w:t xml:space="preserve"> </w:t>
      </w:r>
      <w:r>
        <w:t xml:space="preserve">your organization, and (5) the ability to talk to agents outside it, which he calls</w:t>
      </w:r>
      <w:r>
        <w:t xml:space="preserve"> </w:t>
      </w:r>
      <w:r>
        <w:t xml:space="preserve">“a head-spinning quagmire of incalculable risk.”</w:t>
      </w:r>
      <w:r>
        <w:t xml:space="preserve"> </w:t>
      </w:r>
      <w:r>
        <w:rPr>
          <w:rStyle w:val="VerbatimChar"/>
        </w:rPr>
        <w:t xml:space="preserve">[hbr-agentic-risks]</w:t>
      </w:r>
      <w:r>
        <w:t xml:space="preserve"> </w:t>
      </w:r>
      <w:r>
        <w:t xml:space="preserve">His warning is</w:t>
      </w:r>
      <w:r>
        <w:t xml:space="preserve"> </w:t>
      </w:r>
      <w:r>
        <w:t xml:space="preserve">that six things get harder at each step up: deciding who runs which risk assessment</w:t>
      </w:r>
      <w:r>
        <w:t xml:space="preserve"> </w:t>
      </w:r>
      <w:r>
        <w:t xml:space="preserve">when; the human in the loop’s ability to</w:t>
      </w:r>
      <w:r>
        <w:t xml:space="preserve"> </w:t>
      </w:r>
      <w:r>
        <w:t xml:space="preserve">“wisely stand between system outputs and</w:t>
      </w:r>
      <w:r>
        <w:t xml:space="preserve"> </w:t>
      </w:r>
      <w:r>
        <w:t xml:space="preserve">impacts decreases drastically”</w:t>
      </w:r>
      <w:r>
        <w:t xml:space="preserve">; the weight on go/no-go decisions that</w:t>
      </w:r>
      <w:r>
        <w:t xml:space="preserve"> </w:t>
      </w:r>
      <w:r>
        <w:t xml:space="preserve">“most</w:t>
      </w:r>
      <w:r>
        <w:t xml:space="preserve"> </w:t>
      </w:r>
      <w:r>
        <w:t xml:space="preserve">organizations lack… pre-deployment evaluation frameworks”</w:t>
      </w:r>
      <w:r>
        <w:t xml:space="preserve"> </w:t>
      </w:r>
      <w:r>
        <w:t xml:space="preserve">to make; real-time</w:t>
      </w:r>
      <w:r>
        <w:t xml:space="preserve"> </w:t>
      </w:r>
      <w:r>
        <w:t xml:space="preserve">monitoring; minimally disruptive intervention; and continuous role-level training.</w:t>
      </w:r>
      <w:r>
        <w:t xml:space="preserve"> </w:t>
      </w:r>
      <w:r>
        <w:rPr>
          <w:rStyle w:val="VerbatimChar"/>
        </w:rPr>
        <w:t xml:space="preserve">[hbr-agentic-risks]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the practical use of the staircase is to locate</w:t>
      </w:r>
      <w:r>
        <w:t xml:space="preserve"> </w:t>
      </w:r>
      <w:r>
        <w:t xml:space="preserve">a given askSage use case on it. A retrieve-and-draft assistant sits low; the moment</w:t>
      </w:r>
      <w:r>
        <w:t xml:space="preserve"> </w:t>
      </w:r>
      <w:r>
        <w:t xml:space="preserve">an agent can take an action or call another agent, it has climbed, and the controls</w:t>
      </w:r>
      <w:r>
        <w:t xml:space="preserve"> </w:t>
      </w:r>
      <w:r>
        <w:t xml:space="preserve">below must climb with it. That is the same logic as the OWASP maturity model: match</w:t>
      </w:r>
      <w:r>
        <w:t xml:space="preserve"> </w:t>
      </w:r>
      <w:r>
        <w:t xml:space="preserve">governance to the most advanced agent you actually run, or lower the deployment tier.</w:t>
      </w:r>
      <w:r>
        <w:t xml:space="preserve"> </w:t>
      </w:r>
      <w:r>
        <w:rPr>
          <w:rStyle w:val="VerbatimChar"/>
        </w:rPr>
        <w:t xml:space="preserve">[owasp-state-agentic-gov]</w:t>
      </w:r>
    </w:p>
    <w:p>
      <w:pPr>
        <w:pStyle w:val="BodyText"/>
      </w:pPr>
      <w:r>
        <w:rPr>
          <w:b/>
          <w:bCs/>
        </w:rPr>
        <w:t xml:space="preserve">Autonomy tied to human oversight, matched to risk.</w:t>
      </w:r>
      <w:r>
        <w:t xml:space="preserve"> </w:t>
      </w:r>
      <w:r>
        <w:t xml:space="preserve">The cleanest model is a</w:t>
      </w:r>
      <w:r>
        <w:t xml:space="preserve"> </w:t>
      </w:r>
      <w:r>
        <w:t xml:space="preserve">tiered one: fully supervised agents whose every action needs human approval,</w:t>
      </w:r>
      <w:r>
        <w:t xml:space="preserve"> </w:t>
      </w:r>
      <w:r>
        <w:t xml:space="preserve">constrained-autonomy agents that execute pre-approved action types within scope and</w:t>
      </w:r>
      <w:r>
        <w:t xml:space="preserve"> </w:t>
      </w:r>
      <w:r>
        <w:t xml:space="preserve">escalate outside it, and fully autonomous agents for low-risk work.</w:t>
      </w:r>
      <w:r>
        <w:t xml:space="preserve"> </w:t>
      </w:r>
      <w:r>
        <w:rPr>
          <w:rStyle w:val="VerbatimChar"/>
        </w:rPr>
        <w:t xml:space="preserve">[csa-nist-rmf-agentic]</w:t>
      </w:r>
      <w:r>
        <w:t xml:space="preserve"> </w:t>
      </w:r>
      <w:r>
        <w:t xml:space="preserve">Crucially, the oversight level</w:t>
      </w:r>
      <w:r>
        <w:t xml:space="preserve"> </w:t>
      </w:r>
      <w:r>
        <w:t xml:space="preserve">“is a property of the</w:t>
      </w:r>
      <w:r>
        <w:t xml:space="preserve"> </w:t>
      </w:r>
      <w:r>
        <w:t xml:space="preserve">decision, determined dynamically by risk,”</w:t>
      </w:r>
      <w:r>
        <w:t xml:space="preserve"> </w:t>
      </w:r>
      <w:r>
        <w:t xml:space="preserve">not a fixed setting for the whole</w:t>
      </w:r>
      <w:r>
        <w:t xml:space="preserve"> </w:t>
      </w:r>
      <w:r>
        <w:t xml:space="preserve">system.</w:t>
      </w:r>
      <w:r>
        <w:t xml:space="preserve"> </w:t>
      </w:r>
      <w:r>
        <w:rPr>
          <w:rStyle w:val="VerbatimChar"/>
        </w:rPr>
        <w:t xml:space="preserve">[strata-hitl]</w:t>
      </w:r>
      <w:r>
        <w:t xml:space="preserve"> </w:t>
      </w:r>
      <w:r>
        <w:t xml:space="preserve">The three modes have standard names: human-in-the-loop</w:t>
      </w:r>
      <w:r>
        <w:t xml:space="preserve"> </w:t>
      </w:r>
      <w:r>
        <w:t xml:space="preserve">(approve before the action), human-on-the-loop (monitor and intervene), and</w:t>
      </w:r>
      <w:r>
        <w:t xml:space="preserve"> </w:t>
      </w:r>
      <w:r>
        <w:t xml:space="preserve">human-out-of-the-loop (autonomous).</w:t>
      </w:r>
      <w:r>
        <w:t xml:space="preserve"> </w:t>
      </w:r>
      <w:r>
        <w:rPr>
          <w:rStyle w:val="VerbatimChar"/>
        </w:rPr>
        <w:t xml:space="preserve">[strata-hitl]</w:t>
      </w:r>
      <w:r>
        <w:t xml:space="preserve"> </w:t>
      </w:r>
      <w:r>
        <w:t xml:space="preserve">Good practice replaces a bare</w:t>
      </w:r>
      <w:r>
        <w:t xml:space="preserve"> </w:t>
      </w:r>
      <w:r>
        <w:t xml:space="preserve">“Approve?”</w:t>
      </w:r>
      <w:r>
        <w:t xml:space="preserve"> </w:t>
      </w:r>
      <w:r>
        <w:t xml:space="preserve">prompt with a structured one (</w:t>
      </w:r>
      <w:r>
        <w:t xml:space="preserve">“intent, data lineage, permissions chain,</w:t>
      </w:r>
      <w:r>
        <w:t xml:space="preserve"> </w:t>
      </w:r>
      <w:r>
        <w:t xml:space="preserve">expected blast radius, rollback plan”</w:t>
      </w:r>
      <w:r>
        <w:t xml:space="preserve">) and matches the approval time window to risk.</w:t>
      </w:r>
      <w:r>
        <w:t xml:space="preserve"> </w:t>
      </w:r>
      <w:r>
        <w:rPr>
          <w:rStyle w:val="VerbatimChar"/>
        </w:rPr>
        <w:t xml:space="preserve">[strata-hitl]</w:t>
      </w:r>
      <w:r>
        <w:t xml:space="preserve"> </w:t>
      </w:r>
      <w:r>
        <w:t xml:space="preserve">Anthropic’s own agent framework states the principle: humans should</w:t>
      </w:r>
      <w:r>
        <w:t xml:space="preserve"> </w:t>
      </w:r>
      <w:r>
        <w:t xml:space="preserve">retain control</w:t>
      </w:r>
      <w:r>
        <w:t xml:space="preserve"> </w:t>
      </w:r>
      <w:r>
        <w:t xml:space="preserve">“particularly before high-stakes decisions,”</w:t>
      </w:r>
      <w:r>
        <w:t xml:space="preserve"> </w:t>
      </w:r>
      <w:r>
        <w:t xml:space="preserve">with read-only</w:t>
      </w:r>
      <w:r>
        <w:t xml:space="preserve"> </w:t>
      </w:r>
      <w:r>
        <w:t xml:space="preserve">defaults and approval before an agent modifies systems.</w:t>
      </w:r>
      <w:r>
        <w:t xml:space="preserve"> </w:t>
      </w:r>
      <w:r>
        <w:rPr>
          <w:rStyle w:val="VerbatimChar"/>
        </w:rPr>
        <w:t xml:space="preserve">[anthropic-agent-framework]</w:t>
      </w:r>
    </w:p>
    <w:p>
      <w:pPr>
        <w:pStyle w:val="BodyText"/>
      </w:pPr>
      <w:r>
        <w:rPr>
          <w:b/>
          <w:bCs/>
        </w:rPr>
        <w:t xml:space="preserve">Least-privilege permissions and write-action gating.</w:t>
      </w:r>
      <w:r>
        <w:t xml:space="preserve"> </w:t>
      </w:r>
      <w:r>
        <w:t xml:space="preserve">Agents get only the</w:t>
      </w:r>
      <w:r>
        <w:t xml:space="preserve"> </w:t>
      </w:r>
      <w:r>
        <w:t xml:space="preserve">goals, tools, and data they actually need; high-impact or irreversible actions are</w:t>
      </w:r>
      <w:r>
        <w:t xml:space="preserve"> </w:t>
      </w:r>
      <w:r>
        <w:t xml:space="preserve">gated behind explicit human confirmation.</w:t>
      </w:r>
      <w:r>
        <w:t xml:space="preserve"> </w:t>
      </w:r>
      <w:r>
        <w:rPr>
          <w:rStyle w:val="VerbatimChar"/>
        </w:rPr>
        <w:t xml:space="preserve">[teleport-agentic-mitigations]</w:t>
      </w:r>
      <w:r>
        <w:t xml:space="preserve"> </w:t>
      </w:r>
      <w:r>
        <w:t xml:space="preserve">An agent</w:t>
      </w:r>
      <w:r>
        <w:t xml:space="preserve"> </w:t>
      </w:r>
      <w:r>
        <w:t xml:space="preserve">acting for a user inherits that user’s permissions and no more, with data-loss-</w:t>
      </w:r>
      <w:r>
        <w:t xml:space="preserve"> </w:t>
      </w:r>
      <w:r>
        <w:t xml:space="preserve">prevention so it cannot return data it should not.</w:t>
      </w:r>
      <w:r>
        <w:t xml:space="preserve"> </w:t>
      </w:r>
      <w:r>
        <w:rPr>
          <w:rStyle w:val="VerbatimChar"/>
        </w:rPr>
        <w:t xml:space="preserve">[msft-agent-governance]</w:t>
      </w:r>
      <w:r>
        <w:t xml:space="preserve"> </w:t>
      </w:r>
      <w:r>
        <w:t xml:space="preserve">A</w:t>
      </w:r>
      <w:r>
        <w:t xml:space="preserve"> </w:t>
      </w:r>
      <w:r>
        <w:t xml:space="preserve">strong specific control: separate code generation from code execution, with an</w:t>
      </w:r>
      <w:r>
        <w:t xml:space="preserve"> </w:t>
      </w:r>
      <w:r>
        <w:t xml:space="preserve">approval gate between them, and run tools in sandboxes with egress control.</w:t>
      </w:r>
      <w:r>
        <w:t xml:space="preserve"> </w:t>
      </w:r>
      <w:r>
        <w:rPr>
          <w:rStyle w:val="VerbatimChar"/>
        </w:rPr>
        <w:t xml:space="preserve">[teleport-agentic-mitigations]</w:t>
      </w:r>
    </w:p>
    <w:p>
      <w:pPr>
        <w:pStyle w:val="BodyText"/>
      </w:pPr>
      <w:r>
        <w:rPr>
          <w:b/>
          <w:bCs/>
        </w:rPr>
        <w:t xml:space="preserve">Runaway-loop and cost control.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“token budget”</w:t>
      </w:r>
      <w:r>
        <w:t xml:space="preserve"> </w:t>
      </w:r>
      <w:r>
        <w:t xml:space="preserve">problem stated</w:t>
      </w:r>
      <w:r>
        <w:t xml:space="preserve"> </w:t>
      </w:r>
      <w:r>
        <w:t xml:space="preserve">concretely. The engineering consensus is multi-layer brakes: a hard cap on</w:t>
      </w:r>
      <w:r>
        <w:t xml:space="preserve"> </w:t>
      </w:r>
      <w:r>
        <w:t xml:space="preserve">reasoning steps per task, a cumulative token or dollar budget that kills the run</w:t>
      </w:r>
      <w:r>
        <w:t xml:space="preserve"> </w:t>
      </w:r>
      <w:r>
        <w:t xml:space="preserve">when exhausted, no-progress detection (compare consecutive outputs; if too similar,</w:t>
      </w:r>
      <w:r>
        <w:t xml:space="preserve"> </w:t>
      </w:r>
      <w:r>
        <w:t xml:space="preserve">the agent is stuck), and an absolute wall-clock timeout.</w:t>
      </w:r>
      <w:r>
        <w:t xml:space="preserve"> </w:t>
      </w:r>
      <w:r>
        <w:rPr>
          <w:rStyle w:val="VerbatimChar"/>
        </w:rPr>
        <w:t xml:space="preserve">[bswen-loop-control]</w:t>
      </w:r>
      <w:r>
        <w:t xml:space="preserve"> </w:t>
      </w:r>
      <w:r>
        <w:t xml:space="preserve">“Single guards fail. Multi-layer defense works.”</w:t>
      </w:r>
      <w:r>
        <w:t xml:space="preserve"> </w:t>
      </w:r>
      <w:r>
        <w:rPr>
          <w:rStyle w:val="VerbatimChar"/>
        </w:rPr>
        <w:t xml:space="preserve">[bswen-loop-control]</w:t>
      </w:r>
      <w:r>
        <w:t xml:space="preserve"> </w:t>
      </w:r>
      <w:r>
        <w:t xml:space="preserve">On the</w:t>
      </w:r>
      <w:r>
        <w:t xml:space="preserve"> </w:t>
      </w:r>
      <w:r>
        <w:t xml:space="preserve">governance side, Microsoft’s guidance is to track token and compute use per agent</w:t>
      </w:r>
      <w:r>
        <w:t xml:space="preserve"> </w:t>
      </w:r>
      <w:r>
        <w:t xml:space="preserve">and fire real-time alerts as spend approaches budget thresholds</w:t>
      </w:r>
      <w:r>
        <w:t xml:space="preserve"> </w:t>
      </w:r>
      <w:r>
        <w:t xml:space="preserve">“to prevent</w:t>
      </w:r>
      <w:r>
        <w:t xml:space="preserve"> </w:t>
      </w:r>
      <w:r>
        <w:t xml:space="preserve">overruns.”</w:t>
      </w:r>
      <w:r>
        <w:t xml:space="preserve"> </w:t>
      </w:r>
      <w:r>
        <w:rPr>
          <w:rStyle w:val="VerbatimChar"/>
        </w:rPr>
        <w:t xml:space="preserve">[msft-agent-governance]</w:t>
      </w:r>
      <w:r>
        <w:t xml:space="preserve"> </w:t>
      </w:r>
      <w:r>
        <w:t xml:space="preserve">(Gartner reportedly now names</w:t>
      </w:r>
      <w:r>
        <w:t xml:space="preserve"> </w:t>
      </w:r>
      <w:r>
        <w:t xml:space="preserve">“FinOps for</w:t>
      </w:r>
      <w:r>
        <w:t xml:space="preserve"> </w:t>
      </w:r>
      <w:r>
        <w:t xml:space="preserve">agentic AI”</w:t>
      </w:r>
      <w:r>
        <w:t xml:space="preserve"> </w:t>
      </w:r>
      <w:r>
        <w:t xml:space="preserve">as a category; that is an unverified search lead, not confirmed.)</w:t>
      </w:r>
    </w:p>
    <w:p>
      <w:pPr>
        <w:pStyle w:val="BodyText"/>
      </w:pPr>
      <w:r>
        <w:rPr>
          <w:b/>
          <w:bCs/>
        </w:rPr>
        <w:t xml:space="preserve">Identity, observability, and a kill switch.</w:t>
      </w:r>
      <w:r>
        <w:t xml:space="preserve"> </w:t>
      </w:r>
      <w:r>
        <w:t xml:space="preserve">Give every agent a unique,</w:t>
      </w:r>
      <w:r>
        <w:t xml:space="preserve"> </w:t>
      </w:r>
      <w:r>
        <w:t xml:space="preserve">verifiable identity (</w:t>
      </w:r>
      <w:r>
        <w:t xml:space="preserve">“identity as the new control plane”</w:t>
      </w:r>
      <w:r>
        <w:t xml:space="preserve">), maintain a registry so</w:t>
      </w:r>
      <w:r>
        <w:t xml:space="preserve"> </w:t>
      </w:r>
      <w:r>
        <w:t xml:space="preserve">shadow agents can be found (</w:t>
      </w:r>
      <w:r>
        <w:t xml:space="preserve">“you can’t govern agents you don’t know exist”</w:t>
      </w:r>
      <w:r>
        <w:t xml:space="preserve">),</w:t>
      </w:r>
      <w:r>
        <w:t xml:space="preserve"> </w:t>
      </w:r>
      <w:r>
        <w:t xml:space="preserve">keep tamper-evident audit logs that attribute every action to a specific agent,</w:t>
      </w:r>
      <w:r>
        <w:t xml:space="preserve"> </w:t>
      </w:r>
      <w:r>
        <w:t xml:space="preserve">and watch runtime behavior for drift.</w:t>
      </w:r>
      <w:r>
        <w:t xml:space="preserve"> </w:t>
      </w:r>
      <w:r>
        <w:rPr>
          <w:rStyle w:val="VerbatimChar"/>
        </w:rPr>
        <w:t xml:space="preserve">[owasp-state-agentic-gov]</w:t>
      </w:r>
      <w:r>
        <w:t xml:space="preserve"> </w:t>
      </w:r>
      <w:r>
        <w:rPr>
          <w:rStyle w:val="VerbatimChar"/>
        </w:rPr>
        <w:t xml:space="preserve">[msft-agent-governance]</w:t>
      </w:r>
      <w:r>
        <w:t xml:space="preserve"> </w:t>
      </w:r>
      <w:r>
        <w:rPr>
          <w:rStyle w:val="VerbatimChar"/>
        </w:rPr>
        <w:t xml:space="preserve">[csa-nist-rmf-agentic]</w:t>
      </w:r>
      <w:r>
        <w:t xml:space="preserve"> </w:t>
      </w:r>
      <w:r>
        <w:t xml:space="preserve">Containment is increasingly</w:t>
      </w:r>
      <w:r>
        <w:t xml:space="preserve"> </w:t>
      </w:r>
      <w:r>
        <w:t xml:space="preserve">automated: the severe-incident pattern is</w:t>
      </w:r>
      <w:r>
        <w:t xml:space="preserve"> </w:t>
      </w:r>
      <w:r>
        <w:t xml:space="preserve">“automated agent suspension or kill-</w:t>
      </w:r>
      <w:r>
        <w:t xml:space="preserve"> </w:t>
      </w:r>
      <w:r>
        <w:t xml:space="preserve">switch activation rather than relying on human-in-the-loop containment decisions,”</w:t>
      </w:r>
      <w:r>
        <w:t xml:space="preserve"> </w:t>
      </w:r>
      <w:r>
        <w:t xml:space="preserve">because at agent speed a human cannot react fast enough.</w:t>
      </w:r>
      <w:r>
        <w:t xml:space="preserve"> </w:t>
      </w:r>
      <w:r>
        <w:rPr>
          <w:rStyle w:val="VerbatimChar"/>
        </w:rPr>
        <w:t xml:space="preserve">[csa-nist-rmf-agentic]</w:t>
      </w:r>
      <w:r>
        <w:t xml:space="preserve"> </w:t>
      </w:r>
      <w:r>
        <w:rPr>
          <w:rStyle w:val="VerbatimChar"/>
        </w:rPr>
        <w:t xml:space="preserve">[owasp-state-agentic-gov]</w:t>
      </w:r>
    </w:p>
    <w:p>
      <w:pPr>
        <w:pStyle w:val="BodyText"/>
      </w:pPr>
      <w:r>
        <w:rPr>
          <w:b/>
          <w:bCs/>
        </w:rPr>
        <w:t xml:space="preserve">Standards and threat catalogs.</w:t>
      </w:r>
      <w:r>
        <w:t xml:space="preserve"> </w:t>
      </w:r>
      <w:r>
        <w:t xml:space="preserve">The reference list for agentic risk is the</w:t>
      </w:r>
      <w:r>
        <w:t xml:space="preserve"> </w:t>
      </w:r>
      <w:r>
        <w:t xml:space="preserve">OWASP Top 10 for Agentic Applications 2026 (ten named risk classes including Agent</w:t>
      </w:r>
      <w:r>
        <w:t xml:space="preserve"> </w:t>
      </w:r>
      <w:r>
        <w:t xml:space="preserve">Goal Hijack, Tool Misuse, Identity and Privilege Abuse, and Rogue Agents) and its</w:t>
      </w:r>
      <w:r>
        <w:t xml:space="preserve"> </w:t>
      </w:r>
      <w:r>
        <w:t xml:space="preserve">companion governance report.</w:t>
      </w:r>
      <w:r>
        <w:t xml:space="preserve"> </w:t>
      </w:r>
      <w:r>
        <w:rPr>
          <w:rStyle w:val="VerbatimChar"/>
        </w:rPr>
        <w:t xml:space="preserve">[owasp-agentic-top10]</w:t>
      </w:r>
      <w:r>
        <w:t xml:space="preserve"> </w:t>
      </w:r>
      <w:r>
        <w:rPr>
          <w:rStyle w:val="VerbatimChar"/>
        </w:rPr>
        <w:t xml:space="preserve">[owasp-state-agentic-gov]</w:t>
      </w:r>
      <w:r>
        <w:t xml:space="preserve"> </w:t>
      </w:r>
      <w:r>
        <w:t xml:space="preserve">The emerging federal anchor is the NIST AI Agent Standards Initiative (announced</w:t>
      </w:r>
      <w:r>
        <w:t xml:space="preserve"> </w:t>
      </w:r>
      <w:r>
        <w:t xml:space="preserve">February 2026), covering agent identity, least-privilege tool access, and audit</w:t>
      </w:r>
      <w:r>
        <w:t xml:space="preserve"> </w:t>
      </w:r>
      <w:r>
        <w:t xml:space="preserve">attribution, with an interoperability profile targeted for late 2026.</w:t>
      </w:r>
      <w:r>
        <w:t xml:space="preserve"> </w:t>
      </w:r>
      <w:r>
        <w:rPr>
          <w:rStyle w:val="VerbatimChar"/>
        </w:rPr>
        <w:t xml:space="preserve">[csa-nist-agent-standards]</w:t>
      </w:r>
      <w:r>
        <w:t xml:space="preserve"> </w:t>
      </w:r>
      <w:r>
        <w:t xml:space="preserve">For ordinary (non-agentic) LLM apps, the OWASP Top 10</w:t>
      </w:r>
      <w:r>
        <w:t xml:space="preserve"> </w:t>
      </w:r>
      <w:r>
        <w:t xml:space="preserve">for LLM Applications 2025 is the controls reference, and two of its entries,</w:t>
      </w:r>
      <w:r>
        <w:t xml:space="preserve"> </w:t>
      </w:r>
      <w:r>
        <w:t xml:space="preserve">“Excessive Agency”</w:t>
      </w:r>
      <w:r>
        <w:t xml:space="preserve"> </w:t>
      </w:r>
      <w:r>
        <w:t xml:space="preserve">and</w:t>
      </w:r>
      <w:r>
        <w:t xml:space="preserve"> </w:t>
      </w:r>
      <w:r>
        <w:t xml:space="preserve">“Unbounded Consumption,”</w:t>
      </w:r>
      <w:r>
        <w:t xml:space="preserve"> </w:t>
      </w:r>
      <w:r>
        <w:t xml:space="preserve">are exactly the agentic autonomy</w:t>
      </w:r>
      <w:r>
        <w:t xml:space="preserve"> </w:t>
      </w:r>
      <w:r>
        <w:t xml:space="preserve">and cost problems.</w:t>
      </w:r>
      <w:r>
        <w:t xml:space="preserve"> </w:t>
      </w:r>
      <w:r>
        <w:rPr>
          <w:rStyle w:val="VerbatimChar"/>
        </w:rPr>
        <w:t xml:space="preserve">[owasp-llm-top10]</w:t>
      </w:r>
    </w:p>
    <w:p>
      <w:r>
        <w:pict>
          <v:rect style="width:0;height:1.5pt" o:hralign="center" o:hrstd="t" o:hr="t"/>
        </w:pict>
      </w:r>
    </w:p>
    <w:bookmarkEnd w:id="12"/>
    <w:bookmarkStart w:id="13" w:name="X12b4bd09144c1fb451abff513f1721135281861"/>
    <w:p>
      <w:pPr>
        <w:pStyle w:val="Heading2"/>
      </w:pPr>
      <w:r>
        <w:t xml:space="preserve">4. Regulated industries and federal civilian: the model-risk analog</w:t>
      </w:r>
    </w:p>
    <w:p>
      <w:pPr>
        <w:pStyle w:val="FirstParagraph"/>
      </w:pPr>
      <w:r>
        <w:rPr>
          <w:b/>
          <w:bCs/>
        </w:rPr>
        <w:t xml:space="preserve">The most useful insight from this stream is that AI governance is not new, it is</w:t>
      </w:r>
      <w:r>
        <w:rPr>
          <w:b/>
          <w:bCs/>
        </w:rPr>
        <w:t xml:space="preserve"> </w:t>
      </w:r>
      <w:r>
        <w:rPr>
          <w:b/>
          <w:bCs/>
        </w:rPr>
        <w:t xml:space="preserve">an extension of model risk management.</w:t>
      </w:r>
      <w:r>
        <w:t xml:space="preserve"> </w:t>
      </w:r>
      <w:r>
        <w:t xml:space="preserve">Banking has governed quantitative models</w:t>
      </w:r>
      <w:r>
        <w:t xml:space="preserve"> </w:t>
      </w:r>
      <w:r>
        <w:t xml:space="preserve">for over a decade under Supervisory Letter SR 11-7 (2011), and that structure is</w:t>
      </w:r>
      <w:r>
        <w:t xml:space="preserve"> </w:t>
      </w:r>
      <w:r>
        <w:t xml:space="preserve">now being applied to machine learning and large language models. Its center of</w:t>
      </w:r>
      <w:r>
        <w:t xml:space="preserve"> </w:t>
      </w:r>
      <w:r>
        <w:t xml:space="preserve">gravity is</w:t>
      </w:r>
      <w:r>
        <w:t xml:space="preserve"> </w:t>
      </w:r>
      <w:r>
        <w:t xml:space="preserve">“effective challenge”</w:t>
      </w:r>
      <w:r>
        <w:t xml:space="preserve">:</w:t>
      </w:r>
      <w:r>
        <w:t xml:space="preserve"> </w:t>
      </w:r>
      <w:r>
        <w:t xml:space="preserve">“the critical analysis of a model against its</w:t>
      </w:r>
      <w:r>
        <w:t xml:space="preserve"> </w:t>
      </w:r>
      <w:r>
        <w:t xml:space="preserve">objectives by informed, technically competent parties who can identify model</w:t>
      </w:r>
      <w:r>
        <w:t xml:space="preserve"> </w:t>
      </w:r>
      <w:r>
        <w:t xml:space="preserve">limitations and assumptions.”</w:t>
      </w:r>
      <w:r>
        <w:t xml:space="preserve"> </w:t>
      </w:r>
      <w:r>
        <w:rPr>
          <w:rStyle w:val="VerbatimChar"/>
        </w:rPr>
        <w:t xml:space="preserve">[sr-11-7]</w:t>
      </w:r>
      <w:r>
        <w:t xml:space="preserve"> </w:t>
      </w:r>
      <w:r>
        <w:t xml:space="preserve">It mandates independent validation by</w:t>
      </w:r>
      <w:r>
        <w:t xml:space="preserve"> </w:t>
      </w:r>
      <w:r>
        <w:t xml:space="preserve">people separate from the developers, with authority to force changes, plus a model</w:t>
      </w:r>
      <w:r>
        <w:t xml:space="preserve"> </w:t>
      </w:r>
      <w:r>
        <w:t xml:space="preserve">inventory, documentation, and a three-lines-of-defense structure (developers,</w:t>
      </w:r>
      <w:r>
        <w:t xml:space="preserve"> </w:t>
      </w:r>
      <w:r>
        <w:t xml:space="preserve">independent validation, internal audit).</w:t>
      </w:r>
      <w:r>
        <w:t xml:space="preserve"> </w:t>
      </w:r>
      <w:r>
        <w:rPr>
          <w:rStyle w:val="VerbatimChar"/>
        </w:rPr>
        <w:t xml:space="preserve">[sr-11-7]</w:t>
      </w:r>
    </w:p>
    <w:p>
      <w:pPr>
        <w:pStyle w:val="BodyText"/>
      </w:pPr>
      <w:r>
        <w:rPr>
          <w:b/>
          <w:bCs/>
        </w:rPr>
        <w:t xml:space="preserve">FACT.</w:t>
      </w:r>
      <w:r>
        <w:t xml:space="preserve"> </w:t>
      </w:r>
      <w:r>
        <w:t xml:space="preserve">That same lifecycle logic shows up in healthcare and federal civilian</w:t>
      </w:r>
      <w:r>
        <w:t xml:space="preserve"> </w:t>
      </w:r>
      <w:r>
        <w:t xml:space="preserve">governance. The U.S. Food and Drug Administration’s draft guidance on AI-enabled</w:t>
      </w:r>
      <w:r>
        <w:t xml:space="preserve"> </w:t>
      </w:r>
      <w:r>
        <w:t xml:space="preserve">devices (January 2025) uses a Total Product Lifecycle approach, a nine-area</w:t>
      </w:r>
      <w:r>
        <w:t xml:space="preserve"> </w:t>
      </w:r>
      <w:r>
        <w:t xml:space="preserve">documentation set, bias mitigation through subpopulation testing, and a</w:t>
      </w:r>
      <w:r>
        <w:t xml:space="preserve"> </w:t>
      </w:r>
      <w:r>
        <w:t xml:space="preserve">Predetermined Change Control Plan that pre-authorizes a bounded set of post-market</w:t>
      </w:r>
      <w:r>
        <w:t xml:space="preserve"> </w:t>
      </w:r>
      <w:r>
        <w:t xml:space="preserve">model changes.</w:t>
      </w:r>
      <w:r>
        <w:t xml:space="preserve"> </w:t>
      </w:r>
      <w:r>
        <w:rPr>
          <w:rStyle w:val="VerbatimChar"/>
        </w:rPr>
        <w:t xml:space="preserve">[fda-ai-device]</w:t>
      </w:r>
      <w:r>
        <w:t xml:space="preserve"> </w:t>
      </w:r>
      <w:r>
        <w:t xml:space="preserve">The Government Accountability Office’s AI</w:t>
      </w:r>
      <w:r>
        <w:t xml:space="preserve"> </w:t>
      </w:r>
      <w:r>
        <w:t xml:space="preserve">Accountability Framework (2021) is built around four principles, Governance, Data,</w:t>
      </w:r>
      <w:r>
        <w:t xml:space="preserve"> </w:t>
      </w:r>
      <w:r>
        <w:t xml:space="preserve">Performance, and Monitoring, and is explicitly designed for auditors and third-party</w:t>
      </w:r>
      <w:r>
        <w:t xml:space="preserve"> </w:t>
      </w:r>
      <w:r>
        <w:t xml:space="preserve">assessors, not self-certification.</w:t>
      </w:r>
      <w:r>
        <w:t xml:space="preserve"> </w:t>
      </w:r>
      <w:r>
        <w:rPr>
          <w:rStyle w:val="VerbatimChar"/>
        </w:rPr>
        <w:t xml:space="preserve">[gao-21-519sp]</w:t>
      </w:r>
    </w:p>
    <w:p>
      <w:pPr>
        <w:pStyle w:val="BodyText"/>
      </w:pPr>
      <w:r>
        <w:rPr>
          <w:b/>
          <w:bCs/>
        </w:rPr>
        <w:t xml:space="preserve">The federal civilian rulebook is OMB Memorandum M-25-21 (April 2025), which</w:t>
      </w:r>
      <w:r>
        <w:rPr>
          <w:b/>
          <w:bCs/>
        </w:rPr>
        <w:t xml:space="preserve"> </w:t>
      </w:r>
      <w:r>
        <w:rPr>
          <w:b/>
          <w:bCs/>
        </w:rPr>
        <w:t xml:space="preserve">replaced M-24-10.</w:t>
      </w:r>
      <w:r>
        <w:t xml:space="preserve"> </w:t>
      </w:r>
      <w:r>
        <w:t xml:space="preserve">It requires each agency to name a Chief AI Officer, stand up an</w:t>
      </w:r>
      <w:r>
        <w:t xml:space="preserve"> </w:t>
      </w:r>
      <w:r>
        <w:t xml:space="preserve">AI governance board, maintain a public AI use-case inventory, and apply minimum</w:t>
      </w:r>
      <w:r>
        <w:t xml:space="preserve"> </w:t>
      </w:r>
      <w:r>
        <w:t xml:space="preserve">risk-management practices to</w:t>
      </w:r>
      <w:r>
        <w:t xml:space="preserve"> </w:t>
      </w:r>
      <w:r>
        <w:t xml:space="preserve">“high-impact”</w:t>
      </w:r>
      <w:r>
        <w:t xml:space="preserve"> </w:t>
      </w:r>
      <w:r>
        <w:t xml:space="preserve">AI, including human review before</w:t>
      </w:r>
      <w:r>
        <w:t xml:space="preserve"> </w:t>
      </w:r>
      <w:r>
        <w:t xml:space="preserve">deployment:</w:t>
      </w:r>
      <w:r>
        <w:t xml:space="preserve"> </w:t>
      </w:r>
      <w:r>
        <w:t xml:space="preserve">“Agencies shall ensure that all high-impact AI systems receive</w:t>
      </w:r>
      <w:r>
        <w:t xml:space="preserve"> </w:t>
      </w:r>
      <w:r>
        <w:t xml:space="preserve">appropriate human review before deployment.”</w:t>
      </w:r>
      <w:r>
        <w:t xml:space="preserve"> </w:t>
      </w:r>
      <w:r>
        <w:rPr>
          <w:rStyle w:val="VerbatimChar"/>
        </w:rPr>
        <w:t xml:space="preserve">[omb-m-25-21]</w:t>
      </w:r>
      <w:r>
        <w:t xml:space="preserve"> </w:t>
      </w:r>
      <w:r>
        <w:t xml:space="preserve">The Federal Reserve</w:t>
      </w:r>
      <w:r>
        <w:t xml:space="preserve"> </w:t>
      </w:r>
      <w:r>
        <w:t xml:space="preserve">Board’s published compliance plan (October 2025) is a concrete worked example of</w:t>
      </w:r>
      <w:r>
        <w:t xml:space="preserve"> </w:t>
      </w:r>
      <w:r>
        <w:t xml:space="preserve">turning that memo into an operating model: a CAIO with approval authority over</w:t>
      </w:r>
      <w:r>
        <w:t xml:space="preserve"> </w:t>
      </w:r>
      <w:r>
        <w:t xml:space="preserve">high-impact deployments, layered committees, the inventory used as the intake gate,</w:t>
      </w:r>
      <w:r>
        <w:t xml:space="preserve"> </w:t>
      </w:r>
      <w:r>
        <w:t xml:space="preserve">and impact assessments per high-impact case.</w:t>
      </w:r>
      <w:r>
        <w:t xml:space="preserve"> </w:t>
      </w:r>
      <w:r>
        <w:rPr>
          <w:rStyle w:val="VerbatimChar"/>
        </w:rPr>
        <w:t xml:space="preserve">[fed-m25-21-compliance]</w:t>
      </w:r>
      <w:r>
        <w:t xml:space="preserve"> </w:t>
      </w:r>
      <w:r>
        <w:t xml:space="preserve">(DoD is</w:t>
      </w:r>
      <w:r>
        <w:t xml:space="preserve"> </w:t>
      </w:r>
      <w:r>
        <w:t xml:space="preserve">statutorily exempt from the federal use-case inventory mandate but has stated it</w:t>
      </w:r>
      <w:r>
        <w:t xml:space="preserve"> </w:t>
      </w:r>
      <w:r>
        <w:t xml:space="preserve">complies voluntarily and that its CAIO</w:t>
      </w:r>
      <w:r>
        <w:t xml:space="preserve"> </w:t>
      </w:r>
      <w:r>
        <w:t xml:space="preserve">“will not, at present, be issuing any</w:t>
      </w:r>
      <w:r>
        <w:t xml:space="preserve"> </w:t>
      </w:r>
      <w:r>
        <w:t xml:space="preserve">waivers.”</w:t>
      </w:r>
      <w:r>
        <w:t xml:space="preserve"> </w:t>
      </w:r>
      <w:r>
        <w:rPr>
          <w:rStyle w:val="VerbatimChar"/>
        </w:rPr>
        <w:t xml:space="preserve">[dod-caio-statement]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Assessment.</w:t>
      </w:r>
      <w:r>
        <w:t xml:space="preserve"> </w:t>
      </w:r>
      <w:r>
        <w:t xml:space="preserve">The recurring lesson here is that the function which separates a</w:t>
      </w:r>
      <w:r>
        <w:t xml:space="preserve"> </w:t>
      </w:r>
      <w:r>
        <w:t xml:space="preserve">mature regime from a paper policy is</w:t>
      </w:r>
      <w:r>
        <w:t xml:space="preserve"> </w:t>
      </w:r>
      <w:r>
        <w:rPr>
          <w:b/>
          <w:bCs/>
        </w:rPr>
        <w:t xml:space="preserve">independent validation and audit</w:t>
      </w:r>
      <w:r>
        <w:t xml:space="preserve">. Banking</w:t>
      </w:r>
      <w:r>
        <w:t xml:space="preserve"> </w:t>
      </w:r>
      <w:r>
        <w:t xml:space="preserve">has it; the GAO framework is built around it; the FDA inserts an external regulator.</w:t>
      </w:r>
      <w:r>
        <w:t xml:space="preserve"> </w:t>
      </w:r>
      <w:r>
        <w:t xml:space="preserve">Where it is weakest, governance is judged weakest: a former FDA Commissioner is</w:t>
      </w:r>
      <w:r>
        <w:t xml:space="preserve"> </w:t>
      </w:r>
      <w:r>
        <w:t xml:space="preserve">quoted that</w:t>
      </w:r>
      <w:r>
        <w:t xml:space="preserve"> </w:t>
      </w:r>
      <w:r>
        <w:t xml:space="preserve">“no health system in the United States is currently capable of</w:t>
      </w:r>
      <w:r>
        <w:t xml:space="preserve"> </w:t>
      </w:r>
      <w:r>
        <w:t xml:space="preserve">validating an AI algorithm once it’s in use.”</w:t>
      </w:r>
      <w:r>
        <w:t xml:space="preserve"> </w:t>
      </w:r>
      <w:r>
        <w:rPr>
          <w:rStyle w:val="VerbatimChar"/>
        </w:rPr>
        <w:t xml:space="preserve">[hospital-ai-gov]</w:t>
      </w:r>
      <w:r>
        <w:t xml:space="preserve"> </w:t>
      </w:r>
      <w:r>
        <w:t xml:space="preserve">Any new policy</w:t>
      </w:r>
      <w:r>
        <w:t xml:space="preserve"> </w:t>
      </w:r>
      <w:r>
        <w:t xml:space="preserve">that names an owner and an inventory but has no independent-challenge function is,</w:t>
      </w:r>
      <w:r>
        <w:t xml:space="preserve"> </w:t>
      </w:r>
      <w:r>
        <w:t xml:space="preserve">by this standard, incomplete.</w:t>
      </w:r>
    </w:p>
    <w:p>
      <w:r>
        <w:pict>
          <v:rect style="width:0;height:1.5pt" o:hralign="center" o:hrstd="t" o:hr="t"/>
        </w:pict>
      </w:r>
    </w:p>
    <w:bookmarkEnd w:id="13"/>
    <w:bookmarkStart w:id="14" w:name="where-approaches-diverge"/>
    <w:p>
      <w:pPr>
        <w:pStyle w:val="Heading2"/>
      </w:pPr>
      <w:r>
        <w:t xml:space="preserve">5. Where approaches diverge</w:t>
      </w:r>
    </w:p>
    <w:p>
      <w:pPr>
        <w:pStyle w:val="FirstParagraph"/>
      </w:pPr>
      <w:r>
        <w:rPr>
          <w:b/>
          <w:bCs/>
        </w:rPr>
        <w:t xml:space="preserve">Assessment.</w:t>
      </w:r>
      <w:r>
        <w:t xml:space="preserve"> </w:t>
      </w:r>
      <w:r>
        <w:t xml:space="preserve">Two genuine forks are worth seeing, because they are choices a</w:t>
      </w:r>
      <w:r>
        <w:t xml:space="preserve"> </w:t>
      </w:r>
      <w:r>
        <w:t xml:space="preserve">policy author makes, not settled questions: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Prescriptive rules versus principles-led flexibility.</w:t>
      </w:r>
      <w:r>
        <w:t xml:space="preserve"> </w:t>
      </w:r>
      <w:r>
        <w:t xml:space="preserve">The U.S. federal,</w:t>
      </w:r>
      <w:r>
        <w:t xml:space="preserve"> </w:t>
      </w:r>
      <w:r>
        <w:t xml:space="preserve">banking, and FDA regimes are prescriptive and enforceable within their sectors.</w:t>
      </w:r>
      <w:r>
        <w:t xml:space="preserve"> </w:t>
      </w:r>
      <w:r>
        <w:t xml:space="preserve">The United Kingdom (five cross-sector principles applied by existing regulators,</w:t>
      </w:r>
      <w:r>
        <w:t xml:space="preserve"> </w:t>
      </w:r>
      <w:r>
        <w:t xml:space="preserve">no new AI law) and Singapore (a voluntary, operational framework) are</w:t>
      </w:r>
      <w:r>
        <w:t xml:space="preserve"> </w:t>
      </w:r>
      <w:r>
        <w:t xml:space="preserve">deliberately principles-based and pro-innovation.</w:t>
      </w:r>
      <w:r>
        <w:t xml:space="preserve"> </w:t>
      </w:r>
      <w:r>
        <w:rPr>
          <w:rStyle w:val="VerbatimChar"/>
        </w:rPr>
        <w:t xml:space="preserve">[uk-pro-innovation]</w:t>
      </w:r>
      <w:r>
        <w:t xml:space="preserve"> </w:t>
      </w:r>
      <w:r>
        <w:rPr>
          <w:rStyle w:val="VerbatimChar"/>
        </w:rPr>
        <w:t xml:space="preserve">[sg-model-ai-gov]</w:t>
      </w:r>
      <w:r>
        <w:t xml:space="preserve"> </w:t>
      </w:r>
      <w:r>
        <w:t xml:space="preserve">Both converge on the same primitives; they differ on whether</w:t>
      </w:r>
      <w:r>
        <w:t xml:space="preserve"> </w:t>
      </w:r>
      <w:r>
        <w:t xml:space="preserve">the controls are mandates or guidance.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Centralized control versus federated execution, and when to shift.</w:t>
      </w:r>
      <w:r>
        <w:t xml:space="preserve"> </w:t>
      </w:r>
      <w:r>
        <w:t xml:space="preserve">McKinsey’s</w:t>
      </w:r>
      <w:r>
        <w:t xml:space="preserve"> </w:t>
      </w:r>
      <w:r>
        <w:t xml:space="preserve">guidance to financial institutions is to start with a centralized oversight</w:t>
      </w:r>
      <w:r>
        <w:t xml:space="preserve"> </w:t>
      </w:r>
      <w:r>
        <w:t xml:space="preserve">committee in early adoption and shift control to subcommittees as governance</w:t>
      </w:r>
      <w:r>
        <w:t xml:space="preserve"> </w:t>
      </w:r>
      <w:r>
        <w:t xml:space="preserve">matures.</w:t>
      </w:r>
      <w:r>
        <w:t xml:space="preserve"> </w:t>
      </w:r>
      <w:r>
        <w:rPr>
          <w:rStyle w:val="VerbatimChar"/>
        </w:rPr>
        <w:t xml:space="preserve">[mck-fi-genai-gov]</w:t>
      </w:r>
      <w:r>
        <w:t xml:space="preserve"> </w:t>
      </w:r>
      <w:r>
        <w:t xml:space="preserve">The maturity-model idea recurs in the agentic</w:t>
      </w:r>
      <w:r>
        <w:t xml:space="preserve"> </w:t>
      </w:r>
      <w:r>
        <w:t xml:space="preserve">governance work too: score your governance capability against the complexity of</w:t>
      </w:r>
      <w:r>
        <w:t xml:space="preserve"> </w:t>
      </w:r>
      <w:r>
        <w:t xml:space="preserve">the agents you are actually running, and either raise the governance or lower the</w:t>
      </w:r>
      <w:r>
        <w:t xml:space="preserve"> </w:t>
      </w:r>
      <w:r>
        <w:t xml:space="preserve">deployment tier.</w:t>
      </w:r>
      <w:r>
        <w:t xml:space="preserve"> </w:t>
      </w:r>
      <w:r>
        <w:rPr>
          <w:rStyle w:val="VerbatimChar"/>
        </w:rPr>
        <w:t xml:space="preserve">[owasp-state-agentic-gov]</w:t>
      </w:r>
    </w:p>
    <w:p>
      <w:r>
        <w:pict>
          <v:rect style="width:0;height:1.5pt" o:hralign="center" o:hrstd="t" o:hr="t"/>
        </w:pict>
      </w:r>
    </w:p>
    <w:bookmarkEnd w:id="14"/>
    <w:bookmarkStart w:id="15" w:name="reliability-notes-and-unverified-leads"/>
    <w:p>
      <w:pPr>
        <w:pStyle w:val="Heading2"/>
      </w:pPr>
      <w:r>
        <w:t xml:space="preserve">6. Reliability notes and unverified leads</w:t>
      </w:r>
    </w:p>
    <w:p>
      <w:pPr>
        <w:pStyle w:val="FirstParagraph"/>
      </w:pPr>
      <w:r>
        <w:rPr>
          <w:b/>
          <w:bCs/>
        </w:rPr>
        <w:t xml:space="preserve">FACT about the research itself, kept visible per the vault’s verification rules.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McKinsey bodies were not retrieved.</w:t>
      </w:r>
      <w:r>
        <w:t xml:space="preserve"> </w:t>
      </w:r>
      <w:r>
        <w:t xml:space="preserve">The mckinsey.com origin blocked every</w:t>
      </w:r>
      <w:r>
        <w:t xml:space="preserve"> </w:t>
      </w:r>
      <w:r>
        <w:t xml:space="preserve">fetch. All McKinsey claims here come from McKinsey’s own search-result abstracts,</w:t>
      </w:r>
      <w:r>
        <w:t xml:space="preserve"> </w:t>
      </w:r>
      <w:r>
        <w:t xml:space="preserve">not full article text. They read as consistent with the rest of the landscape,</w:t>
      </w:r>
      <w:r>
        <w:t xml:space="preserve"> </w:t>
      </w:r>
      <w:r>
        <w:t xml:space="preserve">but treat them as leads until you pull the full text. The exact URLs are on the</w:t>
      </w:r>
      <w:r>
        <w:t xml:space="preserve"> </w:t>
      </w:r>
      <w:r>
        <w:t xml:space="preserve">operator pull list.</w:t>
      </w:r>
      <w:r>
        <w:t xml:space="preserve"> </w:t>
      </w:r>
      <w:r>
        <w:rPr>
          <w:rStyle w:val="VerbatimChar"/>
        </w:rPr>
        <w:t xml:space="preserve">[mck-state-of-ai]</w:t>
      </w:r>
      <w:r>
        <w:t xml:space="preserve"> </w:t>
      </w:r>
      <w:r>
        <w:rPr>
          <w:rStyle w:val="VerbatimChar"/>
        </w:rPr>
        <w:t xml:space="preserve">[mck-fi-genai-gov]</w:t>
      </w:r>
      <w:r>
        <w:t xml:space="preserve"> </w:t>
      </w:r>
      <w:r>
        <w:rPr>
          <w:rStyle w:val="VerbatimChar"/>
        </w:rPr>
        <w:t xml:space="preserve">[mck-trust-maturity]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Several primary government pages hard-blocked the fetcher.</w:t>
      </w:r>
      <w:r>
        <w:t xml:space="preserve"> </w:t>
      </w:r>
      <w:r>
        <w:t xml:space="preserve">SR 11-7, the FDA</w:t>
      </w:r>
      <w:r>
        <w:t xml:space="preserve"> </w:t>
      </w:r>
      <w:r>
        <w:t xml:space="preserve">device guidance, and the DON CIO memos were reached through reputable secondary</w:t>
      </w:r>
      <w:r>
        <w:t xml:space="preserve"> </w:t>
      </w:r>
      <w:r>
        <w:t xml:space="preserve">sources that quote them (ModelOp, CenterWatch, the NPS library guide). Verify</w:t>
      </w:r>
      <w:r>
        <w:t xml:space="preserve"> </w:t>
      </w:r>
      <w:r>
        <w:t xml:space="preserve">exact wording against the primaries before quoting as primary.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fabricated citation was caught and discarded.</w:t>
      </w:r>
      <w:r>
        <w:t xml:space="preserve"> </w:t>
      </w:r>
      <w:r>
        <w:t xml:space="preserve">A research agent’s first</w:t>
      </w:r>
      <w:r>
        <w:t xml:space="preserve"> </w:t>
      </w:r>
      <w:r>
        <w:t xml:space="preserve">fetch of the GAO generative-AI report returned a wrong report number and invented</w:t>
      </w:r>
      <w:r>
        <w:t xml:space="preserve"> </w:t>
      </w:r>
      <w:r>
        <w:t xml:space="preserve">quotes; it was re-verified against the real PDF and the bad version dropped. The</w:t>
      </w:r>
      <w:r>
        <w:t xml:space="preserve"> </w:t>
      </w:r>
      <w:r>
        <w:t xml:space="preserve">GAO content here is from the verified document.</w:t>
      </w:r>
      <w:r>
        <w:t xml:space="preserve"> </w:t>
      </w:r>
      <w:r>
        <w:rPr>
          <w:rStyle w:val="VerbatimChar"/>
        </w:rPr>
        <w:t xml:space="preserve">[gao-25-genai]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HBR pieces are now full-text (v0.2 upgrade).</w:t>
      </w:r>
      <w:r>
        <w:t xml:space="preserve"> </w:t>
      </w:r>
      <w:r>
        <w:t xml:space="preserve">The operator pulled the two</w:t>
      </w:r>
      <w:r>
        <w:t xml:space="preserve"> </w:t>
      </w:r>
      <w:r>
        <w:t xml:space="preserve">Harvard Business Review articles; they were read in full from the PDFs, captured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01_sources/hbr-rai-checklist.md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01_sources/hbr-agentic-risks.md</w:t>
      </w:r>
      <w:r>
        <w:t xml:space="preserve"> </w:t>
      </w:r>
      <w:r>
        <w:t xml:space="preserve">(PDFs</w:t>
      </w:r>
      <w:r>
        <w:t xml:space="preserve"> </w:t>
      </w:r>
      <w:r>
        <w:t xml:space="preserve">preserved under</w:t>
      </w:r>
      <w:r>
        <w:t xml:space="preserve"> </w:t>
      </w:r>
      <w:r>
        <w:rPr>
          <w:rStyle w:val="VerbatimChar"/>
        </w:rPr>
        <w:t xml:space="preserve">01_sources/hbr/</w:t>
      </w:r>
      <w:r>
        <w:t xml:space="preserve">), and their claims above no longer rest on</w:t>
      </w:r>
      <w:r>
        <w:t xml:space="preserve"> </w:t>
      </w:r>
      <w:r>
        <w:t xml:space="preserve">abstracts.</w:t>
      </w:r>
      <w:r>
        <w:t xml:space="preserve"> </w:t>
      </w:r>
      <w:r>
        <w:rPr>
          <w:rStyle w:val="VerbatimChar"/>
        </w:rPr>
        <w:t xml:space="preserve">[hbr-rai-checklist]</w:t>
      </w:r>
      <w:r>
        <w:t xml:space="preserve"> </w:t>
      </w:r>
      <w:r>
        <w:rPr>
          <w:rStyle w:val="VerbatimChar"/>
        </w:rPr>
        <w:t xml:space="preserve">[hbr-agentic-risks]</w:t>
      </w:r>
    </w:p>
    <w:p>
      <w:pPr>
        <w:pStyle w:val="FirstParagraph"/>
      </w:pPr>
      <w:r>
        <w:rPr>
          <w:b/>
          <w:bCs/>
        </w:rPr>
        <w:t xml:space="preserve">Speculation / unverified leads (do not cite as fact):</w:t>
      </w:r>
    </w:p>
    <w:p>
      <w:pPr>
        <w:pStyle w:val="Compact"/>
        <w:numPr>
          <w:ilvl w:val="0"/>
          <w:numId w:val="1004"/>
        </w:numPr>
      </w:pPr>
      <w:r>
        <w:t xml:space="preserve">A 2026 revision of bank model-risk guidance, SR 26-02 with OCC Bulletin 2026-13,</w:t>
      </w:r>
      <w:r>
        <w:t xml:space="preserve"> </w:t>
      </w:r>
      <w:r>
        <w:t xml:space="preserve">possibly superseding SR 11-7. This surfaced in two independent research streams,</w:t>
      </w:r>
      <w:r>
        <w:t xml:space="preserve"> </w:t>
      </w:r>
      <w:r>
        <w:t xml:space="preserve">which raises its plausibility, but neither fetched the primary.</w:t>
      </w:r>
      <w:r>
        <w:t xml:space="preserve"> </w:t>
      </w:r>
      <w:r>
        <w:rPr>
          <w:rStyle w:val="VerbatimChar"/>
        </w:rPr>
        <w:t xml:space="preserve">[sr-26-02]</w:t>
      </w:r>
    </w:p>
    <w:p>
      <w:pPr>
        <w:pStyle w:val="Compact"/>
        <w:numPr>
          <w:ilvl w:val="0"/>
          <w:numId w:val="1004"/>
        </w:numPr>
      </w:pPr>
      <w:r>
        <w:t xml:space="preserve">An EU</w:t>
      </w:r>
      <w:r>
        <w:t xml:space="preserve"> </w:t>
      </w:r>
      <w:r>
        <w:t xml:space="preserve">“Digital Omnibus”</w:t>
      </w:r>
      <w:r>
        <w:t xml:space="preserve"> </w:t>
      </w:r>
      <w:r>
        <w:t xml:space="preserve">deferring the high-risk AI Act deadline from August 2026</w:t>
      </w:r>
      <w:r>
        <w:t xml:space="preserve"> </w:t>
      </w:r>
      <w:r>
        <w:t xml:space="preserve">to December 2027.</w:t>
      </w:r>
      <w:r>
        <w:t xml:space="preserve"> </w:t>
      </w:r>
      <w:r>
        <w:rPr>
          <w:rStyle w:val="VerbatimChar"/>
        </w:rPr>
        <w:t xml:space="preserve">[eu-digital-omnibus]</w:t>
      </w:r>
    </w:p>
    <w:p>
      <w:pPr>
        <w:pStyle w:val="Compact"/>
        <w:numPr>
          <w:ilvl w:val="0"/>
          <w:numId w:val="1004"/>
        </w:numPr>
      </w:pPr>
      <w:r>
        <w:t xml:space="preserve">A later federal memo, M-26-04 on</w:t>
      </w:r>
      <w:r>
        <w:t xml:space="preserve"> </w:t>
      </w:r>
      <w:r>
        <w:t xml:space="preserve">“unbiased AI principles”</w:t>
      </w:r>
      <w:r>
        <w:t xml:space="preserve"> </w:t>
      </w:r>
      <w:r>
        <w:t xml:space="preserve">(December 2025).</w:t>
      </w:r>
    </w:p>
    <w:p>
      <w:pPr>
        <w:pStyle w:val="Compact"/>
        <w:numPr>
          <w:ilvl w:val="0"/>
          <w:numId w:val="1004"/>
        </w:numPr>
      </w:pPr>
      <w:r>
        <w:t xml:space="preserve">The figure that 26 percent of organizations now have a Chief AI Officer (an IBM</w:t>
      </w:r>
      <w:r>
        <w:t xml:space="preserve"> </w:t>
      </w:r>
      <w:r>
        <w:t xml:space="preserve">study cited only in a snippet).</w:t>
      </w:r>
      <w:r>
        <w:t xml:space="preserve"> </w:t>
      </w:r>
      <w:r>
        <w:rPr>
          <w:rStyle w:val="VerbatimChar"/>
        </w:rPr>
        <w:t xml:space="preserve">[caio-role-pattern]</w:t>
      </w:r>
    </w:p>
    <w:p>
      <w:r>
        <w:pict>
          <v:rect style="width:0;height:1.5pt" o:hralign="center" o:hrstd="t" o:hr="t"/>
        </w:pict>
      </w:r>
    </w:p>
    <w:bookmarkEnd w:id="15"/>
    <w:bookmarkStart w:id="16" w:name="operator-pull-list-your-subscriptions"/>
    <w:p>
      <w:pPr>
        <w:pStyle w:val="Heading2"/>
      </w:pPr>
      <w:r>
        <w:t xml:space="preserve">7. Operator pull list (your subscriptions)</w:t>
      </w:r>
    </w:p>
    <w:p>
      <w:pPr>
        <w:pStyle w:val="FirstParagraph"/>
      </w:pPr>
      <w:r>
        <w:t xml:space="preserve">The two HBR items are now pulled and captured (see Section 6). What remains is the</w:t>
      </w:r>
      <w:r>
        <w:t xml:space="preserve"> </w:t>
      </w:r>
      <w:r>
        <w:t xml:space="preserve">McKinsey set, worth pulling with your subscription. URLs are exact in</w:t>
      </w:r>
      <w:r>
        <w:t xml:space="preserve"> </w:t>
      </w:r>
      <w:r>
        <w:rPr>
          <w:rStyle w:val="VerbatimChar"/>
        </w:rPr>
        <w:t xml:space="preserve">../source-ledger.md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McKinsey,</w:t>
      </w:r>
      <w:r>
        <w:t xml:space="preserve"> </w:t>
      </w:r>
      <w:r>
        <w:t xml:space="preserve">“Managing the risks around generative AI”</w:t>
      </w:r>
      <w:r>
        <w:t xml:space="preserve"> </w:t>
      </w:r>
      <w:r>
        <w:t xml:space="preserve">— the four-bucket risk model</w:t>
      </w:r>
      <w:r>
        <w:t xml:space="preserve"> </w:t>
      </w:r>
      <w:r>
        <w:t xml:space="preserve">and the monthly responsible-gen-AI steering group.</w:t>
      </w:r>
      <w:r>
        <w:t xml:space="preserve"> </w:t>
      </w:r>
      <w:r>
        <w:rPr>
          <w:rStyle w:val="VerbatimChar"/>
        </w:rPr>
        <w:t xml:space="preserve">[mck-managing-risks-genai]</w:t>
      </w:r>
    </w:p>
    <w:p>
      <w:pPr>
        <w:pStyle w:val="Compact"/>
        <w:numPr>
          <w:ilvl w:val="0"/>
          <w:numId w:val="1005"/>
        </w:numPr>
      </w:pPr>
      <w:r>
        <w:t xml:space="preserve">McKinsey,</w:t>
      </w:r>
      <w:r>
        <w:t xml:space="preserve"> </w:t>
      </w:r>
      <w:r>
        <w:t xml:space="preserve">“Implementing generative AI with speed and safety”</w:t>
      </w:r>
      <w:r>
        <w:t xml:space="preserve"> </w:t>
      </w:r>
      <w:r>
        <w:t xml:space="preserve">— the control</w:t>
      </w:r>
      <w:r>
        <w:t xml:space="preserve"> </w:t>
      </w:r>
      <w:r>
        <w:t xml:space="preserve">scorecard across business, procedural, manual, and automated controls.</w:t>
      </w:r>
      <w:r>
        <w:t xml:space="preserve"> </w:t>
      </w:r>
      <w:r>
        <w:rPr>
          <w:rStyle w:val="VerbatimChar"/>
        </w:rPr>
        <w:t xml:space="preserve">[mck-speed-safety]</w:t>
      </w:r>
    </w:p>
    <w:p>
      <w:pPr>
        <w:pStyle w:val="Compact"/>
        <w:numPr>
          <w:ilvl w:val="0"/>
          <w:numId w:val="1005"/>
        </w:numPr>
      </w:pPr>
      <w:r>
        <w:t xml:space="preserve">McKinsey,</w:t>
      </w:r>
      <w:r>
        <w:t xml:space="preserve"> </w:t>
      </w:r>
      <w:r>
        <w:t xml:space="preserve">“How financial institutions can improve their governance of gen AI”</w:t>
      </w:r>
      <w:r>
        <w:t xml:space="preserve"> </w:t>
      </w:r>
      <w:r>
        <w:t xml:space="preserve">—</w:t>
      </w:r>
      <w:r>
        <w:t xml:space="preserve"> </w:t>
      </w:r>
      <w:r>
        <w:t xml:space="preserve">centralized-then-federated committee evolution; model inventory and identity-</w:t>
      </w:r>
      <w:r>
        <w:t xml:space="preserve"> </w:t>
      </w:r>
      <w:r>
        <w:t xml:space="preserve">binding.</w:t>
      </w:r>
      <w:r>
        <w:t xml:space="preserve"> </w:t>
      </w:r>
      <w:r>
        <w:rPr>
          <w:rStyle w:val="VerbatimChar"/>
        </w:rPr>
        <w:t xml:space="preserve">[mck-fi-genai-gov]</w:t>
      </w:r>
    </w:p>
    <w:p>
      <w:pPr>
        <w:pStyle w:val="Compact"/>
        <w:numPr>
          <w:ilvl w:val="0"/>
          <w:numId w:val="1005"/>
        </w:numPr>
      </w:pPr>
      <w:r>
        <w:t xml:space="preserve">McKinsey,</w:t>
      </w:r>
      <w:r>
        <w:t xml:space="preserve"> </w:t>
      </w:r>
      <w:r>
        <w:t xml:space="preserve">“Deploying agentic AI with safety and security: a playbook for</w:t>
      </w:r>
      <w:r>
        <w:t xml:space="preserve"> </w:t>
      </w:r>
      <w:r>
        <w:t xml:space="preserve">technology leaders”</w:t>
      </w:r>
      <w:r>
        <w:t xml:space="preserve"> </w:t>
      </w:r>
      <w:r>
        <w:t xml:space="preserve">— the agentic-specific playbook.</w:t>
      </w:r>
      <w:r>
        <w:t xml:space="preserve"> </w:t>
      </w:r>
      <w:r>
        <w:rPr>
          <w:rStyle w:val="VerbatimChar"/>
        </w:rPr>
        <w:t xml:space="preserve">[mck-agentic-playbook]</w:t>
      </w:r>
    </w:p>
    <w:p>
      <w:pPr>
        <w:pStyle w:val="Compact"/>
        <w:numPr>
          <w:ilvl w:val="0"/>
          <w:numId w:val="1005"/>
        </w:numPr>
      </w:pPr>
      <w:r>
        <w:t xml:space="preserve">McKinsey,</w:t>
      </w:r>
      <w:r>
        <w:t xml:space="preserve"> </w:t>
      </w:r>
      <w:r>
        <w:t xml:space="preserve">“State of AI”</w:t>
      </w:r>
      <w:r>
        <w:t xml:space="preserve"> </w:t>
      </w:r>
      <w:r>
        <w:t xml:space="preserve">/ AI Trust Maturity waves — the five-dimension maturity</w:t>
      </w:r>
      <w:r>
        <w:t xml:space="preserve"> </w:t>
      </w:r>
      <w:r>
        <w:t xml:space="preserve">model including agentic governance and controls.</w:t>
      </w:r>
      <w:r>
        <w:t xml:space="preserve"> </w:t>
      </w:r>
      <w:r>
        <w:rPr>
          <w:rStyle w:val="VerbatimChar"/>
        </w:rPr>
        <w:t xml:space="preserve">[mck-state-of-ai]</w:t>
      </w:r>
      <w:r>
        <w:t xml:space="preserve"> </w:t>
      </w:r>
      <w:r>
        <w:rPr>
          <w:rStyle w:val="VerbatimChar"/>
        </w:rPr>
        <w:t xml:space="preserve">[mck-trust-maturity]</w:t>
      </w:r>
    </w:p>
    <w:p>
      <w:pPr>
        <w:pStyle w:val="FirstParagraph"/>
      </w:pPr>
      <w:r>
        <w:rPr>
          <w:i/>
          <w:iCs/>
        </w:rPr>
        <w:t xml:space="preserve">Done (no longer on the pull list): HBR,</w:t>
      </w:r>
      <w:r>
        <w:rPr>
          <w:i/>
          <w:iCs/>
        </w:rPr>
        <w:t xml:space="preserve"> </w:t>
      </w:r>
      <w:r>
        <w:rPr>
          <w:i/>
          <w:iCs/>
        </w:rPr>
        <w:t xml:space="preserve">“Designing a Responsible AI Program? Start</w:t>
      </w:r>
      <w:r>
        <w:rPr>
          <w:i/>
          <w:iCs/>
        </w:rPr>
        <w:t xml:space="preserve"> </w:t>
      </w:r>
      <w:r>
        <w:rPr>
          <w:i/>
          <w:iCs/>
        </w:rPr>
        <w:t xml:space="preserve">with this Checklist”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[hbr-rai-checklist]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“Organizations Aren’t Ready for the</w:t>
      </w:r>
      <w:r>
        <w:rPr>
          <w:i/>
          <w:iCs/>
        </w:rPr>
        <w:t xml:space="preserve"> </w:t>
      </w:r>
      <w:r>
        <w:rPr>
          <w:i/>
          <w:iCs/>
        </w:rPr>
        <w:t xml:space="preserve">Risks of Agentic AI”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[hbr-agentic-risks]</w:t>
      </w:r>
      <w:r>
        <w:rPr>
          <w:i/>
          <w:iCs/>
        </w:rPr>
        <w:t xml:space="preserve"> </w:t>
      </w:r>
      <w:r>
        <w:rPr>
          <w:i/>
          <w:iCs/>
        </w:rPr>
        <w:t xml:space="preserve">— both captured in full.</w:t>
      </w:r>
    </w:p>
    <w:p>
      <w:r>
        <w:pict>
          <v:rect style="width:0;height:1.5pt" o:hralign="center" o:hrstd="t" o:hr="t"/>
        </w:pict>
      </w:r>
    </w:p>
    <w:bookmarkEnd w:id="16"/>
    <w:bookmarkStart w:id="17" w:name="what-this-is-not-and-what-comes-next"/>
    <w:p>
      <w:pPr>
        <w:pStyle w:val="Heading2"/>
      </w:pPr>
      <w:r>
        <w:t xml:space="preserve">What this is not, and what comes next</w:t>
      </w:r>
    </w:p>
    <w:p>
      <w:pPr>
        <w:pStyle w:val="FirstParagraph"/>
      </w:pPr>
      <w:r>
        <w:rPr>
          <w:b/>
          <w:bCs/>
        </w:rPr>
        <w:t xml:space="preserve">Assessment.</w:t>
      </w:r>
      <w:r>
        <w:t xml:space="preserve"> </w:t>
      </w:r>
      <w:r>
        <w:t xml:space="preserve">This pass answers</w:t>
      </w:r>
      <w:r>
        <w:t xml:space="preserve"> </w:t>
      </w:r>
      <w:r>
        <w:t xml:space="preserve">“what does everyone else do.”</w:t>
      </w:r>
      <w:r>
        <w:t xml:space="preserve"> </w:t>
      </w:r>
      <w:r>
        <w:t xml:space="preserve">It does not grade</w:t>
      </w:r>
      <w:r>
        <w:t xml:space="preserve"> </w:t>
      </w:r>
      <w:r>
        <w:t xml:space="preserve">your Gemini draft, and it does not propose a Department of the Navy instruction.</w:t>
      </w:r>
      <w:r>
        <w:t xml:space="preserve"> </w:t>
      </w:r>
      <w:r>
        <w:t xml:space="preserve">When you are ready, the natural next pass is the gap analysis: lay the seven</w:t>
      </w:r>
      <w:r>
        <w:t xml:space="preserve"> </w:t>
      </w:r>
      <w:r>
        <w:t xml:space="preserve">primitives and the five agentic controls beside the draft and see what is strong,</w:t>
      </w:r>
      <w:r>
        <w:t xml:space="preserve"> </w:t>
      </w:r>
      <w:r>
        <w:t xml:space="preserve">what is missing (an independent-challenge function and an AI use-case inventory are</w:t>
      </w:r>
      <w:r>
        <w:t xml:space="preserve"> </w:t>
      </w:r>
      <w:r>
        <w:t xml:space="preserve">the two most likely gaps, on this evidence), and what is over-built. The HBR full</w:t>
      </w:r>
      <w:r>
        <w:t xml:space="preserve"> </w:t>
      </w:r>
      <w:r>
        <w:t xml:space="preserve">texts are now in; the remaining loose end is the McKinsey set, worth pulling so the</w:t>
      </w:r>
      <w:r>
        <w:t xml:space="preserve"> </w:t>
      </w:r>
      <w:r>
        <w:t xml:space="preserve">last of the corporate claims rest on full sources rather than abstracts.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Governance Landscape Report</dc:title>
  <dc:creator/>
  <cp:keywords/>
  <dcterms:created xsi:type="dcterms:W3CDTF">2026-06-22T01:20:27Z</dcterms:created>
  <dcterms:modified xsi:type="dcterms:W3CDTF">2026-06-22T01:20:27Z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