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Draft SRF-JRMC askSage Governance Instruction (Working-Group Review)</w:t>
      </w:r>
    </w:p>
    <w:bookmarkStart w:id="13" w:name="Xb91ce9d960160a53a30a8bbf5f43869b74a961b"/>
    <w:p>
      <w:pPr>
        <w:pStyle w:val="Heading1"/>
      </w:pPr>
      <w:r>
        <w:t xml:space="preserve">SRF-JRMC askSage Governance Instruction — Working-Group Routing &amp; Comment Sheet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Draft SRF-JRMC Instruction 5239.1,</w:t>
      </w:r>
      <w:r>
        <w:t xml:space="preserve"> </w:t>
      </w:r>
      <w:r>
        <w:rPr>
          <w:i/>
          <w:iCs/>
        </w:rPr>
        <w:t xml:space="preserve">Governance, Security, and Use of the</w:t>
      </w:r>
      <w:r>
        <w:rPr>
          <w:i/>
          <w:iCs/>
        </w:rPr>
        <w:t xml:space="preserve"> </w:t>
      </w:r>
      <w:r>
        <w:rPr>
          <w:i/>
          <w:iCs/>
        </w:rPr>
        <w:t xml:space="preserve">askSage Artificial Intelligence Platform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[Originator] ·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AI Governance Working Group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Comments due: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 working draft of the command instruction governing how SRF-JRMC uses askSage. It is</w:t>
      </w:r>
      <w:r>
        <w:t xml:space="preserve"> </w:t>
      </w:r>
      <w:r>
        <w:rPr>
          <w:b/>
          <w:bCs/>
        </w:rPr>
        <w:t xml:space="preserve">for review and markup</w:t>
      </w:r>
      <w:r>
        <w:t xml:space="preserve">, not yet for signature. Please read the attached draft, mark it</w:t>
      </w:r>
      <w:r>
        <w:t xml:space="preserve"> </w:t>
      </w:r>
      <w:r>
        <w:t xml:space="preserve">with track-changes and comments, and return by the date above. The draft maps to recognized</w:t>
      </w:r>
      <w:r>
        <w:t xml:space="preserve"> </w:t>
      </w:r>
      <w:r>
        <w:t xml:space="preserve">frameworks — the DoD AI Ethical Principles and the NIST AI Risk Management Framework — so it is</w:t>
      </w:r>
      <w:r>
        <w:t xml:space="preserve"> </w:t>
      </w:r>
      <w:r>
        <w:t xml:space="preserve">defensible on its face.</w:t>
      </w:r>
    </w:p>
    <w:bookmarkEnd w:id="9"/>
    <w:bookmarkStart w:id="10" w:name="X8aec413d3fb92b2b497912617b04fe73bea4e1a"/>
    <w:p>
      <w:pPr>
        <w:pStyle w:val="Heading2"/>
      </w:pPr>
      <w:r>
        <w:t xml:space="preserve">What is already decided (please do not relitigate without a substantive reason)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the command uses</w:t>
      </w:r>
      <w:r>
        <w:t xml:space="preserve"> </w:t>
      </w:r>
      <w:r>
        <w:rPr>
          <w:b/>
          <w:bCs/>
        </w:rPr>
        <w:t xml:space="preserve">both askSage and GenAI.mil</w:t>
      </w:r>
      <w:r>
        <w:t xml:space="preserve">. Recommended split:</w:t>
      </w:r>
      <w:r>
        <w:t xml:space="preserve"> </w:t>
      </w:r>
      <w:r>
        <w:t xml:space="preserve">GenAI.mil for general questions,</w:t>
      </w:r>
      <w:r>
        <w:t xml:space="preserve"> </w:t>
      </w:r>
      <w:r>
        <w:rPr>
          <w:b/>
          <w:bCs/>
        </w:rPr>
        <w:t xml:space="preserve">askSage for agentic work</w:t>
      </w:r>
      <w:r>
        <w:t xml:space="preserve"> </w:t>
      </w:r>
      <w:r>
        <w:t xml:space="preserve">(prototype agents/prompts on</w:t>
      </w:r>
      <w:r>
        <w:t xml:space="preserve"> </w:t>
      </w:r>
      <w:r>
        <w:t xml:space="preserve">GenAI.mil first to save askSage tokens). askSage is ATO’d at IL5 and connects to Flank</w:t>
      </w:r>
      <w:r>
        <w:t xml:space="preserve"> </w:t>
      </w:r>
      <w:r>
        <w:t xml:space="preserve">Speed; this instruction governs askSage, GenAI.mil runs under its DoD enterprise governance.</w:t>
      </w:r>
      <w:r>
        <w:t xml:space="preserve"> </w:t>
      </w:r>
      <w:r>
        <w:t xml:space="preserve">GenAI.mil is the enterprise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an exclusive bar — askSage is separately</w:t>
      </w:r>
      <w:r>
        <w:t xml:space="preserve"> </w:t>
      </w:r>
      <w:r>
        <w:t xml:space="preserve">authorized at IL5 and acquired through a Department contract vehicle for askSage (e.g., the</w:t>
      </w:r>
      <w:r>
        <w:t xml:space="preserve"> </w:t>
      </w:r>
      <w:r>
        <w:t xml:space="preserve">Army-managed Ask Sage IDIQ that NSWC Corona and NRL already use). The specific ATO and</w:t>
      </w:r>
      <w:r>
        <w:t xml:space="preserve"> </w:t>
      </w:r>
      <w:r>
        <w:t xml:space="preserve">contract are held in command records, not in the instruction (which stays stable as contracts</w:t>
      </w:r>
      <w:r>
        <w:t xml:space="preserve"> </w:t>
      </w:r>
      <w:r>
        <w:t xml:space="preserve">renew).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rPr>
          <w:b/>
          <w:bCs/>
        </w:rPr>
        <w:t xml:space="preserve">CUI authorized up to IL5; PII and PHI prohibited</w:t>
      </w:r>
      <w:r>
        <w:t xml:space="preserve"> </w:t>
      </w:r>
      <w:r>
        <w:t xml:space="preserve">(carved out), as are</w:t>
      </w:r>
      <w:r>
        <w:t xml:space="preserve"> </w:t>
      </w:r>
      <w:r>
        <w:t xml:space="preserve">classified and NNPI.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AI changes no existing process.</w:t>
      </w:r>
      <w:r>
        <w:t xml:space="preserve"> </w:t>
      </w:r>
      <w:r>
        <w:t xml:space="preserve">It governs askSage use within the command’s</w:t>
      </w:r>
      <w:r>
        <w:t xml:space="preserve"> </w:t>
      </w:r>
      <w:r>
        <w:t xml:space="preserve">established authorities, quality, security, and records processes. Where it names who is</w:t>
      </w:r>
      <w:r>
        <w:t xml:space="preserve"> </w:t>
      </w:r>
      <w:r>
        <w:t xml:space="preserve">responsible, it restates the established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is decision support, not authority:</w:t>
      </w:r>
      <w:r>
        <w:t xml:space="preserve"> </w:t>
      </w:r>
      <w:r>
        <w:t xml:space="preserve">AI output is authoritatively evaluated by the</w:t>
      </w:r>
      <w:r>
        <w:t xml:space="preserve"> </w:t>
      </w:r>
      <w:r>
        <w:t xml:space="preserve">cognizant authority</w:t>
      </w:r>
      <w:r>
        <w:t xml:space="preserve"> </w:t>
      </w:r>
      <w:r>
        <w:rPr>
          <w:b/>
          <w:bCs/>
        </w:rPr>
        <w:t xml:space="preserve">along existing lines of responsibility</w:t>
      </w:r>
      <w:r>
        <w:t xml:space="preserve"> </w:t>
      </w:r>
      <w:r>
        <w:t xml:space="preserve">— the department that owns</w:t>
      </w:r>
      <w:r>
        <w:t xml:space="preserve"> </w:t>
      </w:r>
      <w:r>
        <w:t xml:space="preserve">that subject matter (the Code 100–1200 map is embedded in §6.a) — and</w:t>
      </w:r>
      <w:r>
        <w:t xml:space="preserve"> </w:t>
      </w:r>
      <w:r>
        <w:rPr>
          <w:b/>
          <w:bCs/>
        </w:rPr>
        <w:t xml:space="preserve">each 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designates an authoritative AI content evaluator</w:t>
      </w:r>
      <w:r>
        <w:t xml:space="preserve">. AI output is always a non-authoritative</w:t>
      </w:r>
      <w:r>
        <w:t xml:space="preserve"> </w:t>
      </w:r>
      <w:r>
        <w:t xml:space="preserve">draft.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base is federated:</w:t>
      </w:r>
      <w:r>
        <w:t xml:space="preserve"> </w:t>
      </w:r>
      <w:r>
        <w:t xml:space="preserve">each department owns, feeds, and controls access to its</w:t>
      </w:r>
      <w:r>
        <w:t xml:space="preserve"> </w:t>
      </w:r>
      <w:r>
        <w:t xml:space="preserve">own repository; Code 200 owns the technical library and the derivative-classifier</w:t>
      </w:r>
      <w:r>
        <w:t xml:space="preserve"> </w:t>
      </w:r>
      <w:r>
        <w:t xml:space="preserve">screening; the CIO/ISSM is custodian of the platform (connection registry, access,</w:t>
      </w:r>
      <w:r>
        <w:t xml:space="preserve"> </w:t>
      </w:r>
      <w:r>
        <w:t xml:space="preserve">monitoring), not the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is run through existing structures:</w:t>
      </w:r>
      <w:r>
        <w:t xml:space="preserve"> </w:t>
      </w:r>
      <w:r>
        <w:t xml:space="preserve">Legal concurs on records;</w:t>
      </w:r>
      <w:r>
        <w:t xml:space="preserve"> </w:t>
      </w:r>
      <w:r>
        <w:rPr>
          <w:b/>
          <w:bCs/>
        </w:rPr>
        <w:t xml:space="preserve">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Heads are the governance forum, reviewing the use-case inventory quarterly.</w:t>
      </w:r>
      <w:r>
        <w:t xml:space="preserve"> </w:t>
      </w:r>
      <w:r>
        <w:t xml:space="preserve">No new board.</w:t>
      </w:r>
      <w:r>
        <w:t xml:space="preserve"> </w:t>
      </w:r>
      <w:r>
        <w:t xml:space="preserve">Records and directives are managed per the command SORM.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department stands up its own information-governance plan before askSage access</w:t>
      </w:r>
      <w:r>
        <w:t xml:space="preserve"> </w:t>
      </w:r>
      <w:r>
        <w:t xml:space="preserve">(§15)</w:t>
      </w:r>
      <w:r>
        <w:t xml:space="preserve"> </w:t>
      </w:r>
      <w:r>
        <w:t xml:space="preserve">— common high-level expectations (grounded in the NIST AI RMF + the DoD AI Ethical Principles),</w:t>
      </w:r>
      <w:r>
        <w:t xml:space="preserve"> </w:t>
      </w:r>
      <w:r>
        <w:t xml:space="preserve">tailored by each code; a department-level access gate alongside individual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Per-project time-savings tracking</w:t>
      </w:r>
      <w:r>
        <w:t xml:space="preserve"> </w:t>
      </w:r>
      <w:r>
        <w:t xml:space="preserve">(§9.e): each approved use case tracks its own baseline-</w:t>
      </w:r>
      <w:r>
        <w:t xml:space="preserve"> </w:t>
      </w:r>
      <w:r>
        <w:t xml:space="preserve">vs-AI-assisted time and reports it, per the March-2026 DON CIO direction; the pilot establishes</w:t>
      </w:r>
      <w:r>
        <w:t xml:space="preserve"> </w:t>
      </w:r>
      <w:r>
        <w:t xml:space="preserve">the baselines and method.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National access</w:t>
      </w:r>
      <w:r>
        <w:t xml:space="preserve"> </w:t>
      </w:r>
      <w:r>
        <w:t xml:space="preserve">(§7.c) is subject to existing Foreign Disclosure and export-control</w:t>
      </w:r>
      <w:r>
        <w:t xml:space="preserve"> </w:t>
      </w:r>
      <w:r>
        <w:t xml:space="preserve">(ITAR/EAR, deemed-export) processes; no use case circumvents the Technology Control Plans.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output is not engineering justification for a Departure from Specification</w:t>
      </w:r>
      <w:r>
        <w:t xml:space="preserve"> </w:t>
      </w:r>
      <w:r>
        <w:t xml:space="preserve">(§6); the</w:t>
      </w:r>
      <w:r>
        <w:t xml:space="preserve"> </w:t>
      </w:r>
      <w:r>
        <w:t xml:space="preserve">technical authority adjudicates independently.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settled calls:</w:t>
      </w:r>
      <w:r>
        <w:t xml:space="preserve"> </w:t>
      </w:r>
      <w:r>
        <w:t xml:space="preserve">immediate manual fallback (DDIL), documented in each department’s plan;</w:t>
      </w:r>
      <w:r>
        <w:t xml:space="preserve"> </w:t>
      </w:r>
      <w:r>
        <w:t xml:space="preserve">token/compute control demoted to an administrative annex with a mission-critical override;</w:t>
      </w:r>
      <w:r>
        <w:t xml:space="preserve"> </w:t>
      </w:r>
      <w:r>
        <w:t xml:space="preserve">aggregation handled through the existing Security Classification Guide and spillage procedures.</w:t>
      </w:r>
    </w:p>
    <w:bookmarkEnd w:id="10"/>
    <w:bookmarkStart w:id="11" w:name="what-we-need-from-the-working-group"/>
    <w:p>
      <w:pPr>
        <w:pStyle w:val="Heading2"/>
      </w:pPr>
      <w:r>
        <w:t xml:space="preserve">What we need from the working group</w:t>
      </w:r>
    </w:p>
    <w:p>
      <w:pPr>
        <w:pStyle w:val="FirstParagraph"/>
      </w:pPr>
      <w:r>
        <w:t xml:space="preserve">Substantive review on feasibility and correctness, and resolution of the items the draft</w:t>
      </w:r>
      <w:r>
        <w:t xml:space="preserve"> </w:t>
      </w:r>
      <w:r>
        <w:t xml:space="preserve">flags inline as</w:t>
      </w:r>
      <w:r>
        <w:t xml:space="preserve"> </w:t>
      </w:r>
      <w:r>
        <w:rPr>
          <w:b/>
          <w:bCs/>
        </w:rPr>
        <w:t xml:space="preserve">“Working group to resolve”</w:t>
      </w:r>
      <w:r>
        <w:t xml:space="preserve"> </w:t>
      </w:r>
      <w:r>
        <w:t xml:space="preserve">(also listed here):</w:t>
      </w:r>
    </w:p>
    <w:p>
      <w:pPr>
        <w:pStyle w:val="Compact"/>
        <w:numPr>
          <w:ilvl w:val="0"/>
          <w:numId w:val="1002"/>
        </w:numPr>
      </w:pPr>
      <w:r>
        <w:t xml:space="preserve">References (e)–(n) are now</w:t>
      </w:r>
      <w:r>
        <w:t xml:space="preserve"> </w:t>
      </w:r>
      <w:r>
        <w:rPr>
          <w:b/>
          <w:bCs/>
        </w:rPr>
        <w:t xml:space="preserve">verified and folded in</w:t>
      </w:r>
      <w:r>
        <w:t xml:space="preserve"> </w:t>
      </w:r>
      <w:r>
        <w:t xml:space="preserve">(incl. SECNAVINST 5239.19A, SECNAVINST</w:t>
      </w:r>
      <w:r>
        <w:t xml:space="preserve"> </w:t>
      </w:r>
      <w:r>
        <w:t xml:space="preserve">5510.36B / SECNAV M-5510.36, SECNAV M-5210.1, OPNAVINST 3120.32D = the SORM). Working group:</w:t>
      </w:r>
      <w:r>
        <w:t xml:space="preserve"> </w:t>
      </w:r>
      <w:r>
        <w:t xml:space="preserve">substitute the command’s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references (its command SORM and local spillage SOP) and</w:t>
      </w:r>
      <w:r>
        <w:t xml:space="preserve"> </w:t>
      </w:r>
      <w:r>
        <w:t xml:space="preserve">confirm the exact date of the March-2026 DON CIO memo in (g).</w:t>
      </w:r>
    </w:p>
    <w:p>
      <w:pPr>
        <w:pStyle w:val="Compact"/>
        <w:numPr>
          <w:ilvl w:val="0"/>
          <w:numId w:val="1002"/>
        </w:numPr>
      </w:pPr>
      <w:r>
        <w:t xml:space="preserve">Confirm askSage’s IL5 authorization (ATO) and the command’s acquisition instrument are</w:t>
      </w:r>
      <w:r>
        <w:t xml:space="preserve"> </w:t>
      </w:r>
      <w:r>
        <w:t xml:space="preserve">current and valid — held in the command’s cybersecurity and contracting records, not in the</w:t>
      </w:r>
      <w:r>
        <w:t xml:space="preserve"> </w:t>
      </w:r>
      <w:r>
        <w:t xml:space="preserve">instruction — and confirm the Flank Speed connection authority (§2).</w:t>
      </w:r>
    </w:p>
    <w:p>
      <w:pPr>
        <w:pStyle w:val="Compact"/>
        <w:numPr>
          <w:ilvl w:val="0"/>
          <w:numId w:val="1002"/>
        </w:numPr>
      </w:pPr>
      <w:r>
        <w:t xml:space="preserve">Name the cognizant Security Classification Guide(s) (§4.e).</w:t>
      </w:r>
      <w:r>
        <w:t xml:space="preserve"> </w:t>
      </w:r>
      <w:r>
        <w:rPr>
          <w:i/>
          <w:iCs/>
        </w:rPr>
        <w:t xml:space="preserve">(The SORM/records references</w:t>
      </w:r>
      <w:r>
        <w:rPr>
          <w:i/>
          <w:iCs/>
        </w:rPr>
        <w:t xml:space="preserve"> </w:t>
      </w:r>
      <w:r>
        <w:rPr>
          <w:i/>
          <w:iCs/>
        </w:rPr>
        <w:t xml:space="preserve">are now cited — OPNAVINST 3120.32D and SECNAV M-5210.1; substitute the local command SORM.)</w:t>
      </w:r>
    </w:p>
    <w:p>
      <w:pPr>
        <w:pStyle w:val="Compact"/>
        <w:numPr>
          <w:ilvl w:val="0"/>
          <w:numId w:val="1002"/>
        </w:numPr>
      </w:pPr>
      <w:r>
        <w:t xml:space="preserve">Each department names its authoritative AI content evaluator; confirm the Technical</w:t>
      </w:r>
      <w:r>
        <w:t xml:space="preserve"> </w:t>
      </w:r>
      <w:r>
        <w:t xml:space="preserve">Warrant Holder billets within Code 200 (§6).</w:t>
      </w:r>
      <w:r>
        <w:t xml:space="preserve"> </w:t>
      </w:r>
      <w:r>
        <w:rPr>
          <w:i/>
          <w:iCs/>
        </w:rPr>
        <w:t xml:space="preserve">(The Code 100–1200 structure is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embedded in §6.a.)</w:t>
      </w:r>
    </w:p>
    <w:p>
      <w:pPr>
        <w:pStyle w:val="Compact"/>
        <w:numPr>
          <w:ilvl w:val="0"/>
          <w:numId w:val="1002"/>
        </w:numPr>
      </w:pPr>
      <w:r>
        <w:t xml:space="preserve">Name the authoritative source-of-record system used for out-of-band verification (§6.d).</w:t>
      </w:r>
    </w:p>
    <w:p>
      <w:pPr>
        <w:pStyle w:val="Compact"/>
        <w:numPr>
          <w:ilvl w:val="0"/>
          <w:numId w:val="1002"/>
        </w:numPr>
      </w:pPr>
      <w:r>
        <w:t xml:space="preserve">Name the halt/revoke authority for a rogue agent (§7.e).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specific billet delegations against the command SORM</w:t>
      </w:r>
      <w:r>
        <w:t xml:space="preserve"> </w:t>
      </w:r>
      <w:r>
        <w:t xml:space="preserve">(§8.a) — e.g., Executive</w:t>
      </w:r>
      <w:r>
        <w:t xml:space="preserve"> </w:t>
      </w:r>
      <w:r>
        <w:t xml:space="preserve">Director to chair the governance forum + own the inventory; XO for training + manual-reversion</w:t>
      </w:r>
      <w:r>
        <w:t xml:space="preserve"> </w:t>
      </w:r>
      <w:r>
        <w:t xml:space="preserve">bills; CHENG as Technical Warrant Holder; ISSM as halt/revoke authority.</w:t>
      </w:r>
    </w:p>
    <w:p>
      <w:pPr>
        <w:pStyle w:val="Compact"/>
        <w:numPr>
          <w:ilvl w:val="0"/>
          <w:numId w:val="1002"/>
        </w:numPr>
      </w:pPr>
      <w:r>
        <w:t xml:space="preserve">Align the spillage flow with the command’s own spillage SOP (§11.a).</w:t>
      </w:r>
      <w:r>
        <w:t xml:space="preserve"> </w:t>
      </w:r>
      <w:r>
        <w:rPr>
          <w:i/>
          <w:iCs/>
        </w:rPr>
        <w:t xml:space="preserve">(The legal authority —</w:t>
      </w:r>
      <w:r>
        <w:rPr>
          <w:i/>
          <w:iCs/>
        </w:rPr>
        <w:t xml:space="preserve"> </w:t>
      </w:r>
      <w:r>
        <w:rPr>
          <w:i/>
          <w:iCs/>
        </w:rPr>
        <w:t xml:space="preserve">36 CFR 1229.10 + SECNAV M-5210.1 emergency destruction — is now cited.)</w:t>
      </w:r>
    </w:p>
    <w:p>
      <w:pPr>
        <w:pStyle w:val="Compact"/>
        <w:numPr>
          <w:ilvl w:val="0"/>
          <w:numId w:val="1002"/>
        </w:numPr>
      </w:pPr>
      <w:r>
        <w:t xml:space="preserve">Verify the data-residency and encryption posture with the cognizant authority (§14.d).</w:t>
      </w:r>
    </w:p>
    <w:p>
      <w:pPr>
        <w:pStyle w:val="Compact"/>
        <w:numPr>
          <w:ilvl w:val="0"/>
          <w:numId w:val="1002"/>
        </w:numPr>
      </w:pPr>
      <w:r>
        <w:t xml:space="preserve">Adopt/finalize the one-page departmental information-governance plan template (§15.c).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draft template is provided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Departmental-AI-Governance-Plan-TEMPLATE.docx</w:t>
      </w:r>
      <w:r>
        <w:t xml:space="preserve">); the working</w:t>
      </w:r>
      <w:r>
        <w:t xml:space="preserve"> </w:t>
      </w:r>
      <w:r>
        <w:t xml:space="preserve">group reviews and adopts it so the codes’ plans are consistent.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the instruction’s SSIC and number</w:t>
      </w:r>
      <w:r>
        <w:t xml:space="preserve"> </w:t>
      </w:r>
      <w:r>
        <w:t xml:space="preserve">(Code 1100 directives control).</w:t>
      </w:r>
      <w:r>
        <w:t xml:space="preserve"> </w:t>
      </w:r>
      <w:r>
        <w:t xml:space="preserve">“5239”</w:t>
      </w:r>
      <w:r>
        <w:t xml:space="preserve"> </w:t>
      </w:r>
      <w:r>
        <w:t xml:space="preserve">(Navy</w:t>
      </w:r>
      <w:r>
        <w:t xml:space="preserve"> </w:t>
      </w:r>
      <w:r>
        <w:t xml:space="preserve">cybersecurity) is a placeholder; an AI-use instruction may fit SSIC 5230 (IT management).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 the Foreign Disclosure / export-control authority</w:t>
      </w:r>
      <w:r>
        <w:t xml:space="preserve"> </w:t>
      </w:r>
      <w:r>
        <w:t xml:space="preserve">for the §7.c Local-National clause.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the training (§13)</w:t>
      </w:r>
      <w:r>
        <w:t xml:space="preserve"> </w:t>
      </w:r>
      <w:r>
        <w:t xml:space="preserve">per the training plan — confirm the Tier-1 sourced courses and</w:t>
      </w:r>
      <w:r>
        <w:t xml:space="preserve"> </w:t>
      </w:r>
      <w:r>
        <w:t xml:space="preserve">assign the Tier-2 command-module developer/owner.</w:t>
      </w:r>
    </w:p>
    <w:p>
      <w:pPr>
        <w:pStyle w:val="FirstParagraph"/>
      </w:pPr>
      <w:r>
        <w:t xml:space="preserve">Beyond these, flag anything that conflicts with existing command process, is not feasible</w:t>
      </w:r>
      <w:r>
        <w:t xml:space="preserve"> </w:t>
      </w:r>
      <w:r>
        <w:t xml:space="preserve">as written, or is missing.</w:t>
      </w:r>
    </w:p>
    <w:bookmarkEnd w:id="11"/>
    <w:bookmarkStart w:id="12" w:name="comment-resolution-working-group-use"/>
    <w:p>
      <w:pPr>
        <w:pStyle w:val="Heading2"/>
      </w:pPr>
      <w:r>
        <w:t xml:space="preserve">Comment resolution (working group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Attachment: Draft SRF-JRMC Instruction 5239.1 (for working-group review).</w:t>
      </w:r>
    </w:p>
    <w:p>
      <w:r>
        <w:br w:type="page"/>
      </w:r>
    </w:p>
    <w:bookmarkEnd w:id="12"/>
    <w:bookmarkEnd w:id="13"/>
    <w:bookmarkStart w:id="30" w:name="department-of-the-navy"/>
    <w:p>
      <w:pPr>
        <w:pStyle w:val="Heading1"/>
      </w:pPr>
      <w:r>
        <w:t xml:space="preserve">DEPARTMENT OF THE NAVY</w:t>
      </w:r>
    </w:p>
    <w:p>
      <w:pPr>
        <w:pStyle w:val="FirstParagraph"/>
      </w:pPr>
      <w:r>
        <w:rPr>
          <w:b/>
          <w:bCs/>
        </w:rPr>
        <w:t xml:space="preserve">U.S. NAVAL SHIP REPAIR FACILITY AND JAPAN REGIONAL MAINTENANCE CENTER</w:t>
      </w:r>
      <w:r>
        <w:t xml:space="preserve"> </w:t>
      </w:r>
      <w:r>
        <w:rPr>
          <w:b/>
          <w:bCs/>
        </w:rPr>
        <w:t xml:space="preserve">PSC 473 BOX 8</w:t>
      </w:r>
      <w:r>
        <w:t xml:space="preserve"> </w:t>
      </w:r>
      <w:r>
        <w:rPr>
          <w:b/>
          <w:bCs/>
        </w:rPr>
        <w:t xml:space="preserve">FPO AP 96349-0008</w:t>
      </w:r>
    </w:p>
    <w:p>
      <w:pPr>
        <w:pStyle w:val="BodyText"/>
      </w:pPr>
      <w:r>
        <w:rPr>
          <w:b/>
          <w:bCs/>
        </w:rPr>
        <w:t xml:space="preserve">SRF-JRMC INSTRUCTION 5239.[__] [DRAFT — FOR WORKING-GROUP REVIEW]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the SSIC and sequential number are assigned by the command directives control point (Code 1100).</w:t>
      </w:r>
      <w:r>
        <w:t xml:space="preserve"> </w:t>
      </w:r>
      <w:r>
        <w:t xml:space="preserve">“5239”</w:t>
      </w:r>
      <w:r>
        <w:t xml:space="preserve"> </w:t>
      </w:r>
      <w:r>
        <w:t xml:space="preserve">(the Navy cybersecurity SSIC) is a placeholder; an AI-use instruction may instead fit SSIC 5230 (information-technology management).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Commanding Officer, U.S. Naval Ship Repair Facility and Japan Regional Maintenance Center</w:t>
      </w:r>
      <w:r>
        <w:t xml:space="preserve"> </w:t>
      </w:r>
      <w:r>
        <w:rPr>
          <w:b/>
          <w:bCs/>
        </w:rPr>
        <w:t xml:space="preserve">Subj:</w:t>
      </w:r>
      <w:r>
        <w:t xml:space="preserve"> </w:t>
      </w:r>
      <w:r>
        <w:t xml:space="preserve">GOVERNANCE, SECURITY, AND USE OF THE ASKSAGE ARTIFICIAL INTELLIGENCE PLATFORM</w:t>
      </w:r>
    </w:p>
    <w:p>
      <w:pPr>
        <w:pStyle w:val="BodyText"/>
      </w:pPr>
      <w:r>
        <w:rPr>
          <w:b/>
          <w:bCs/>
        </w:rPr>
        <w:t xml:space="preserve">Ref:</w:t>
      </w:r>
      <w:r>
        <w:t xml:space="preserve"> </w:t>
      </w:r>
      <w:r>
        <w:t xml:space="preserve">- (a) DoDI 5200.48, Controlled Unclassified Information</w:t>
      </w:r>
      <w:r>
        <w:t xml:space="preserve"> </w:t>
      </w:r>
      <w:r>
        <w:t xml:space="preserve">- (b) SECNAVINST 5239.3C, Department of the Navy Cybersecurity Policy</w:t>
      </w:r>
      <w:r>
        <w:t xml:space="preserve"> </w:t>
      </w:r>
      <w:r>
        <w:t xml:space="preserve">- (c) COMUSFLTFORCOMINST 4790.3 (Joint Fleet Maintenance Manual, JFMM)</w:t>
      </w:r>
      <w:r>
        <w:t xml:space="preserve"> </w:t>
      </w:r>
      <w:r>
        <w:t xml:space="preserve">- (d) DoD Responsible Artificial Intelligence Strategy and Implementation Pathway (2022)</w:t>
      </w:r>
      <w:r>
        <w:t xml:space="preserve"> </w:t>
      </w:r>
      <w:r>
        <w:t xml:space="preserve">- (e) DoDI 5400.19, Public Affairs Use of Artificial Intelligence (28 July 2025)</w:t>
      </w:r>
      <w:r>
        <w:t xml:space="preserve"> </w:t>
      </w:r>
      <w:r>
        <w:t xml:space="preserve">- (f) DoD CDAO Memorandum, Guidelines and Guardrails to Inform Governance of Generative Artificial Intelligence (12 July 2024)</w:t>
      </w:r>
      <w:r>
        <w:t xml:space="preserve"> </w:t>
      </w:r>
      <w:r>
        <w:t xml:space="preserve">- (g) DON CIO Memorandum, Enterprise IT Service Designation for GenAI.mil (28 January 2026); and DON CIO Memorandum, Accelerating AI Adoption / Free Training Resources / Measuring Time Savings (March 2026)</w:t>
      </w:r>
      <w:r>
        <w:t xml:space="preserve"> </w:t>
      </w:r>
      <w:r>
        <w:t xml:space="preserve">- (h) NIST AI Risk Management Framework 1.0 and Generative AI Profile</w:t>
      </w:r>
      <w:r>
        <w:t xml:space="preserve"> </w:t>
      </w:r>
      <w:r>
        <w:t xml:space="preserve">- (i) The Privacy Act of 1974; HIPAA (PII/PHI prohibition)</w:t>
      </w:r>
      <w:r>
        <w:t xml:space="preserve"> </w:t>
      </w:r>
      <w:r>
        <w:t xml:space="preserve">- (j) 36 CFR §§ 1229.10 and 1229.12, NARA emergency destruction of records (for spillage cleanup, para 11.a)</w:t>
      </w:r>
      <w:r>
        <w:t xml:space="preserve"> </w:t>
      </w:r>
      <w:r>
        <w:t xml:space="preserve">- (k) SECNAVINST 5239.19A, Department of the Navy Computer Network Incident Response and Reporting Requirements</w:t>
      </w:r>
      <w:r>
        <w:t xml:space="preserve"> </w:t>
      </w:r>
      <w:r>
        <w:t xml:space="preserve">- (l) SECNAVINST 5510.36B and SECNAV M-5510.36, Department of the Navy Information Security Program</w:t>
      </w:r>
      <w:r>
        <w:t xml:space="preserve"> </w:t>
      </w:r>
      <w:r>
        <w:t xml:space="preserve">- (m) SECNAV M-5210.1, Department of the Navy Records Management Manual</w:t>
      </w:r>
      <w:r>
        <w:t xml:space="preserve"> </w:t>
      </w:r>
      <w:r>
        <w:t xml:space="preserve">- (n) OPNAVINST 3120.32D, Standard Organization and Regulations of the U.S. Navy (the SORM)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references (e)–(n) are verified against the issuances (2026-06-21); substitute the command’s local references where they exist (its command SORM derived from (n), and its local cybersecurity-incident / spillage SOP), and confirm the exact date of the March-2026 DON CIO memo in (g).</w:t>
      </w:r>
    </w:p>
    <w:p>
      <w:r>
        <w:pict>
          <v:rect style="width:0;height:1.5pt" o:hralign="center" o:hrstd="t" o:hr="t"/>
        </w:pict>
      </w:r>
    </w:p>
    <w:bookmarkStart w:id="1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To establish command policy, responsibilities, and controls for the secure, safe, and</w:t>
      </w:r>
      <w:r>
        <w:t xml:space="preserve"> </w:t>
      </w:r>
      <w:r>
        <w:t xml:space="preserve">effective use of the askSage artificial intelligence (AI) platform across SRF-JRMC.</w:t>
      </w:r>
      <w:r>
        <w:t xml:space="preserve"> </w:t>
      </w:r>
      <w:r>
        <w:t xml:space="preserve">askSage is an</w:t>
      </w:r>
      <w:r>
        <w:t xml:space="preserve"> </w:t>
      </w:r>
      <w:r>
        <w:rPr>
          <w:i/>
          <w:iCs/>
        </w:rPr>
        <w:t xml:space="preserve">agentic</w:t>
      </w:r>
      <w:r>
        <w:t xml:space="preserve"> </w:t>
      </w:r>
      <w:r>
        <w:t xml:space="preserve">AI capability: it can reason over multiple steps, retrieve data</w:t>
      </w:r>
      <w:r>
        <w:t xml:space="preserve"> </w:t>
      </w:r>
      <w:r>
        <w:t xml:space="preserve">across command processes, and take actions. This instruction governs how the command</w:t>
      </w:r>
      <w:r>
        <w:t xml:space="preserve"> </w:t>
      </w:r>
      <w:r>
        <w:t xml:space="preserve">uses that capability so that it strengthens maintenance and administrative work while</w:t>
      </w:r>
      <w:r>
        <w:t xml:space="preserve"> </w:t>
      </w:r>
      <w:r>
        <w:t xml:space="preserve">protecting information security, the authority of the command’s technical chain, safety</w:t>
      </w:r>
      <w:r>
        <w:t xml:space="preserve"> </w:t>
      </w:r>
      <w:r>
        <w:t xml:space="preserve">of life and seaworthiness, and compliance with U.S. and host-nation law.</w:t>
      </w:r>
    </w:p>
    <w:p>
      <w:pPr>
        <w:pStyle w:val="BodyText"/>
      </w:pPr>
      <w:r>
        <w:t xml:space="preserve">AI is decision</w:t>
      </w:r>
      <w:r>
        <w:t xml:space="preserve"> </w:t>
      </w:r>
      <w:r>
        <w:rPr>
          <w:b/>
          <w:bCs/>
        </w:rPr>
        <w:t xml:space="preserve">support</w:t>
      </w:r>
      <w:r>
        <w:t xml:space="preserve">. It transfers no technical, quality, contractual, or</w:t>
      </w:r>
      <w:r>
        <w:t xml:space="preserve"> </w:t>
      </w:r>
      <w:r>
        <w:t xml:space="preserve">supervisory authority to a machine. Accountability remains with people.</w:t>
      </w:r>
    </w:p>
    <w:bookmarkEnd w:id="14"/>
    <w:bookmarkStart w:id="15" w:name="scope-and-applicability"/>
    <w:p>
      <w:pPr>
        <w:pStyle w:val="Heading2"/>
      </w:pPr>
      <w:r>
        <w:t xml:space="preserve">2. Scope and applicability</w:t>
      </w:r>
    </w:p>
    <w:p>
      <w:pPr>
        <w:pStyle w:val="FirstParagraph"/>
      </w:pPr>
      <w:r>
        <w:t xml:space="preserve">This instruction applies to all military, U.S. civilian, Local National (Master Labor</w:t>
      </w:r>
      <w:r>
        <w:t xml:space="preserve"> </w:t>
      </w:r>
      <w:r>
        <w:t xml:space="preserve">Agreement, MLA, and Indirect Hire Agreement, IHA), and authorized contractor personnel</w:t>
      </w:r>
      <w:r>
        <w:t xml:space="preserve"> </w:t>
      </w:r>
      <w:r>
        <w:t xml:space="preserve">at SRF-JRMC and its detachments (Yokosuka and Sasebo) who use askSage.</w:t>
      </w:r>
    </w:p>
    <w:p>
      <w:pPr>
        <w:pStyle w:val="BodyText"/>
      </w:pPr>
      <w:r>
        <w:rPr>
          <w:b/>
          <w:bCs/>
        </w:rPr>
        <w:t xml:space="preserve">Two platforms, with a recommended division of labor.</w:t>
      </w:r>
      <w:r>
        <w:t xml:space="preserve"> </w:t>
      </w:r>
      <w:r>
        <w:t xml:space="preserve">The command uses both askSage and</w:t>
      </w:r>
      <w:r>
        <w:t xml:space="preserve"> </w:t>
      </w:r>
      <w:r>
        <w:t xml:space="preserve">the DoD enterprise platform</w:t>
      </w:r>
      <w:r>
        <w:t xml:space="preserve"> </w:t>
      </w:r>
      <w:r>
        <w:rPr>
          <w:b/>
          <w:bCs/>
        </w:rPr>
        <w:t xml:space="preserve">GenAI.mil</w:t>
      </w:r>
      <w:r>
        <w:t xml:space="preserve">. Recommended use:</w:t>
      </w:r>
      <w:r>
        <w:t xml:space="preserve"> </w:t>
      </w:r>
      <w:r>
        <w:rPr>
          <w:b/>
          <w:bCs/>
        </w:rPr>
        <w:t xml:space="preserve">GenAI.mil for general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questions; askSage for agentic work</w:t>
      </w:r>
      <w:r>
        <w:t xml:space="preserve"> </w:t>
      </w:r>
      <w:r>
        <w:t xml:space="preserve">(its agentic capability is why this instruction</w:t>
      </w:r>
      <w:r>
        <w:t xml:space="preserve"> </w:t>
      </w:r>
      <w:r>
        <w:t xml:space="preserve">exists). GenAI.mil may also be used to develop and refine agents and agentic-workflow</w:t>
      </w:r>
      <w:r>
        <w:t xml:space="preserve"> </w:t>
      </w:r>
      <w:r>
        <w:t xml:space="preserve">prompts before expending askSage tokens. GenAI.mil is not yet mature enough to host the</w:t>
      </w:r>
      <w:r>
        <w:t xml:space="preserve"> </w:t>
      </w:r>
      <w:r>
        <w:t xml:space="preserve">command’s agentic work, so askSage carries that load for now; the command intends to</w:t>
      </w:r>
      <w:r>
        <w:t xml:space="preserve"> </w:t>
      </w:r>
      <w:r>
        <w:t xml:space="preserve">transfer agentic work to GenAI.mil when it can support it.</w:t>
      </w:r>
      <w:r>
        <w:t xml:space="preserve"> </w:t>
      </w:r>
      <w:r>
        <w:rPr>
          <w:b/>
          <w:bCs/>
        </w:rPr>
        <w:t xml:space="preserve">This instruction governs the</w:t>
      </w:r>
      <w:r>
        <w:rPr>
          <w:b/>
          <w:bCs/>
        </w:rPr>
        <w:t xml:space="preserve"> </w:t>
      </w:r>
      <w:r>
        <w:rPr>
          <w:b/>
          <w:bCs/>
        </w:rPr>
        <w:t xml:space="preserve">command’s use of askSage</w:t>
      </w:r>
      <w:r>
        <w:t xml:space="preserve">; GenAI.mil is used under its DoD enterprise governance. askSage</w:t>
      </w:r>
      <w:r>
        <w:t xml:space="preserve"> </w:t>
      </w:r>
      <w:r>
        <w:t xml:space="preserve">operates under its Authority-to-Operate (ATO) at Impact Level 5 (IL5), connected to the</w:t>
      </w:r>
      <w:r>
        <w:t xml:space="preserve"> </w:t>
      </w:r>
      <w:r>
        <w:t xml:space="preserve">Navy’s Flank Speed shares, and the command owns the askSage governance layer — use-case</w:t>
      </w:r>
      <w:r>
        <w:t xml:space="preserve"> </w:t>
      </w:r>
      <w:r>
        <w:t xml:space="preserve">approval, data controls, monitoring configuration, and the controls in this instruction —</w:t>
      </w:r>
      <w:r>
        <w:t xml:space="preserve"> </w:t>
      </w:r>
      <w:r>
        <w:t xml:space="preserve">within the platform’s accredited capabilities.</w:t>
      </w:r>
    </w:p>
    <w:p>
      <w:pPr>
        <w:pStyle w:val="BodyText"/>
      </w:pPr>
      <w:r>
        <w:rPr>
          <w:b/>
          <w:bCs/>
        </w:rPr>
        <w:t xml:space="preserve">Authority and acquisition basis.</w:t>
      </w:r>
      <w:r>
        <w:t xml:space="preserve"> </w:t>
      </w:r>
      <w:r>
        <w:t xml:space="preserve">Running askSage alongside GenAI.mil is consistent with</w:t>
      </w:r>
      <w:r>
        <w:t xml:space="preserve"> </w:t>
      </w:r>
      <w:r>
        <w:t xml:space="preserve">Department direction: GenAI.mil is the enterprise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an exclusive bar, and service</w:t>
      </w:r>
      <w:r>
        <w:t xml:space="preserve"> </w:t>
      </w:r>
      <w:r>
        <w:t xml:space="preserve">guidance permits separately-authorized tools. askSage is separately authorized at IL5 and is</w:t>
      </w:r>
      <w:r>
        <w:t xml:space="preserve"> </w:t>
      </w:r>
      <w:r>
        <w:t xml:space="preserve">acquired through a Department contract vehicle for askSage that other Navy activities already</w:t>
      </w:r>
      <w:r>
        <w:t xml:space="preserve"> </w:t>
      </w:r>
      <w:r>
        <w:t xml:space="preserve">use. The specific current authorization (the IL5 ATO) and</w:t>
      </w:r>
      <w:r>
        <w:t xml:space="preserve"> </w:t>
      </w:r>
      <w:r>
        <w:t xml:space="preserve">acquisition instrument are kept in the command’s cybersecurity and contracting records, not</w:t>
      </w:r>
      <w:r>
        <w:t xml:space="preserve"> </w:t>
      </w:r>
      <w:r>
        <w:t xml:space="preserve">restated in this instruction, so a contract renewal or replacement does not require changing</w:t>
      </w:r>
      <w:r>
        <w:t xml:space="preserve"> </w:t>
      </w:r>
      <w:r>
        <w:t xml:space="preserve">this instruction.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the cognizant cybersecurity and contracting authorities confirm askSage’s IL5 authorization and the command’s acquisition instrument are current and valid (held in command records, not in this instruction).</w:t>
      </w:r>
    </w:p>
    <w:bookmarkEnd w:id="15"/>
    <w:bookmarkStart w:id="16" w:name="policy"/>
    <w:p>
      <w:pPr>
        <w:pStyle w:val="Heading2"/>
      </w:pPr>
      <w:r>
        <w:t xml:space="preserve">3. Policy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 is a clerical and analytic aid, not a technical authority.</w:t>
      </w:r>
      <w:r>
        <w:t xml:space="preserve"> </w:t>
      </w:r>
      <w:r>
        <w:t xml:space="preserve">No AI output is</w:t>
      </w:r>
      <w:r>
        <w:t xml:space="preserve"> </w:t>
      </w:r>
      <w:r>
        <w:t xml:space="preserve">authoritative. Any AI product bearing on a technical requirement, a quality outcome, a</w:t>
      </w:r>
      <w:r>
        <w:t xml:space="preserve"> </w:t>
      </w:r>
      <w:r>
        <w:t xml:space="preserve">contractual obligation, seaworthiness, or safety of life is a non-authoritative draft</w:t>
      </w:r>
      <w:r>
        <w:t xml:space="preserve"> </w:t>
      </w:r>
      <w:r>
        <w:t xml:space="preserve">until a qualified human in the cognizant authority chain adjudicates it (Section 6).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Accountability stays with people.</w:t>
      </w:r>
      <w:r>
        <w:t xml:space="preserve"> </w:t>
      </w:r>
      <w:r>
        <w:t xml:space="preserve">The human who initiates an AI task owns the</w:t>
      </w:r>
      <w:r>
        <w:t xml:space="preserve"> </w:t>
      </w:r>
      <w:r>
        <w:t xml:space="preserve">accuracy, safety, legality, and compliance of the result.</w:t>
      </w:r>
      <w:r>
        <w:t xml:space="preserve"> </w:t>
      </w:r>
      <w:r>
        <w:t xml:space="preserve">“The AI produced it”</w:t>
      </w:r>
      <w:r>
        <w:t xml:space="preserve"> </w:t>
      </w:r>
      <w:r>
        <w:t xml:space="preserve">is never</w:t>
      </w:r>
      <w:r>
        <w:t xml:space="preserve"> </w:t>
      </w:r>
      <w:r>
        <w:t xml:space="preserve">a justification for an error, a deviation, or a disclosure.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 is bounded</w:t>
      </w:r>
      <w:r>
        <w:t xml:space="preserve"> </w:t>
      </w:r>
      <w:r>
        <w:t xml:space="preserve">by data sensitivity (Section 4), the authoritative knowledge base</w:t>
      </w:r>
      <w:r>
        <w:t xml:space="preserve"> </w:t>
      </w:r>
      <w:r>
        <w:t xml:space="preserve">(Section 5), technical authority (Section 6), least privilege (Section 7), and U.S. and</w:t>
      </w:r>
      <w:r>
        <w:t xml:space="preserve"> </w:t>
      </w:r>
      <w:r>
        <w:t xml:space="preserve">host-nation law.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Governance uses existing command structures and roles</w:t>
      </w:r>
      <w:r>
        <w:t xml:space="preserve"> </w:t>
      </w:r>
      <w:r>
        <w:t xml:space="preserve">rather than new boards</w:t>
      </w:r>
      <w:r>
        <w:t xml:space="preserve"> </w:t>
      </w:r>
      <w:r>
        <w:t xml:space="preserve">(Section 8).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This instruction changes no existing process.</w:t>
      </w:r>
      <w:r>
        <w:t xml:space="preserve"> </w:t>
      </w:r>
      <w:r>
        <w:t xml:space="preserve">It does not alter the command’s</w:t>
      </w:r>
      <w:r>
        <w:t xml:space="preserve"> </w:t>
      </w:r>
      <w:r>
        <w:t xml:space="preserve">existing authorities, responsibilities, technical authority, quality, security, or records</w:t>
      </w:r>
      <w:r>
        <w:t xml:space="preserve"> </w:t>
      </w:r>
      <w:r>
        <w:t xml:space="preserve">processes, or its lines of responsibility. It governs the use of askSage within them. Where</w:t>
      </w:r>
      <w:r>
        <w:t xml:space="preserve"> </w:t>
      </w:r>
      <w:r>
        <w:t xml:space="preserve">this instruction names who is responsible for something, it restates the established line,</w:t>
      </w:r>
      <w:r>
        <w:t xml:space="preserve"> </w:t>
      </w:r>
      <w:r>
        <w:t xml:space="preserve">it does not create a new one.</w:t>
      </w:r>
    </w:p>
    <w:bookmarkEnd w:id="16"/>
    <w:bookmarkStart w:id="17" w:name="authorized-and-prohibited-information"/>
    <w:p>
      <w:pPr>
        <w:pStyle w:val="Heading2"/>
      </w:pPr>
      <w:r>
        <w:t xml:space="preserve">4. Authorized and prohibited information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Authorized.</w:t>
      </w:r>
      <w:r>
        <w:t xml:space="preserve"> </w:t>
      </w:r>
      <w:r>
        <w:t xml:space="preserve">askSage is authorized for Controlled Unclassified Information (CUI)</w:t>
      </w:r>
      <w:r>
        <w:t xml:space="preserve"> </w:t>
      </w:r>
      <w:r>
        <w:t xml:space="preserve">up to DoD Impact Level 5 (IL5), including routine CUI and Controlled Technical</w:t>
      </w:r>
      <w:r>
        <w:t xml:space="preserve"> </w:t>
      </w:r>
      <w:r>
        <w:t xml:space="preserve">Information (CTI, marked CUI//SP-CTI). This covers most of the command’s maintenance,</w:t>
      </w:r>
      <w:r>
        <w:t xml:space="preserve"> </w:t>
      </w:r>
      <w:r>
        <w:t xml:space="preserve">engineering, and administrative work.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Prohibited — shall not be entered into askSage under any circumstances:</w:t>
      </w:r>
    </w:p>
    <w:p>
      <w:pPr>
        <w:pStyle w:val="Compact"/>
        <w:numPr>
          <w:ilvl w:val="1"/>
          <w:numId w:val="1005"/>
        </w:numPr>
      </w:pPr>
      <w:r>
        <w:t xml:space="preserve">Classified National Security Information (CONFIDENTIAL, SECRET, TOP SECRET).</w:t>
      </w:r>
    </w:p>
    <w:p>
      <w:pPr>
        <w:pStyle w:val="Compact"/>
        <w:numPr>
          <w:ilvl w:val="1"/>
          <w:numId w:val="1005"/>
        </w:numPr>
      </w:pPr>
      <w:r>
        <w:t xml:space="preserve">Naval Nuclear Propulsion Information (NNPI).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Personally Identifiable Information (PII).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Protected Health Information (PHI).</w:t>
      </w:r>
    </w:p>
    <w:p>
      <w:pPr>
        <w:numPr>
          <w:ilvl w:val="0"/>
          <w:numId w:val="1000"/>
        </w:numPr>
      </w:pPr>
      <w:r>
        <w:t xml:space="preserve">PII and PHI are categories of CUI, but they carry independent legal regimes (the</w:t>
      </w:r>
      <w:r>
        <w:t xml:space="preserve"> </w:t>
      </w:r>
      <w:r>
        <w:t xml:space="preserve">Privacy Act for PII, HIPAA for PHI) and are the worst case for the aggregation risk</w:t>
      </w:r>
      <w:r>
        <w:t xml:space="preserve"> </w:t>
      </w:r>
      <w:r>
        <w:t xml:space="preserve">in paragraph (e). They are carved out of the otherwise-authorized CUI, matching the</w:t>
      </w:r>
      <w:r>
        <w:t xml:space="preserve"> </w:t>
      </w:r>
      <w:r>
        <w:t xml:space="preserve">DoD enterprise (GenAI.mil) line. Personnel, manpower, and medical-readiness workflows</w:t>
      </w:r>
      <w:r>
        <w:t xml:space="preserve"> </w:t>
      </w:r>
      <w:r>
        <w:t xml:space="preserve">are not askSage use cases.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Enforcement of the data boundary is architectural, not honor-based.</w:t>
      </w:r>
      <w:r>
        <w:t xml:space="preserve"> </w:t>
      </w:r>
      <w:r>
        <w:t xml:space="preserve">A stated</w:t>
      </w:r>
      <w:r>
        <w:t xml:space="preserve"> </w:t>
      </w:r>
      <w:r>
        <w:t xml:space="preserve">“do not enter”</w:t>
      </w:r>
      <w:r>
        <w:t xml:space="preserve"> </w:t>
      </w:r>
      <w:r>
        <w:t xml:space="preserve">rule is necessary but not sufficient. The CIO is responsible for</w:t>
      </w:r>
      <w:r>
        <w:t xml:space="preserve"> </w:t>
      </w:r>
      <w:r>
        <w:t xml:space="preserve">configuring, within askSage’s capabilities, Data Loss Prevention (DLP) or</w:t>
      </w:r>
      <w:r>
        <w:t xml:space="preserve"> </w:t>
      </w:r>
      <w:r>
        <w:t xml:space="preserve">sensitive-pattern interception at the prompt-ingress layer to intercept PII, PHI, and</w:t>
      </w:r>
      <w:r>
        <w:t xml:space="preserve"> </w:t>
      </w:r>
      <w:r>
        <w:t xml:space="preserve">prohibited-data patterns before they reach the model. Detection of what gets through is</w:t>
      </w:r>
      <w:r>
        <w:t xml:space="preserve"> </w:t>
      </w:r>
      <w:r>
        <w:t xml:space="preserve">covered by Continuous Monitoring (Section 9).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Commercial / non-DoD AI tools</w:t>
      </w:r>
      <w:r>
        <w:t xml:space="preserve"> </w:t>
      </w:r>
      <w:r>
        <w:t xml:space="preserve">remain unauthorized for any non-public command</w:t>
      </w:r>
      <w:r>
        <w:t xml:space="preserve"> </w:t>
      </w:r>
      <w:r>
        <w:t xml:space="preserve">information, consistent with reference (e).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Aggregation / classification by compilation.</w:t>
      </w:r>
      <w:r>
        <w:t xml:space="preserve"> </w:t>
      </w:r>
      <w:r>
        <w:t xml:space="preserve">Aggregating many individually-</w:t>
      </w:r>
      <w:r>
        <w:t xml:space="preserve"> </w:t>
      </w:r>
      <w:r>
        <w:t xml:space="preserve">releasable CUI items (maintenance schedules, casualty reports (CASREPs), material</w:t>
      </w:r>
      <w:r>
        <w:t xml:space="preserve"> </w:t>
      </w:r>
      <w:r>
        <w:t xml:space="preserve">deficiencies, manpower data) can produce a fleet-readiness picture that is classified by</w:t>
      </w:r>
      <w:r>
        <w:t xml:space="preserve"> </w:t>
      </w:r>
      <w:r>
        <w:t xml:space="preserve">compilation.</w:t>
      </w:r>
      <w:r>
        <w:t xml:space="preserve"> </w:t>
      </w:r>
      <w:r>
        <w:rPr>
          <w:b/>
          <w:bCs/>
        </w:rPr>
        <w:t xml:space="preserve">This risk is not new and is not created by askSage.</w:t>
      </w:r>
      <w:r>
        <w:t xml:space="preserve"> </w:t>
      </w:r>
      <w:r>
        <w:t xml:space="preserve">Any person with the</w:t>
      </w:r>
      <w:r>
        <w:t xml:space="preserve"> </w:t>
      </w:r>
      <w:r>
        <w:t xml:space="preserve">same share access can compile the same picture by hand, and it is already governed by the</w:t>
      </w:r>
      <w:r>
        <w:t xml:space="preserve"> </w:t>
      </w:r>
      <w:r>
        <w:t xml:space="preserve">applicable Security Classification Guide (SCG) and the command’s classification and</w:t>
      </w:r>
      <w:r>
        <w:t xml:space="preserve"> </w:t>
      </w:r>
      <w:r>
        <w:t xml:space="preserve">spillage procedures, which apply to AI-assisted work exactly as to manual analysis. What</w:t>
      </w:r>
      <w:r>
        <w:t xml:space="preserve"> </w:t>
      </w:r>
      <w:r>
        <w:t xml:space="preserve">askSage changes is</w:t>
      </w:r>
      <w:r>
        <w:t xml:space="preserve"> </w:t>
      </w:r>
      <w:r>
        <w:rPr>
          <w:b/>
          <w:bCs/>
        </w:rPr>
        <w:t xml:space="preserve">likelihood, not the rule</w:t>
      </w:r>
      <w:r>
        <w:t xml:space="preserve">: it can compile across many sources in one</w:t>
      </w:r>
      <w:r>
        <w:t xml:space="preserve"> </w:t>
      </w:r>
      <w:r>
        <w:t xml:space="preserve">step, so a user may produce a compiled-classified result quickly and without realizing it.</w:t>
      </w:r>
      <w:r>
        <w:t xml:space="preserve"> </w:t>
      </w:r>
      <w:r>
        <w:t xml:space="preserve">The controls are therefore: (1)</w:t>
      </w:r>
      <w:r>
        <w:t xml:space="preserve"> </w:t>
      </w:r>
      <w:r>
        <w:rPr>
          <w:b/>
          <w:bCs/>
        </w:rPr>
        <w:t xml:space="preserve">user recognition</w:t>
      </w:r>
      <w:r>
        <w:t xml:space="preserve"> </w:t>
      </w:r>
      <w:r>
        <w:t xml:space="preserve">— personnel apply the same compilation</w:t>
      </w:r>
      <w:r>
        <w:t xml:space="preserve"> </w:t>
      </w:r>
      <w:r>
        <w:t xml:space="preserve">judgment to AI output that they apply to their own analysis, per the SCG; (2)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(Section 13) covers classification by compilation in an AI context; and (3) a</w:t>
      </w:r>
      <w:r>
        <w:t xml:space="preserve"> </w:t>
      </w:r>
      <w:r>
        <w:t xml:space="preserve">compiled-classified output is handled under the existing</w:t>
      </w:r>
      <w:r>
        <w:t xml:space="preserve"> </w:t>
      </w:r>
      <w:r>
        <w:rPr>
          <w:b/>
          <w:bCs/>
        </w:rPr>
        <w:t xml:space="preserve">spillage procedure</w:t>
      </w:r>
      <w:r>
        <w:t xml:space="preserve"> </w:t>
      </w:r>
      <w:r>
        <w:t xml:space="preserve">(Section 11.a).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cognizant Security Classification Guide(s).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Marking and the user’s responsibility.</w:t>
      </w:r>
      <w:r>
        <w:t xml:space="preserve"> </w:t>
      </w:r>
      <w:r>
        <w:t xml:space="preserve">AI does not reliably apply CUI markings.</w:t>
      </w:r>
      <w:r>
        <w:t xml:space="preserve"> </w:t>
      </w:r>
      <w:r>
        <w:t xml:space="preserve">AI-generated content does not exempt the user, as the</w:t>
      </w:r>
      <w:r>
        <w:t xml:space="preserve"> </w:t>
      </w:r>
      <w:r>
        <w:rPr>
          <w:b/>
          <w:bCs/>
        </w:rPr>
        <w:t xml:space="preserve">authorized holder</w:t>
      </w:r>
      <w:r>
        <w:t xml:space="preserve">, from correctly</w:t>
      </w:r>
      <w:r>
        <w:t xml:space="preserve"> </w:t>
      </w:r>
      <w:r>
        <w:t xml:space="preserve">designating and portion-marking any CUI in that output (Section 3.b applies —</w:t>
      </w:r>
      <w:r>
        <w:t xml:space="preserve"> </w:t>
      </w:r>
      <w:r>
        <w:t xml:space="preserve">“AI produced it”</w:t>
      </w:r>
      <w:r>
        <w:t xml:space="preserve"> </w:t>
      </w:r>
      <w:r>
        <w:t xml:space="preserve">is never a defense).</w:t>
      </w:r>
      <w:r>
        <w:t xml:space="preserve"> </w:t>
      </w:r>
      <w:r>
        <w:rPr>
          <w:i/>
          <w:iCs/>
        </w:rPr>
        <w:t xml:space="preserve">(CUI designation/marking — not derivative classification, which is a</w:t>
      </w:r>
      <w:r>
        <w:rPr>
          <w:i/>
          <w:iCs/>
        </w:rPr>
        <w:t xml:space="preserve"> </w:t>
      </w:r>
      <w:r>
        <w:rPr>
          <w:i/>
          <w:iCs/>
        </w:rPr>
        <w:t xml:space="preserve">separate, classified-information function.)</w:t>
      </w:r>
      <w:r>
        <w:t xml:space="preserve"> </w:t>
      </w:r>
      <w:r>
        <w:t xml:space="preserve">Personnel portion-mark any</w:t>
      </w:r>
      <w:r>
        <w:t xml:space="preserve"> </w:t>
      </w:r>
      <w:r>
        <w:t xml:space="preserve">AI-generated product containing CUI per reference (a) before storing or transmitting it.</w:t>
      </w:r>
    </w:p>
    <w:bookmarkEnd w:id="17"/>
    <w:bookmarkStart w:id="18" w:name="authoritative-knowledge-base"/>
    <w:p>
      <w:pPr>
        <w:pStyle w:val="Heading2"/>
      </w:pPr>
      <w:r>
        <w:t xml:space="preserve">5. Authoritative knowledge base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Departments own their repositories; the command owns the platform.</w:t>
      </w:r>
      <w:r>
        <w:t xml:space="preserve"> </w:t>
      </w:r>
      <w:r>
        <w:t xml:space="preserve">Each department</w:t>
      </w:r>
      <w:r>
        <w:t xml:space="preserve"> </w:t>
      </w:r>
      <w:r>
        <w:t xml:space="preserve">owns, feeds, and controls access to its own document repository (its SharePoint or</w:t>
      </w:r>
      <w:r>
        <w:t xml:space="preserve"> </w:t>
      </w:r>
      <w:r>
        <w:t xml:space="preserve">equivalent) and is responsible for the content and releasability of what it places there.</w:t>
      </w:r>
      <w:r>
        <w:t xml:space="preserve"> </w:t>
      </w:r>
      <w:r>
        <w:t xml:space="preserve">askSage draws on those repositories under each user’s existing access. The Command</w:t>
      </w:r>
      <w:r>
        <w:t xml:space="preserve"> </w:t>
      </w:r>
      <w:r>
        <w:t xml:space="preserve">Information Officer (CIO) and Information System Security Manager (ISSM) are custodians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platform</w:t>
      </w:r>
      <w:r>
        <w:t xml:space="preserve">: they maintain a registry of the repositories connected to askSage and</w:t>
      </w:r>
      <w:r>
        <w:t xml:space="preserve"> </w:t>
      </w:r>
      <w:r>
        <w:t xml:space="preserve">manage platform access and identity, but they do not own the content. Records, directives,</w:t>
      </w:r>
      <w:r>
        <w:t xml:space="preserve"> </w:t>
      </w:r>
      <w:r>
        <w:t xml:space="preserve">and information are managed in accordance with the Standard Organization and Regulations of</w:t>
      </w:r>
      <w:r>
        <w:t xml:space="preserve"> </w:t>
      </w:r>
      <w:r>
        <w:t xml:space="preserve">the U.S. Navy (the SORM, reference (n)) and the records program (reference (m)).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Authoritative technical sources and recertification.</w:t>
      </w:r>
      <w:r>
        <w:t xml:space="preserve"> </w:t>
      </w:r>
      <w:r>
        <w:t xml:space="preserve">Code 200 (Engineering and</w:t>
      </w:r>
      <w:r>
        <w:t xml:space="preserve"> </w:t>
      </w:r>
      <w:r>
        <w:t xml:space="preserve">Planning) owns the authoritative technical library — the Joint Fleet Maintenance Manual</w:t>
      </w:r>
      <w:r>
        <w:t xml:space="preserve"> </w:t>
      </w:r>
      <w:r>
        <w:t xml:space="preserve">(JFMM), NAVSEA Standard Items, and technical manuals — and keeps it current. A stale</w:t>
      </w:r>
      <w:r>
        <w:t xml:space="preserve"> </w:t>
      </w:r>
      <w:r>
        <w:t xml:space="preserve">authoritative source is a safety hazard, not merely an error, so each repository owner</w:t>
      </w:r>
      <w:r>
        <w:t xml:space="preserve"> </w:t>
      </w:r>
      <w:r>
        <w:t xml:space="preserve">recertifies its content on a defined cycle and upon change transmittal, so the AI never</w:t>
      </w:r>
      <w:r>
        <w:t xml:space="preserve"> </w:t>
      </w:r>
      <w:r>
        <w:t xml:space="preserve">reasons from a superseded version.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Releasability rests on existing screening, by the owning department.</w:t>
      </w:r>
      <w:r>
        <w:t xml:space="preserve"> </w:t>
      </w:r>
      <w:r>
        <w:t xml:space="preserve">Each department</w:t>
      </w:r>
      <w:r>
        <w:t xml:space="preserve"> </w:t>
      </w:r>
      <w:r>
        <w:t xml:space="preserve">is responsible for the releasability of its own repository. For technical direction</w:t>
      </w:r>
      <w:r>
        <w:t xml:space="preserve"> </w:t>
      </w:r>
      <w:r>
        <w:t xml:space="preserve">(drawings, policy, manuals), Code 200 already screens content through a derivative</w:t>
      </w:r>
      <w:r>
        <w:t xml:space="preserve"> </w:t>
      </w:r>
      <w:r>
        <w:t xml:space="preserve">classifier, who redacts or denies any unreleasable information, and NOFORN is already barred</w:t>
      </w:r>
      <w:r>
        <w:t xml:space="preserve"> </w:t>
      </w:r>
      <w:r>
        <w:t xml:space="preserve">from the command’s network share. The askSage knowledge base</w:t>
      </w:r>
      <w:r>
        <w:t xml:space="preserve"> </w:t>
      </w:r>
      <w:r>
        <w:rPr>
          <w:b/>
          <w:bCs/>
        </w:rPr>
        <w:t xml:space="preserve">inherits</w:t>
      </w:r>
      <w:r>
        <w:t xml:space="preserve"> </w:t>
      </w:r>
      <w:r>
        <w:t xml:space="preserve">these controls;</w:t>
      </w:r>
      <w:r>
        <w:t xml:space="preserve"> </w:t>
      </w:r>
      <w:r>
        <w:t xml:space="preserve">the AI is neither a new releasability authority nor a substitute for the derivative</w:t>
      </w:r>
      <w:r>
        <w:t xml:space="preserve"> </w:t>
      </w:r>
      <w:r>
        <w:t xml:space="preserve">classifier. The one new risk is that the AI could become a</w:t>
      </w:r>
      <w:r>
        <w:t xml:space="preserve"> </w:t>
      </w:r>
      <w:r>
        <w:rPr>
          <w:i/>
          <w:iCs/>
        </w:rPr>
        <w:t xml:space="preserve">bypass</w:t>
      </w:r>
      <w:r>
        <w:t xml:space="preserve"> </w:t>
      </w:r>
      <w:r>
        <w:t xml:space="preserve">of that screening, so</w:t>
      </w:r>
      <w:r>
        <w:t xml:space="preserve"> </w:t>
      </w:r>
      <w:r>
        <w:rPr>
          <w:b/>
          <w:bCs/>
        </w:rPr>
        <w:t xml:space="preserve">ad hoc ingestion of un-screened documents into askSage is prohibited</w:t>
      </w:r>
      <w:r>
        <w:t xml:space="preserve"> </w:t>
      </w:r>
      <w:r>
        <w:t xml:space="preserve">— material enters a</w:t>
      </w:r>
      <w:r>
        <w:t xml:space="preserve"> </w:t>
      </w:r>
      <w:r>
        <w:t xml:space="preserve">repository only through the owning department’s established feed.</w:t>
      </w:r>
    </w:p>
    <w:bookmarkEnd w:id="18"/>
    <w:bookmarkStart w:id="19" w:name="X202263741ef985fbdc1a728e19fe30f81842b52"/>
    <w:p>
      <w:pPr>
        <w:pStyle w:val="Heading2"/>
      </w:pPr>
      <w:r>
        <w:t xml:space="preserve">6. Authoritative evaluation of AI output (the human-in-the-loop)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output is authoritatively evaluated by the cognizant authority, along the command’s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lines of responsibility.</w:t>
      </w:r>
      <w:r>
        <w:t xml:space="preserve"> </w:t>
      </w:r>
      <w:r>
        <w:t xml:space="preserve">No AI output is authoritative on its own. A qualified</w:t>
      </w:r>
      <w:r>
        <w:t xml:space="preserve"> </w:t>
      </w:r>
      <w:r>
        <w:t xml:space="preserve">person who owns the relevant subject matter evaluates AI-produced content before it is used</w:t>
      </w:r>
      <w:r>
        <w:t xml:space="preserve"> </w:t>
      </w:r>
      <w:r>
        <w:t xml:space="preserve">or released — the same person who would own that work product if a human had produced it.</w:t>
      </w:r>
      <w:r>
        <w:t xml:space="preserve"> </w:t>
      </w:r>
      <w:r>
        <w:t xml:space="preserve">askSage does not change who is responsible; responsibility follows the established command</w:t>
      </w:r>
      <w:r>
        <w:t xml:space="preserve"> </w:t>
      </w:r>
      <w:r>
        <w:t xml:space="preserve">organization: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Authoritative for AI content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Command (CO, XO, Executive Director, Legal, Warfighting Readiness)</w:t>
            </w:r>
          </w:p>
        </w:tc>
        <w:tc>
          <w:tcPr/>
          <w:p>
            <w:pPr>
              <w:pStyle w:val="Compact"/>
            </w:pPr>
            <w:r>
              <w:t xml:space="preserve">command, legal, and warfighting-readiness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Engineering and Planning (CHENG; engineers, planners)</w:t>
            </w:r>
          </w:p>
        </w:tc>
        <w:tc>
          <w:tcPr/>
          <w:p>
            <w:pPr>
              <w:pStyle w:val="Compact"/>
            </w:pPr>
            <w:r>
              <w:t xml:space="preserve">technical and engineering matters; owns the technical library and derivative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Waterfront Operations</w:t>
            </w:r>
          </w:p>
        </w:tc>
        <w:tc>
          <w:tcPr/>
          <w:p>
            <w:pPr>
              <w:pStyle w:val="Compact"/>
            </w:pPr>
            <w:r>
              <w:t xml:space="preserve">availability execution, scheduling, project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supply and 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budget, accounting, cost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Crane and Rigging</w:t>
            </w:r>
          </w:p>
        </w:tc>
        <w:tc>
          <w:tcPr/>
          <w:p>
            <w:pPr>
              <w:pStyle w:val="Compact"/>
            </w:pPr>
            <w:r>
              <w:t xml:space="preserve">crane, rigging, and lift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Manpower</w:t>
            </w:r>
          </w:p>
        </w:tc>
        <w:tc>
          <w:tcPr/>
          <w:p>
            <w:pPr>
              <w:pStyle w:val="Compact"/>
            </w:pPr>
            <w:r>
              <w:t xml:space="preserve">manpower, training, and industrial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Business and Strategic Planning Office (BSPO)</w:t>
            </w:r>
          </w:p>
        </w:tc>
        <w:tc>
          <w:tcPr/>
          <w:p>
            <w:pPr>
              <w:pStyle w:val="Compact"/>
            </w:pPr>
            <w:r>
              <w:t xml:space="preserve">business, strategic planning, and contracting (requirements packages)</w:t>
            </w:r>
          </w:p>
        </w:tc>
      </w:tr>
    </w:tbl>
    <w:p>
      <w:pPr>
        <w:pStyle w:val="BodyText"/>
      </w:pPr>
      <w:r>
        <w:t xml:space="preserve">There is no Code 400, 800, or 1000. Quality assurance is an existing function and is</w:t>
      </w:r>
      <w:r>
        <w:t xml:space="preserve"> </w:t>
      </w:r>
      <w:r>
        <w:t xml:space="preserve">exercised as such (Section 9.b).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Each department designates an authoritative AI content evaluator.</w:t>
      </w:r>
      <w:r>
        <w:t xml:space="preserve"> </w:t>
      </w:r>
      <w:r>
        <w:t xml:space="preserve">Every department</w:t>
      </w:r>
      <w:r>
        <w:t xml:space="preserve"> </w:t>
      </w:r>
      <w:r>
        <w:t xml:space="preserve">designates, in writing, a qualified person responsible for the authoritative evaluation of</w:t>
      </w:r>
      <w:r>
        <w:t xml:space="preserve"> </w:t>
      </w:r>
      <w:r>
        <w:t xml:space="preserve">AI-produced content used in that department’s area of responsibility. The designated</w:t>
      </w:r>
      <w:r>
        <w:t xml:space="preserve"> </w:t>
      </w:r>
      <w:r>
        <w:t xml:space="preserve">evaluator is recorded with the department’s use cases in the inventory (Section 8).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Departures from specification.</w:t>
      </w:r>
      <w:r>
        <w:t xml:space="preserve"> </w:t>
      </w:r>
      <w:r>
        <w:t xml:space="preserve">Any AI suggestion that would depart from a</w:t>
      </w:r>
      <w:r>
        <w:t xml:space="preserve"> </w:t>
      </w:r>
      <w:r>
        <w:t xml:space="preserve">controlling specification (JFMM, NAVSEA Standard Item, technical manual) is processed</w:t>
      </w:r>
      <w:r>
        <w:t xml:space="preserve"> </w:t>
      </w:r>
      <w:r>
        <w:t xml:space="preserve">through the command’s existing Departure-from-Specification (DFS) process. AI does not</w:t>
      </w:r>
      <w:r>
        <w:t xml:space="preserve"> </w:t>
      </w:r>
      <w:r>
        <w:t xml:space="preserve">create a path around the technical authority chain.</w:t>
      </w:r>
      <w:r>
        <w:t xml:space="preserve"> </w:t>
      </w:r>
      <w:r>
        <w:rPr>
          <w:b/>
          <w:bCs/>
        </w:rPr>
        <w:t xml:space="preserve">AI output is not, by itself, 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justification for a DFS</w:t>
      </w:r>
      <w:r>
        <w:t xml:space="preserve"> </w:t>
      </w:r>
      <w:r>
        <w:t xml:space="preserve">— the technical authority adjudicates independently, on its own</w:t>
      </w:r>
      <w:r>
        <w:t xml:space="preserve"> </w:t>
      </w:r>
      <w:r>
        <w:t xml:space="preserve">analysis and reference verification; AI</w:t>
      </w:r>
      <w:r>
        <w:t xml:space="preserve"> </w:t>
      </w:r>
      <w:r>
        <w:t xml:space="preserve">“reasoning”</w:t>
      </w:r>
      <w:r>
        <w:t xml:space="preserve"> </w:t>
      </w:r>
      <w:r>
        <w:t xml:space="preserve">is not a substitute.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Out-of-band verification.</w:t>
      </w:r>
      <w:r>
        <w:t xml:space="preserve"> </w:t>
      </w:r>
      <w:r>
        <w:t xml:space="preserve">AI output that cites a technical requirement is verified</w:t>
      </w:r>
      <w:r>
        <w:t xml:space="preserve"> </w:t>
      </w:r>
      <w:r>
        <w:t xml:space="preserve">against the controlling document through a non-AI authoritative source (the official</w:t>
      </w:r>
      <w:r>
        <w:t xml:space="preserve"> </w:t>
      </w:r>
      <w:r>
        <w:t xml:space="preserve">technical library / source of record), confirming the specific paragraph wording and</w:t>
      </w:r>
      <w:r>
        <w:t xml:space="preserve"> </w:t>
      </w:r>
      <w:r>
        <w:t xml:space="preserve">current change number.</w:t>
      </w:r>
      <w:r>
        <w:t xml:space="preserve"> </w:t>
      </w:r>
      <w:r>
        <w:rPr>
          <w:b/>
          <w:bCs/>
        </w:rPr>
        <w:t xml:space="preserve">The AI’s own retrieved snippet is not a sufficient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— relying on it re-introduces the hallucination it is meant to catch.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authoritative source-of-record system (the non-AI technical library used for verification).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Structured approval (fight confirmation fatigue).</w:t>
      </w:r>
      <w:r>
        <w:t xml:space="preserve"> </w:t>
      </w:r>
      <w:r>
        <w:t xml:space="preserve">Where a human approval is required</w:t>
      </w:r>
      <w:r>
        <w:t xml:space="preserve"> </w:t>
      </w:r>
      <w:r>
        <w:t xml:space="preserve">(this section and Section 7), the approval presents what is being approved — intent, the</w:t>
      </w:r>
      <w:r>
        <w:t xml:space="preserve"> </w:t>
      </w:r>
      <w:r>
        <w:t xml:space="preserve">source(s) relied on, the scope of the action, and how it is reversed — not a bare</w:t>
      </w:r>
      <w:r>
        <w:t xml:space="preserve"> </w:t>
      </w:r>
      <w:r>
        <w:t xml:space="preserve">“Approve.”</w:t>
      </w:r>
      <w:r>
        <w:t xml:space="preserve"> </w:t>
      </w:r>
      <w:r>
        <w:t xml:space="preserve">The risk under click-to-approve is a tired human rubber-stamping agent steps;</w:t>
      </w:r>
      <w:r>
        <w:t xml:space="preserve"> </w:t>
      </w:r>
      <w:r>
        <w:t xml:space="preserve">the structured prompt, plus the requirement that the</w:t>
      </w:r>
      <w:r>
        <w:t xml:space="preserve"> </w:t>
      </w:r>
      <w:r>
        <w:rPr>
          <w:b/>
          <w:bCs/>
        </w:rPr>
        <w:t xml:space="preserve">right qualified person</w:t>
      </w:r>
      <w:r>
        <w:t xml:space="preserve"> </w:t>
      </w:r>
      <w:r>
        <w:t xml:space="preserve">approve,</w:t>
      </w:r>
      <w:r>
        <w:t xml:space="preserve"> </w:t>
      </w:r>
      <w:r>
        <w:t xml:space="preserve">are the mitigations.</w:t>
      </w:r>
    </w:p>
    <w:bookmarkEnd w:id="19"/>
    <w:bookmarkStart w:id="20" w:name="agentic-autonomy-controls"/>
    <w:p>
      <w:pPr>
        <w:pStyle w:val="Heading2"/>
      </w:pPr>
      <w:r>
        <w:t xml:space="preserve">7. Agentic autonomy controls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Read-only by default.</w:t>
      </w:r>
      <w:r>
        <w:t xml:space="preserve"> </w:t>
      </w:r>
      <w:r>
        <w:t xml:space="preserve">Agents operate read-only unless a write capability is</w:t>
      </w:r>
      <w:r>
        <w:t xml:space="preserve"> </w:t>
      </w:r>
      <w:r>
        <w:t xml:space="preserve">specifically approved for a use case.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Write-action gating.</w:t>
      </w:r>
      <w:r>
        <w:t xml:space="preserve"> </w:t>
      </w:r>
      <w:r>
        <w:t xml:space="preserve">Any agent action that changes a record, sends official</w:t>
      </w:r>
      <w:r>
        <w:t xml:space="preserve"> </w:t>
      </w:r>
      <w:r>
        <w:t xml:space="preserve">correspondence, modifies a schedule, or otherwise changes the state of a command system</w:t>
      </w:r>
      <w:r>
        <w:t xml:space="preserve"> </w:t>
      </w:r>
      <w:r>
        <w:t xml:space="preserve">requires a structured human approval (Section 6.e) before execution. The AI does not</w:t>
      </w:r>
      <w:r>
        <w:t xml:space="preserve"> </w:t>
      </w:r>
      <w:r>
        <w:t xml:space="preserve">take a final, state-changing action autonomously.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Least privilege and permission inheritance.</w:t>
      </w:r>
      <w:r>
        <w:t xml:space="preserve"> </w:t>
      </w:r>
      <w:r>
        <w:t xml:space="preserve">An agent receives only the data and</w:t>
      </w:r>
      <w:r>
        <w:t xml:space="preserve"> </w:t>
      </w:r>
      <w:r>
        <w:t xml:space="preserve">tools its approved use case requires, and an agent acting on a user’s behalf inherits that</w:t>
      </w:r>
      <w:r>
        <w:t xml:space="preserve"> </w:t>
      </w:r>
      <w:r>
        <w:t xml:space="preserve">user’s access and no more. For the Local National workforce this rests on an existing</w:t>
      </w:r>
      <w:r>
        <w:t xml:space="preserve"> </w:t>
      </w:r>
      <w:r>
        <w:t xml:space="preserve">control: the command’s network share is already releasability-screened and NOFORN is</w:t>
      </w:r>
      <w:r>
        <w:t xml:space="preserve"> </w:t>
      </w:r>
      <w:r>
        <w:t xml:space="preserve">excluded from it (Section 5.c), so an agent drawing on the screened corpus for a Local</w:t>
      </w:r>
      <w:r>
        <w:t xml:space="preserve"> </w:t>
      </w:r>
      <w:r>
        <w:t xml:space="preserve">National user is bounded by that user’s already-screened access. The residual control is</w:t>
      </w:r>
      <w:r>
        <w:t xml:space="preserve"> </w:t>
      </w:r>
      <w:r>
        <w:t xml:space="preserve">simply to keep askSage inside that screened corpus and prevent un-screened side-channel</w:t>
      </w:r>
      <w:r>
        <w:t xml:space="preserve"> </w:t>
      </w:r>
      <w:r>
        <w:t xml:space="preserve">uploads (Section 5.c), not to re-adjudicate releasability at the AI layer.</w:t>
      </w:r>
    </w:p>
    <w:p>
      <w:pPr>
        <w:pStyle w:val="FirstParagraph"/>
      </w:pPr>
      <w:r>
        <w:t xml:space="preserve">Local National access is additionally subject to the command’s existing</w:t>
      </w:r>
      <w:r>
        <w:t xml:space="preserve"> </w:t>
      </w:r>
      <w:r>
        <w:rPr>
          <w:b/>
          <w:bCs/>
        </w:rPr>
        <w:t xml:space="preserve">Foreign Disclosure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export-control</w:t>
      </w:r>
      <w:r>
        <w:t xml:space="preserve"> </w:t>
      </w:r>
      <w:r>
        <w:t xml:space="preserve">processes. No askSage use case circumvents the command’s Technology</w:t>
      </w:r>
      <w:r>
        <w:t xml:space="preserve"> </w:t>
      </w:r>
      <w:r>
        <w:t xml:space="preserve">Control Plans or the deemed-export rules: export-controlled (ITAR/EAR) technical data is not</w:t>
      </w:r>
      <w:r>
        <w:t xml:space="preserve"> </w:t>
      </w:r>
      <w:r>
        <w:t xml:space="preserve">exposed to a foreign national through an agent any more than it would be directly.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cognizant Foreign Disclosure Officer / export-control authority.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Autonomy tiered to existing risk categories.</w:t>
      </w:r>
      <w:r>
        <w:t xml:space="preserve"> </w:t>
      </w:r>
      <w:r>
        <w:t xml:space="preserve">Human-oversight intensity scales with</w:t>
      </w:r>
      <w:r>
        <w:t xml:space="preserve"> </w:t>
      </w:r>
      <w:r>
        <w:t xml:space="preserve">the risk of the use case, mapped to the command’s existing controlled-work risk categories</w:t>
      </w:r>
      <w:r>
        <w:t xml:space="preserve"> </w:t>
      </w:r>
      <w:r>
        <w:t xml:space="preserve">(for example Level I / critical versus non-critical) rather than a new scheme. Higher-risk</w:t>
      </w:r>
      <w:r>
        <w:t xml:space="preserve"> </w:t>
      </w:r>
      <w:r>
        <w:t xml:space="preserve">use cases require closer human control and CHENG-chain concurrence (Section 8).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Separation and containment.</w:t>
      </w:r>
      <w:r>
        <w:t xml:space="preserve"> </w:t>
      </w:r>
      <w:r>
        <w:t xml:space="preserve">Where an agent generates and then executes work,</w:t>
      </w:r>
      <w:r>
        <w:t xml:space="preserve"> </w:t>
      </w:r>
      <w:r>
        <w:t xml:space="preserve">generation and execution are separated by an approval gate. A means to halt an agent and</w:t>
      </w:r>
      <w:r>
        <w:t xml:space="preserve"> </w:t>
      </w:r>
      <w:r>
        <w:t xml:space="preserve">revoke its access exists and is exercisable by a designated authority.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halt/revoke authority (for example the ISSM or the command duty IT watch).</w:t>
      </w:r>
    </w:p>
    <w:bookmarkEnd w:id="20"/>
    <w:bookmarkStart w:id="21" w:name="roles-responsibilities-and-governance"/>
    <w:p>
      <w:pPr>
        <w:pStyle w:val="Heading2"/>
      </w:pPr>
      <w:r>
        <w:t xml:space="preserve">8. Roles, responsibilities, and governance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Accountability.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Commanding Officer</w:t>
      </w:r>
      <w:r>
        <w:t xml:space="preserve"> </w:t>
      </w:r>
      <w:r>
        <w:t xml:space="preserve">retains overall accountability for</w:t>
      </w:r>
      <w:r>
        <w:t xml:space="preserve"> </w:t>
      </w:r>
      <w:r>
        <w:t xml:space="preserve">AI-augmented command outcomes, as for all command activity. Responsibilities are</w:t>
      </w:r>
      <w:r>
        <w:t xml:space="preserve"> </w:t>
      </w:r>
      <w:r>
        <w:t xml:space="preserve">distributed across the existing roles below; this is a deliberate combination of</w:t>
      </w:r>
      <w:r>
        <w:t xml:space="preserve"> </w:t>
      </w:r>
      <w:r>
        <w:t xml:space="preserve">authorities, not a single new owner and not a new board.</w:t>
      </w:r>
    </w:p>
    <w:p>
      <w:pPr>
        <w:pStyle w:val="BlockText"/>
      </w:pPr>
      <w:r>
        <w:rPr>
          <w:b/>
          <w:bCs/>
        </w:rPr>
        <w:t xml:space="preserve">Working group to confirm:</w:t>
      </w:r>
      <w:r>
        <w:t xml:space="preserve"> </w:t>
      </w:r>
      <w:r>
        <w:t xml:space="preserve">the specific billet delegations against the command SORM — for example, the Executive Director to chair the Department Heads governance forum (Section 8.g) and maintain the AI use-case inventory; the Executive Officer to coordinate command training (Section 13) and the manual-reversion bills (Section 12); the CHENG as the cognizant Technical Warrant Holder; the ISSM as the halt/revoke authority (Section 7.e).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Command Information Officer (CIO) and Information System Security Manager (ISSM).</w:t>
      </w:r>
      <w:r>
        <w:t xml:space="preserve"> </w:t>
      </w:r>
      <w:r>
        <w:t xml:space="preserve">Custodians of the platform, not of department content (Section 5): platform administration,</w:t>
      </w:r>
      <w:r>
        <w:t xml:space="preserve"> </w:t>
      </w:r>
      <w:r>
        <w:t xml:space="preserve">access and identity management, the model/instance and use-case inventory, the registry of</w:t>
      </w:r>
      <w:r>
        <w:t xml:space="preserve"> </w:t>
      </w:r>
      <w:r>
        <w:t xml:space="preserve">repositories connected to askSage, the Continuous Monitoring program (Section 9), the</w:t>
      </w:r>
      <w:r>
        <w:t xml:space="preserve"> </w:t>
      </w:r>
      <w:r>
        <w:t xml:space="preserve">ingress data-loss controls (Section 4.c), and first response to AI security incidents</w:t>
      </w:r>
      <w:r>
        <w:t xml:space="preserve"> </w:t>
      </w:r>
      <w:r>
        <w:t xml:space="preserve">(Section 11). The CIO validates platform and security suitability of proposed use cases.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Chief Engineer (CHENG) and chain.</w:t>
      </w:r>
      <w:r>
        <w:t xml:space="preserve"> </w:t>
      </w:r>
      <w:r>
        <w:t xml:space="preserve">Own technical and functional adjudication. The</w:t>
      </w:r>
      <w:r>
        <w:t xml:space="preserve"> </w:t>
      </w:r>
      <w:r>
        <w:t xml:space="preserve">CHENG</w:t>
      </w:r>
      <w:r>
        <w:t xml:space="preserve"> </w:t>
      </w:r>
      <w:r>
        <w:rPr>
          <w:b/>
          <w:bCs/>
        </w:rPr>
        <w:t xml:space="preserve">concurs</w:t>
      </w:r>
      <w:r>
        <w:t xml:space="preserve"> </w:t>
      </w:r>
      <w:r>
        <w:t xml:space="preserve">on any use case that touches technical specifications, tag-outs, work</w:t>
      </w:r>
      <w:r>
        <w:t xml:space="preserve"> </w:t>
      </w:r>
      <w:r>
        <w:t xml:space="preserve">authorization, quality outcomes, or shipboard systems, and owns the technical</w:t>
      </w:r>
      <w:r>
        <w:t xml:space="preserve"> </w:t>
      </w:r>
      <w:r>
        <w:t xml:space="preserve">human-in-the-loop call (Section 6). A use case is not approved over a CHENG non-concurrence</w:t>
      </w:r>
      <w:r>
        <w:t xml:space="preserve"> </w:t>
      </w:r>
      <w:r>
        <w:t xml:space="preserve">on technical grounds.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Staff Judge Advocate / Office of Counsel (Legal).</w:t>
      </w:r>
      <w:r>
        <w:t xml:space="preserve"> </w:t>
      </w:r>
      <w:r>
        <w:t xml:space="preserve">Concurs on records retention,</w:t>
      </w:r>
      <w:r>
        <w:t xml:space="preserve"> </w:t>
      </w:r>
      <w:r>
        <w:t xml:space="preserve">legal hold, spillage records-disposition (Section 11), and host-nation labor and</w:t>
      </w:r>
      <w:r>
        <w:t xml:space="preserve"> </w:t>
      </w:r>
      <w:r>
        <w:t xml:space="preserve">export-control questions before the related provisions take effect.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Department Heads.</w:t>
      </w:r>
      <w:r>
        <w:t xml:space="preserve"> </w:t>
      </w:r>
      <w:r>
        <w:rPr>
          <w:b/>
          <w:bCs/>
        </w:rPr>
        <w:t xml:space="preserve">Own, feed, and control access to their department’s repository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5.a)</w:t>
      </w:r>
      <w:r>
        <w:t xml:space="preserve"> </w:t>
      </w:r>
      <w:r>
        <w:t xml:space="preserve">and are responsible for its content and releasability;</w:t>
      </w:r>
      <w:r>
        <w:t xml:space="preserve"> </w:t>
      </w:r>
      <w:r>
        <w:rPr>
          <w:b/>
          <w:bCs/>
        </w:rPr>
        <w:t xml:space="preserve">propose</w:t>
      </w:r>
      <w:r>
        <w:t xml:space="preserve"> </w:t>
      </w:r>
      <w:r>
        <w:t xml:space="preserve">use cases</w:t>
      </w:r>
      <w:r>
        <w:t xml:space="preserve"> </w:t>
      </w:r>
      <w:r>
        <w:t xml:space="preserve">for their departments (CHENG concurs on technical scope per 8.c; CIO validates</w:t>
      </w:r>
      <w:r>
        <w:t xml:space="preserve"> </w:t>
      </w:r>
      <w:r>
        <w:t xml:space="preserve">platform/security);</w:t>
      </w:r>
      <w:r>
        <w:t xml:space="preserve"> </w:t>
      </w:r>
      <w:r>
        <w:rPr>
          <w:b/>
          <w:bCs/>
        </w:rPr>
        <w:t xml:space="preserve">designate the department’s authoritative AI content evaluator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6.b)</w:t>
      </w:r>
      <w:r>
        <w:t xml:space="preserve"> </w:t>
      </w:r>
      <w:r>
        <w:t xml:space="preserve">and own the authoritative evaluation of their department’s AI content;</w:t>
      </w:r>
      <w:r>
        <w:t xml:space="preserve"> </w:t>
      </w:r>
      <w:r>
        <w:t xml:space="preserve">enforce the human-in-the-loop and least-privilege requirements; submit their use cases</w:t>
      </w:r>
      <w:r>
        <w:t xml:space="preserve"> </w:t>
      </w:r>
      <w:r>
        <w:t xml:space="preserve">to the inventory; and</w:t>
      </w:r>
      <w:r>
        <w:t xml:space="preserve"> </w:t>
      </w:r>
      <w:r>
        <w:rPr>
          <w:b/>
          <w:bCs/>
        </w:rPr>
        <w:t xml:space="preserve">develop and maintain the department’s information-governance plan</w:t>
      </w:r>
      <w:r>
        <w:rPr>
          <w:b/>
          <w:bCs/>
        </w:rPr>
        <w:t xml:space="preserve"> </w:t>
      </w:r>
      <w:r>
        <w:rPr>
          <w:b/>
          <w:bCs/>
        </w:rPr>
        <w:t xml:space="preserve">before access (Section 15)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End Users.</w:t>
      </w:r>
      <w:r>
        <w:t xml:space="preserve"> </w:t>
      </w:r>
      <w:r>
        <w:t xml:space="preserve">Verify every AI output against authoritative sources (Section 6.d),</w:t>
      </w:r>
      <w:r>
        <w:t xml:space="preserve"> </w:t>
      </w:r>
      <w:r>
        <w:t xml:space="preserve">apply CUI markings, use only authorized data, and report anomalies and incidents.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AI use-case inventory and governance forum.</w:t>
      </w:r>
      <w:r>
        <w:t xml:space="preserve"> </w:t>
      </w:r>
      <w:r>
        <w:t xml:space="preserve">The command maintains an AI use-case</w:t>
      </w:r>
      <w:r>
        <w:t xml:space="preserve"> </w:t>
      </w:r>
      <w:r>
        <w:t xml:space="preserve">inventory, each use case classified by risk (7.d). The</w:t>
      </w:r>
      <w:r>
        <w:t xml:space="preserve"> </w:t>
      </w:r>
      <w:r>
        <w:rPr>
          <w:b/>
          <w:bCs/>
        </w:rPr>
        <w:t xml:space="preserve">Department Heads review the</w:t>
      </w:r>
      <w:r>
        <w:rPr>
          <w:b/>
          <w:bCs/>
        </w:rPr>
        <w:t xml:space="preserve"> </w:t>
      </w:r>
      <w:r>
        <w:rPr>
          <w:b/>
          <w:bCs/>
        </w:rPr>
        <w:t xml:space="preserve">inventory for continuance of approval quarterly</w:t>
      </w:r>
      <w:r>
        <w:t xml:space="preserve">, as the command’s AI governance forum;</w:t>
      </w:r>
      <w:r>
        <w:t xml:space="preserve"> </w:t>
      </w:r>
      <w:r>
        <w:t xml:space="preserve">no new committee is created.</w:t>
      </w:r>
    </w:p>
    <w:bookmarkEnd w:id="21"/>
    <w:bookmarkStart w:id="22" w:name="monitoring-and-oversight"/>
    <w:p>
      <w:pPr>
        <w:pStyle w:val="Heading2"/>
      </w:pPr>
      <w:r>
        <w:t xml:space="preserve">9. Monitoring and oversight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Continuous Monitoring (ConMon).</w:t>
      </w:r>
      <w:r>
        <w:t xml:space="preserve"> </w:t>
      </w:r>
      <w:r>
        <w:t xml:space="preserve">The ISSM extends the command’s continuous-monitoring</w:t>
      </w:r>
      <w:r>
        <w:t xml:space="preserve"> </w:t>
      </w:r>
      <w:r>
        <w:t xml:space="preserve">program to AI-specific signals: CUI/PII/PHI leakage, prompt injection, model drift,</w:t>
      </w:r>
      <w:r>
        <w:t xml:space="preserve"> </w:t>
      </w:r>
      <w:r>
        <w:t xml:space="preserve">anomalous or unexpected outputs, and shadow (unapproved) AI use. This is independent</w:t>
      </w:r>
      <w:r>
        <w:t xml:space="preserve"> </w:t>
      </w:r>
      <w:r>
        <w:t xml:space="preserve">oversight of AI</w:t>
      </w:r>
      <w:r>
        <w:t xml:space="preserve"> </w:t>
      </w:r>
      <w:r>
        <w:rPr>
          <w:b/>
          <w:bCs/>
        </w:rPr>
        <w:t xml:space="preserve">system use</w:t>
      </w:r>
      <w:r>
        <w:t xml:space="preserve">, distinct from verifying a work product, and it is the</w:t>
      </w:r>
      <w:r>
        <w:t xml:space="preserve"> </w:t>
      </w:r>
      <w:r>
        <w:t xml:space="preserve">detection layer behind the ingress controls in Section 4.c.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Work-product verification stays in Quality Assurance.</w:t>
      </w:r>
      <w:r>
        <w:t xml:space="preserve"> </w:t>
      </w:r>
      <w:r>
        <w:t xml:space="preserve">Verifying an AI-influenced</w:t>
      </w:r>
      <w:r>
        <w:t xml:space="preserve"> </w:t>
      </w:r>
      <w:r>
        <w:t xml:space="preserve">work product is performed through the command’s existing Quality Assurance checkpoint</w:t>
      </w:r>
      <w:r>
        <w:t xml:space="preserve"> </w:t>
      </w:r>
      <w:r>
        <w:t xml:space="preserve">system and the CHENG chain. The command does not stand up a separate AI audit shop.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Quality and drift.</w:t>
      </w:r>
      <w:r>
        <w:t xml:space="preserve"> </w:t>
      </w:r>
      <w:r>
        <w:t xml:space="preserve">Monitoring covers output quality and model drift, not only cost</w:t>
      </w:r>
      <w:r>
        <w:t xml:space="preserve"> </w:t>
      </w:r>
      <w:r>
        <w:t xml:space="preserve">(Annex A). Repeated or unexpected outputs, and the prompts that produced them, are reported</w:t>
      </w:r>
      <w:r>
        <w:t xml:space="preserve"> </w:t>
      </w:r>
      <w:r>
        <w:t xml:space="preserve">to the ISSM as possible model or security indicators.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Program metrics.</w:t>
      </w:r>
      <w:r>
        <w:t xml:space="preserve"> </w:t>
      </w:r>
      <w:r>
        <w:t xml:space="preserve">The command tracks whether the governance is working — user</w:t>
      </w:r>
      <w:r>
        <w:t xml:space="preserve"> </w:t>
      </w:r>
      <w:r>
        <w:t xml:space="preserve">awareness, compliance, and incident trend — not only platform usage.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Time-savings tracking (per project).</w:t>
      </w:r>
      <w:r>
        <w:t xml:space="preserve"> </w:t>
      </w:r>
      <w:r>
        <w:t xml:space="preserve">Consistent with Department of the Navy direction</w:t>
      </w:r>
      <w:r>
        <w:t xml:space="preserve"> </w:t>
      </w:r>
      <w:r>
        <w:t xml:space="preserve">(reference (g)), each approved use case tracks its own baseline (manual) versus AI-assisted</w:t>
      </w:r>
      <w:r>
        <w:t xml:space="preserve"> </w:t>
      </w:r>
      <w:r>
        <w:t xml:space="preserve">task time and reports the result through the department’s plan (Section 15) and the governance</w:t>
      </w:r>
      <w:r>
        <w:t xml:space="preserve"> </w:t>
      </w:r>
      <w:r>
        <w:t xml:space="preserve">forum (Section 8.g). The pilot (Section 14) establishes the baselines and the tracking method.</w:t>
      </w:r>
    </w:p>
    <w:bookmarkEnd w:id="22"/>
    <w:bookmarkStart w:id="23" w:name="records-management-and-legal-hold"/>
    <w:p>
      <w:pPr>
        <w:pStyle w:val="Heading2"/>
      </w:pPr>
      <w:r>
        <w:t xml:space="preserve">10. Records management and legal hold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Agentic logs are Federal Records.</w:t>
      </w:r>
      <w:r>
        <w:t xml:space="preserve"> </w:t>
      </w:r>
      <w:r>
        <w:t xml:space="preserve">An agent’s prompts and chain-of-thought are</w:t>
      </w:r>
      <w:r>
        <w:t xml:space="preserve"> </w:t>
      </w:r>
      <w:r>
        <w:t xml:space="preserve">decision-support artifacts and potential evidence in a Judge Advocate General Manual</w:t>
      </w:r>
      <w:r>
        <w:t xml:space="preserve"> </w:t>
      </w:r>
      <w:r>
        <w:t xml:space="preserve">(JAGMAN) safety or mishap investigation, subject to Freedom of Information Act (FOIA) and</w:t>
      </w:r>
      <w:r>
        <w:t xml:space="preserve"> </w:t>
      </w:r>
      <w:r>
        <w:t xml:space="preserve">records obligations. They are not ephemeral chat.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Retention and hold.</w:t>
      </w:r>
      <w:r>
        <w:t xml:space="preserve"> </w:t>
      </w:r>
      <w:r>
        <w:t xml:space="preserve">AI interaction logs are retained per the applicable records</w:t>
      </w:r>
      <w:r>
        <w:t xml:space="preserve"> </w:t>
      </w:r>
      <w:r>
        <w:t xml:space="preserve">schedule, with a legal-hold capability, and are managed in accordance with the records program</w:t>
      </w:r>
      <w:r>
        <w:t xml:space="preserve"> </w:t>
      </w:r>
      <w:r>
        <w:t xml:space="preserve">(reference (m)) and the SORM (reference (n)). Using AI does not waive any records, FOIA, or</w:t>
      </w:r>
      <w:r>
        <w:t xml:space="preserve"> </w:t>
      </w:r>
      <w:r>
        <w:t xml:space="preserve">privacy obligation.</w:t>
      </w:r>
      <w:r>
        <w:t xml:space="preserve"> </w:t>
      </w:r>
      <w:r>
        <w:rPr>
          <w:b/>
          <w:bCs/>
        </w:rPr>
        <w:t xml:space="preserve">Legal concurs</w:t>
      </w:r>
      <w:r>
        <w:t xml:space="preserve"> </w:t>
      </w:r>
      <w:r>
        <w:t xml:space="preserve">on retention and hold. (For the spillage exception to</w:t>
      </w:r>
      <w:r>
        <w:t xml:space="preserve"> </w:t>
      </w:r>
      <w:r>
        <w:t xml:space="preserve">ordinary retention, see Section 11.a.)</w:t>
      </w:r>
    </w:p>
    <w:bookmarkEnd w:id="23"/>
    <w:bookmarkStart w:id="24" w:name="incident-reporting"/>
    <w:p>
      <w:pPr>
        <w:pStyle w:val="Heading2"/>
      </w:pPr>
      <w:r>
        <w:t xml:space="preserve">11. Incident reporting</w:t>
      </w:r>
    </w:p>
    <w:p>
      <w:pPr>
        <w:pStyle w:val="FirstParagraph"/>
      </w:pPr>
      <w:r>
        <w:t xml:space="preserve">The reporting chain depends on the type of incident: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Spillage (security).</w:t>
      </w:r>
      <w:r>
        <w:t xml:space="preserve"> </w:t>
      </w:r>
      <w:r>
        <w:t xml:space="preserve">If classified information or NNPI is entered into askSage, or</w:t>
      </w:r>
      <w:r>
        <w:t xml:space="preserve"> </w:t>
      </w:r>
      <w:r>
        <w:t xml:space="preserve">the AI outputs apparent classified material through aggregation, the user immediately</w:t>
      </w:r>
      <w:r>
        <w:t xml:space="preserve"> </w:t>
      </w:r>
      <w:r>
        <w:t xml:space="preserve">stops the session and</w:t>
      </w:r>
      <w:r>
        <w:t xml:space="preserve"> </w:t>
      </w:r>
      <w:r>
        <w:rPr>
          <w:b/>
          <w:bCs/>
        </w:rPr>
        <w:t xml:space="preserve">does not delete the prompt</w:t>
      </w:r>
      <w:r>
        <w:t xml:space="preserve"> </w:t>
      </w:r>
      <w:r>
        <w:t xml:space="preserve">(preserve it for forensics), and</w:t>
      </w:r>
      <w:r>
        <w:t xml:space="preserve"> </w:t>
      </w:r>
      <w:r>
        <w:t xml:space="preserve">notifies the Security Manager and ISSM. The spilled material is then</w:t>
      </w:r>
      <w:r>
        <w:t xml:space="preserve"> </w:t>
      </w:r>
      <w:r>
        <w:rPr>
          <w:b/>
          <w:bCs/>
        </w:rPr>
        <w:t xml:space="preserve">isolated and routed</w:t>
      </w:r>
      <w:r>
        <w:rPr>
          <w:b/>
          <w:bCs/>
        </w:rPr>
        <w:t xml:space="preserve"> </w:t>
      </w:r>
      <w:r>
        <w:rPr>
          <w:b/>
          <w:bCs/>
        </w:rPr>
        <w:t xml:space="preserve">to the formal security spillage-cleanup and records-disposition process</w:t>
      </w:r>
      <w:r>
        <w:t xml:space="preserve"> </w:t>
      </w:r>
      <w:r>
        <w:t xml:space="preserve">— including</w:t>
      </w:r>
      <w:r>
        <w:t xml:space="preserve"> </w:t>
      </w:r>
      <w:r>
        <w:t xml:space="preserve">emergency destruction of the affected records where authorized —</w:t>
      </w:r>
      <w:r>
        <w:t xml:space="preserve"> </w:t>
      </w:r>
      <w:r>
        <w:rPr>
          <w:b/>
          <w:bCs/>
        </w:rPr>
        <w:t xml:space="preserve">only after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Manager and Legal adjudication.</w:t>
      </w:r>
      <w:r>
        <w:t xml:space="preserve"> </w:t>
      </w:r>
      <w:r>
        <w:t xml:space="preserve">Emergency destruction of a spilled record that is a</w:t>
      </w:r>
      <w:r>
        <w:t xml:space="preserve"> </w:t>
      </w:r>
      <w:r>
        <w:t xml:space="preserve">continuing menace is authorized under 36 CFR § 1229.10 and the emergency-destruction</w:t>
      </w:r>
      <w:r>
        <w:t xml:space="preserve"> </w:t>
      </w:r>
      <w:r>
        <w:t xml:space="preserve">provisions of the records program (references (j) and (m)); cyber-incident reporting follows</w:t>
      </w:r>
      <w:r>
        <w:t xml:space="preserve"> </w:t>
      </w:r>
      <w:r>
        <w:t xml:space="preserve">reference (k). This is the deliberate exception to ordinary records retention (Section 10): a</w:t>
      </w:r>
      <w:r>
        <w:t xml:space="preserve"> </w:t>
      </w:r>
      <w:r>
        <w:t xml:space="preserve">spilled classified record is not preserved as a permanent record inside the CUI/IL5 store.</w:t>
      </w:r>
      <w:r>
        <w:t xml:space="preserve"> </w:t>
      </w:r>
      <w:r>
        <w:t xml:space="preserve">Report through security channels, including the Naval Criminal Investigative Service (NCIS) as</w:t>
      </w:r>
      <w:r>
        <w:t xml:space="preserve"> </w:t>
      </w:r>
      <w:r>
        <w:t xml:space="preserve">required.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align this flow with the command’s own spillage standard operating procedure.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Safety mishap (hallucination-driven).</w:t>
      </w:r>
      <w:r>
        <w:t xml:space="preserve"> </w:t>
      </w:r>
      <w:r>
        <w:t xml:space="preserve">If an AI error contributes to a safety or</w:t>
      </w:r>
      <w:r>
        <w:t xml:space="preserve"> </w:t>
      </w:r>
      <w:r>
        <w:t xml:space="preserve">quality mishap, it is reported and investigated through the command’s safety and JAGMAN</w:t>
      </w:r>
      <w:r>
        <w:t xml:space="preserve"> </w:t>
      </w:r>
      <w:r>
        <w:t xml:space="preserve">channels.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Rogue or anomalous agent behavior, or suspected prompt injection.</w:t>
      </w:r>
      <w:r>
        <w:t xml:space="preserve"> </w:t>
      </w:r>
      <w:r>
        <w:t xml:space="preserve">Suspected prompt</w:t>
      </w:r>
      <w:r>
        <w:t xml:space="preserve"> </w:t>
      </w:r>
      <w:r>
        <w:t xml:space="preserve">injection (input crafted to make the AI bypass its safeguards or execute unauthorized logic) is</w:t>
      </w:r>
      <w:r>
        <w:t xml:space="preserve"> </w:t>
      </w:r>
      <w:r>
        <w:t xml:space="preserve">reported as a cybersecurity incident. If an agent loops, behaves erratically, or</w:t>
      </w:r>
      <w:r>
        <w:t xml:space="preserve"> </w:t>
      </w:r>
      <w:r>
        <w:t xml:space="preserve">attempts unauthorized access, the user halts it (Section 7.e) and reports to the IT help</w:t>
      </w:r>
      <w:r>
        <w:t xml:space="preserve"> </w:t>
      </w:r>
      <w:r>
        <w:t xml:space="preserve">desk and ISSM.</w:t>
      </w:r>
    </w:p>
    <w:bookmarkEnd w:id="24"/>
    <w:bookmarkStart w:id="25" w:name="operational-resiliency-ddil"/>
    <w:p>
      <w:pPr>
        <w:pStyle w:val="Heading2"/>
      </w:pPr>
      <w:r>
        <w:t xml:space="preserve">12. Operational resiliency (DDIL)</w:t>
      </w:r>
    </w:p>
    <w:p>
      <w:pPr>
        <w:numPr>
          <w:ilvl w:val="0"/>
          <w:numId w:val="1019"/>
        </w:numPr>
      </w:pPr>
      <w:r>
        <w:t xml:space="preserve">Ship repair occurs in connectivity-degraded spaces (Disconnected, Degraded,</w:t>
      </w:r>
      <w:r>
        <w:t xml:space="preserve"> </w:t>
      </w:r>
      <w:r>
        <w:t xml:space="preserve">Intermittent, Low-bandwidth, DDIL). No work center shall adopt an askSage-dependent</w:t>
      </w:r>
      <w:r>
        <w:t xml:space="preserve"> </w:t>
      </w:r>
      <w:r>
        <w:t xml:space="preserve">workflow that cannot be reverted to a manual procedure</w:t>
      </w:r>
      <w:r>
        <w:t xml:space="preserve"> </w:t>
      </w:r>
      <w:r>
        <w:rPr>
          <w:b/>
          <w:bCs/>
        </w:rPr>
        <w:t xml:space="preserve">immediately</w:t>
      </w:r>
      <w:r>
        <w:t xml:space="preserve">. Every AI-enabled</w:t>
      </w:r>
      <w:r>
        <w:t xml:space="preserve"> </w:t>
      </w:r>
      <w:r>
        <w:t xml:space="preserve">workflow must have an immediately-available manual fallback,</w:t>
      </w:r>
      <w:r>
        <w:t xml:space="preserve"> </w:t>
      </w:r>
      <w:r>
        <w:rPr>
          <w:b/>
          <w:bCs/>
        </w:rPr>
        <w:t xml:space="preserve">documented in the department’s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information-governance plan (Section 15)</w:t>
      </w:r>
      <w:r>
        <w:t xml:space="preserve">; production never depends on</w:t>
      </w:r>
      <w:r>
        <w:t xml:space="preserve"> </w:t>
      </w:r>
      <w:r>
        <w:t xml:space="preserve">AI-system availability.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Manual-reversion certification.</w:t>
      </w:r>
      <w:r>
        <w:t xml:space="preserve"> </w:t>
      </w:r>
      <w:r>
        <w:t xml:space="preserve">On a set cadence (recommend quarterly), Department</w:t>
      </w:r>
      <w:r>
        <w:t xml:space="preserve"> </w:t>
      </w:r>
      <w:r>
        <w:t xml:space="preserve">Heads certify that each AI-enhanced workflow in their department can be executed on the</w:t>
      </w:r>
      <w:r>
        <w:t xml:space="preserve"> </w:t>
      </w:r>
      <w:r>
        <w:t xml:space="preserve">minimum baseline (manual or legacy IT) if the platform or off-island connectivity is lost.</w:t>
      </w:r>
      <w:r>
        <w:t xml:space="preserve"> </w:t>
      </w:r>
      <w:r>
        <w:t xml:space="preserve">AI-generated templates and scripts must be maintainable by human staff offline.</w:t>
      </w:r>
    </w:p>
    <w:bookmarkEnd w:id="25"/>
    <w:bookmarkStart w:id="26" w:name="training"/>
    <w:p>
      <w:pPr>
        <w:pStyle w:val="Heading2"/>
      </w:pPr>
      <w:r>
        <w:t xml:space="preserve">13. Training</w:t>
      </w:r>
    </w:p>
    <w:p>
      <w:pPr>
        <w:numPr>
          <w:ilvl w:val="0"/>
          <w:numId w:val="1020"/>
        </w:numPr>
      </w:pPr>
      <w:r>
        <w:t xml:space="preserve">No account is issued before the user completes the command</w:t>
      </w:r>
      <w:r>
        <w:t xml:space="preserve"> </w:t>
      </w:r>
      <w:r>
        <w:t xml:space="preserve">“Responsible AI and Use”</w:t>
      </w:r>
      <w:r>
        <w:t xml:space="preserve"> </w:t>
      </w:r>
      <w:r>
        <w:t xml:space="preserve">training: authorized vs. prohibited data (Section 4), recognizing classification by</w:t>
      </w:r>
      <w:r>
        <w:t xml:space="preserve"> </w:t>
      </w:r>
      <w:r>
        <w:t xml:space="preserve">compilation in AI output (Section 4.e), the human-in-the-loop and technical-authority</w:t>
      </w:r>
      <w:r>
        <w:t xml:space="preserve"> </w:t>
      </w:r>
      <w:r>
        <w:t xml:space="preserve">rules (Section 6), recognizing AI errors (hallucinations), incident reporting</w:t>
      </w:r>
      <w:r>
        <w:t xml:space="preserve"> </w:t>
      </w:r>
      <w:r>
        <w:t xml:space="preserve">(Section 11), and efficient use.</w:t>
      </w:r>
    </w:p>
    <w:p>
      <w:pPr>
        <w:numPr>
          <w:ilvl w:val="0"/>
          <w:numId w:val="1020"/>
        </w:numPr>
      </w:pPr>
      <w:r>
        <w:t xml:space="preserve">Training is role-aware and not limited to end users. The oversight roles (CIO/ISSM,</w:t>
      </w:r>
      <w:r>
        <w:t xml:space="preserve"> </w:t>
      </w:r>
      <w:r>
        <w:t xml:space="preserve">CHENG-chain approvers, Department Heads) are trained for their governance</w:t>
      </w:r>
      <w:r>
        <w:t xml:space="preserve"> </w:t>
      </w:r>
      <w:r>
        <w:t xml:space="preserve">responsibilities. Training recurs; it is not one-and-done.</w:t>
      </w:r>
    </w:p>
    <w:p>
      <w:pPr>
        <w:numPr>
          <w:ilvl w:val="0"/>
          <w:numId w:val="1020"/>
        </w:numPr>
      </w:pPr>
      <w:r>
        <w:t xml:space="preserve">Recommended technique: demonstrate a real AI error (for example a fabricated torque</w:t>
      </w:r>
      <w:r>
        <w:t xml:space="preserve"> </w:t>
      </w:r>
      <w:r>
        <w:t xml:space="preserve">value or a non-existent reference) during onboarding to inoculate against automation bias.</w:t>
      </w:r>
    </w:p>
    <w:bookmarkEnd w:id="26"/>
    <w:bookmarkStart w:id="27" w:name="implementation"/>
    <w:p>
      <w:pPr>
        <w:pStyle w:val="Heading2"/>
      </w:pPr>
      <w:r>
        <w:t xml:space="preserve">14. Implementation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Design first, then phase.</w:t>
      </w:r>
      <w:r>
        <w:t xml:space="preserve"> </w:t>
      </w:r>
      <w:r>
        <w:t xml:space="preserve">This instruction is the full design. Roll it out in</w:t>
      </w:r>
      <w:r>
        <w:t xml:space="preserve"> </w:t>
      </w:r>
      <w:r>
        <w:t xml:space="preserve">phases by use case and department, not by shipping a partial policy and adding controls</w:t>
      </w:r>
      <w:r>
        <w:t xml:space="preserve"> </w:t>
      </w:r>
      <w:r>
        <w:t xml:space="preserve">later.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Pilot.</w:t>
      </w:r>
      <w:r>
        <w:t xml:space="preserve"> </w:t>
      </w:r>
      <w:r>
        <w:t xml:space="preserve">Begin with a small set of low-risk, high-value, read-only use cases to</w:t>
      </w:r>
      <w:r>
        <w:t xml:space="preserve"> </w:t>
      </w:r>
      <w:r>
        <w:t xml:space="preserve">exercise the governance before extending to write-enabled or higher-risk uses. The pilot</w:t>
      </w:r>
      <w:r>
        <w:t xml:space="preserve"> </w:t>
      </w:r>
      <w:r>
        <w:t xml:space="preserve">establishes task baselines and the per-project time-savings tracking method (Section 9.e).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Framework alignment and review.</w:t>
      </w:r>
      <w:r>
        <w:t xml:space="preserve"> </w:t>
      </w:r>
      <w:r>
        <w:t xml:space="preserve">This instruction is mapped to recognized frameworks for</w:t>
      </w:r>
      <w:r>
        <w:t xml:space="preserve"> </w:t>
      </w:r>
      <w:r>
        <w:t xml:space="preserve">defensibility — the DoD AI Ethical Principles and the NIST AI Risk Management Framework</w:t>
      </w:r>
      <w:r>
        <w:t xml:space="preserve"> </w:t>
      </w:r>
      <w:r>
        <w:t xml:space="preserve">functions (Govern, Map, Measure, Manage) — and it is reviewed and updated at least annually and</w:t>
      </w:r>
      <w:r>
        <w:t xml:space="preserve"> </w:t>
      </w:r>
      <w:r>
        <w:t xml:space="preserve">upon any significant change (a new use-case class, a platform change, or a change in governing</w:t>
      </w:r>
      <w:r>
        <w:t xml:space="preserve"> </w:t>
      </w:r>
      <w:r>
        <w:t xml:space="preserve">policy). The CIO, with the CHENG and Legal, owns the review.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Data residency.</w:t>
      </w:r>
      <w:r>
        <w:t xml:space="preserve"> </w:t>
      </w:r>
      <w:r>
        <w:t xml:space="preserve">Source data resides in the Navy’s Flank Speed environment, which</w:t>
      </w:r>
      <w:r>
        <w:t xml:space="preserve"> </w:t>
      </w:r>
      <w:r>
        <w:t xml:space="preserve">askSage connects to, and AI processing occurs within askSage’s IL5 ATO boundary — both</w:t>
      </w:r>
      <w:r>
        <w:t xml:space="preserve"> </w:t>
      </w:r>
      <w:r>
        <w:t xml:space="preserve">accredited — so residency and host-nation cryptographic requirements are expected to be</w:t>
      </w:r>
      <w:r>
        <w:t xml:space="preserve"> </w:t>
      </w:r>
      <w:r>
        <w:t xml:space="preserve">covered by those existing accreditations.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verify with the cognizant authority that the askSage ATO boundary and the Flank Speed connection satisfy the command’s data-residency and encryption posture.</w:t>
      </w:r>
    </w:p>
    <w:p>
      <w:r>
        <w:pict>
          <v:rect style="width:0;height:1.5pt" o:hralign="center" o:hrstd="t" o:hr="t"/>
        </w:pict>
      </w:r>
    </w:p>
    <w:bookmarkEnd w:id="27"/>
    <w:bookmarkStart w:id="28" w:name="X77895dd4303a196b1e7b47b31465cf66a1a934c"/>
    <w:p>
      <w:pPr>
        <w:pStyle w:val="Heading2"/>
      </w:pPr>
      <w:r>
        <w:t xml:space="preserve">15. Departmental information-governance plans</w:t>
      </w:r>
    </w:p>
    <w:p>
      <w:pPr>
        <w:pStyle w:val="FirstParagraph"/>
      </w:pPr>
      <w:r>
        <w:t xml:space="preserve">Each department stands up its own short information-governance plan for askSage, reflecting</w:t>
      </w:r>
      <w:r>
        <w:t xml:space="preserve"> </w:t>
      </w:r>
      <w:r>
        <w:t xml:space="preserve">common command expectations, before its people receive access. This instruction sets the</w:t>
      </w:r>
      <w:r>
        <w:t xml:space="preserve"> </w:t>
      </w:r>
      <w:r>
        <w:t xml:space="preserve">common floor; each code tailors it to its own work.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Access prerequisite.</w:t>
      </w:r>
      <w:r>
        <w:t xml:space="preserve"> </w:t>
      </w:r>
      <w:r>
        <w:t xml:space="preserve">Before a department’s personnel are granted askSage access, the</w:t>
      </w:r>
      <w:r>
        <w:t xml:space="preserve"> </w:t>
      </w:r>
      <w:r>
        <w:t xml:space="preserve">department develops a departmental information-governance plan for askSage, approved by the</w:t>
      </w:r>
      <w:r>
        <w:t xml:space="preserve"> </w:t>
      </w:r>
      <w:r>
        <w:t xml:space="preserve">Department Head. This complements individual training (Section 13): training qualifies the</w:t>
      </w:r>
      <w:r>
        <w:t xml:space="preserve"> </w:t>
      </w:r>
      <w:r>
        <w:rPr>
          <w:i/>
          <w:iCs/>
        </w:rPr>
        <w:t xml:space="preserve">user</w:t>
      </w:r>
      <w:r>
        <w:t xml:space="preserve">; the plan qualifies the</w:t>
      </w:r>
      <w:r>
        <w:t xml:space="preserve"> </w:t>
      </w:r>
      <w:r>
        <w:rPr>
          <w:i/>
          <w:iCs/>
        </w:rPr>
        <w:t xml:space="preserve">department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High-level expectations the plan reflects.</w:t>
      </w:r>
      <w:r>
        <w:t xml:space="preserve"> </w:t>
      </w:r>
      <w:r>
        <w:t xml:space="preserve">The plan is the department’s local</w:t>
      </w:r>
      <w:r>
        <w:t xml:space="preserve"> </w:t>
      </w:r>
      <w:r>
        <w:t xml:space="preserve">implementation of this instruction, grounded in industry best practice (the NIST AI Risk</w:t>
      </w:r>
      <w:r>
        <w:t xml:space="preserve"> </w:t>
      </w:r>
      <w:r>
        <w:t xml:space="preserve">Management Framework — Govern, Map, Measure, Manage) and Department practice (the DoD AI</w:t>
      </w:r>
      <w:r>
        <w:t xml:space="preserve"> </w:t>
      </w:r>
      <w:r>
        <w:t xml:space="preserve">Ethical Principles). At a minimum it addresses: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Accountability and evaluation</w:t>
      </w:r>
      <w:r>
        <w:t xml:space="preserve"> </w:t>
      </w:r>
      <w:r>
        <w:t xml:space="preserve">— the department’s accountable owner and its designated</w:t>
      </w:r>
      <w:r>
        <w:t xml:space="preserve"> </w:t>
      </w:r>
      <w:r>
        <w:t xml:space="preserve">authoritative AI content evaluator (Section 6.b).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 cases and risk</w:t>
      </w:r>
      <w:r>
        <w:t xml:space="preserve"> </w:t>
      </w:r>
      <w:r>
        <w:t xml:space="preserve">— the department’s approved askSage use cases, each classified by risk</w:t>
      </w:r>
      <w:r>
        <w:t xml:space="preserve"> </w:t>
      </w:r>
      <w:r>
        <w:t xml:space="preserve">(Section 7.d) and entered in the command inventory (Section 8.g).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boundaries</w:t>
      </w:r>
      <w:r>
        <w:t xml:space="preserve"> </w:t>
      </w:r>
      <w:r>
        <w:t xml:space="preserve">— the authorized data its use cases touch, and the prohibited-data line</w:t>
      </w:r>
      <w:r>
        <w:t xml:space="preserve"> </w:t>
      </w:r>
      <w:r>
        <w:t xml:space="preserve">(Section 4).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Repository and access</w:t>
      </w:r>
      <w:r>
        <w:t xml:space="preserve"> </w:t>
      </w:r>
      <w:r>
        <w:t xml:space="preserve">— the department’s repository, what it feeds into it, and who may</w:t>
      </w:r>
      <w:r>
        <w:t xml:space="preserve"> </w:t>
      </w:r>
      <w:r>
        <w:t xml:space="preserve">access it (Section 5).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— how the department applies authoritative evaluation and structured</w:t>
      </w:r>
      <w:r>
        <w:t xml:space="preserve"> </w:t>
      </w:r>
      <w:r>
        <w:t xml:space="preserve">approval to its AI output (Section 6).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Monitoring and records</w:t>
      </w:r>
      <w:r>
        <w:t xml:space="preserve"> </w:t>
      </w:r>
      <w:r>
        <w:t xml:space="preserve">— how the department supports continuous monitoring (Section 9)</w:t>
      </w:r>
      <w:r>
        <w:t xml:space="preserve"> </w:t>
      </w:r>
      <w:r>
        <w:t xml:space="preserve">and meets records and retention obligations (Section 10).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Manual fallback</w:t>
      </w:r>
      <w:r>
        <w:t xml:space="preserve"> </w:t>
      </w:r>
      <w:r>
        <w:t xml:space="preserve">— the documented immediate-reversion procedure for each AI-enabled</w:t>
      </w:r>
      <w:r>
        <w:t xml:space="preserve"> </w:t>
      </w:r>
      <w:r>
        <w:t xml:space="preserve">workflow (Section 12).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Living document.</w:t>
      </w:r>
      <w:r>
        <w:t xml:space="preserve"> </w:t>
      </w:r>
      <w:r>
        <w:t xml:space="preserve">The plan is maintained as the department’s use cases change and is</w:t>
      </w:r>
      <w:r>
        <w:t xml:space="preserve"> </w:t>
      </w:r>
      <w:r>
        <w:t xml:space="preserve">reviewed alongside the use-case inventory in the governance forum (Section 8.g).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provide a one-page departmental information-governance plan template so the plans are consistent across codes.</w:t>
      </w:r>
    </w:p>
    <w:p>
      <w:r>
        <w:pict>
          <v:rect style="width:0;height:1.5pt" o:hralign="center" o:hrstd="t" o:hr="t"/>
        </w:pict>
      </w:r>
    </w:p>
    <w:bookmarkEnd w:id="28"/>
    <w:bookmarkStart w:id="29" w:name="Xd40d045629625ce263b52cca08926d0495efa12"/>
    <w:p>
      <w:pPr>
        <w:pStyle w:val="Heading2"/>
      </w:pPr>
      <w:r>
        <w:t xml:space="preserve">Annex A — Token and compute management (administrative)</w:t>
      </w:r>
    </w:p>
    <w:p>
      <w:pPr>
        <w:pStyle w:val="FirstParagraph"/>
      </w:pPr>
      <w:r>
        <w:t xml:space="preserve">Cost control is a guardrail, not a governance pillar, administered as an IT standard</w:t>
      </w:r>
      <w:r>
        <w:t xml:space="preserve"> </w:t>
      </w:r>
      <w:r>
        <w:t xml:space="preserve">operating procedure. In a command where a missed undocking date costs far more than any</w:t>
      </w:r>
      <w:r>
        <w:t xml:space="preserve"> </w:t>
      </w:r>
      <w:r>
        <w:t xml:space="preserve">plausible compute spend, these controls exist to prevent runaway agents and waste, not to</w:t>
      </w:r>
      <w:r>
        <w:t xml:space="preserve"> </w:t>
      </w:r>
      <w:r>
        <w:t xml:space="preserve">ration mission work.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Runaway protection.</w:t>
      </w:r>
      <w:r>
        <w:t xml:space="preserve"> </w:t>
      </w:r>
      <w:r>
        <w:t xml:space="preserve">Autonomous agent workflows run with a maximum-step (iteration)</w:t>
      </w:r>
      <w:r>
        <w:t xml:space="preserve"> </w:t>
      </w:r>
      <w:r>
        <w:t xml:space="preserve">cap and an absolute time limit, so a stuck agent halts itself.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Budgets and alerts.</w:t>
      </w:r>
      <w:r>
        <w:t xml:space="preserve"> </w:t>
      </w:r>
      <w:r>
        <w:t xml:space="preserve">The CIO sets departmental compute budgets; usage alerts fire as</w:t>
      </w:r>
      <w:r>
        <w:t xml:space="preserve"> </w:t>
      </w:r>
      <w:r>
        <w:t xml:space="preserve">a department approaches its allocation.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Mission-critical override.</w:t>
      </w:r>
      <w:r>
        <w:t xml:space="preserve"> </w:t>
      </w:r>
      <w:r>
        <w:t xml:space="preserve">Departmental compute caps are for fiscal planning, not</w:t>
      </w:r>
      <w:r>
        <w:t xml:space="preserve"> </w:t>
      </w:r>
      <w:r>
        <w:t xml:space="preserve">operational denial. During emergent repairs or surge periods, the CIO is authorized to</w:t>
      </w:r>
      <w:r>
        <w:t xml:space="preserve"> </w:t>
      </w:r>
      <w:r>
        <w:t xml:space="preserve">reallocate compute to high-priority work (for example Level I components) regardless of</w:t>
      </w:r>
      <w:r>
        <w:t xml:space="preserve"> </w:t>
      </w:r>
      <w:r>
        <w:t xml:space="preserve">the initial departmental budget. Caps shall never stop mission-essential repair work.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Efficiency.</w:t>
      </w:r>
      <w:r>
        <w:t xml:space="preserve"> </w:t>
      </w:r>
      <w:r>
        <w:t xml:space="preserve">Indexing large references once at the repository level (Section 5) and a</w:t>
      </w:r>
      <w:r>
        <w:t xml:space="preserve"> </w:t>
      </w:r>
      <w:r>
        <w:t xml:space="preserve">shared, vetted prompt library reduce waste. Develop and test agents and agentic-workflow</w:t>
      </w:r>
      <w:r>
        <w:t xml:space="preserve"> </w:t>
      </w:r>
      <w:r>
        <w:t xml:space="preserve">prompts on GenAI.mil first, then run the finished workflow on askSage, to conserve askSage</w:t>
      </w:r>
      <w:r>
        <w:t xml:space="preserve"> </w:t>
      </w:r>
      <w:r>
        <w:t xml:space="preserve">tokens (Section 2).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5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SRF-JRMC askSage Governance Instruction (Working-Group Review)</dc:title>
  <dc:creator/>
  <cp:keywords/>
  <dcterms:created xsi:type="dcterms:W3CDTF">2026-06-22T01:21:20Z</dcterms:created>
  <dcterms:modified xsi:type="dcterms:W3CDTF">2026-06-22T01:21:20Z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