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askSage Pilot Authorization Memo (DRAFT)</w:t>
      </w:r>
    </w:p>
    <w:bookmarkStart w:id="9" w:name="department-of-the-navy"/>
    <w:p>
      <w:pPr>
        <w:pStyle w:val="Heading1"/>
      </w:pPr>
      <w:r>
        <w:t xml:space="preserve">DEPARTMENT OF THE NAVY</w:t>
      </w:r>
    </w:p>
    <w:p>
      <w:pPr>
        <w:pStyle w:val="FirstParagraph"/>
      </w:pPr>
      <w:r>
        <w:rPr>
          <w:b/>
          <w:bCs/>
        </w:rPr>
        <w:t xml:space="preserve">U.S. NAVAL SHIP REPAIR FACILITY AND JAPAN REGIONAL MAINTENANCE CENTER</w:t>
      </w:r>
      <w:r>
        <w:t xml:space="preserve"> </w:t>
      </w:r>
      <w:r>
        <w:rPr>
          <w:b/>
          <w:bCs/>
        </w:rPr>
        <w:t xml:space="preserve">PSC 473 BOX 8</w:t>
      </w:r>
      <w:r>
        <w:t xml:space="preserve"> </w:t>
      </w:r>
      <w:r>
        <w:rPr>
          <w:b/>
          <w:bCs/>
        </w:rPr>
        <w:t xml:space="preserve">FPO AP 96349-0008</w:t>
      </w:r>
    </w:p>
    <w:p>
      <w:pPr>
        <w:pStyle w:val="BodyText"/>
      </w:pPr>
      <w:r>
        <w:t xml:space="preserve">5239</w:t>
      </w:r>
      <w:r>
        <w:t xml:space="preserve"> </w:t>
      </w:r>
      <w:r>
        <w:t xml:space="preserve">Ser [FILL IN]</w:t>
      </w:r>
      <w:r>
        <w:t xml:space="preserve"> </w:t>
      </w:r>
      <w:r>
        <w:t xml:space="preserve">[FILL IN date]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Commanding Officer, U.S. Naval Ship Repair Facility and Japan Regional Maintenance Center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Distribution List</w:t>
      </w:r>
    </w:p>
    <w:p>
      <w:pPr>
        <w:pStyle w:val="BodyText"/>
      </w:pPr>
      <w:r>
        <w:rPr>
          <w:b/>
          <w:bCs/>
        </w:rPr>
        <w:t xml:space="preserve">Subj:</w:t>
      </w:r>
      <w:r>
        <w:t xml:space="preserve"> </w:t>
      </w:r>
      <w:r>
        <w:t xml:space="preserve">AUTHORIZATION OF A LIMITED PILOT OF THE ASKSAGE ARTIFICIAL INTELLIGENCE PLATFORM</w:t>
      </w:r>
    </w:p>
    <w:p>
      <w:pPr>
        <w:pStyle w:val="BodyText"/>
      </w:pPr>
      <w:r>
        <w:rPr>
          <w:b/>
          <w:bCs/>
        </w:rPr>
        <w:t xml:space="preserve">Ref:</w:t>
      </w:r>
      <w:r>
        <w:t xml:space="preserve"> </w:t>
      </w:r>
      <w:r>
        <w:t xml:space="preserve">- (a) Draft SRF-JRMC Instruction 5239.1, Governance, Security, and Use of the askSage Artificial Intelligence Platform (in working-group review)</w:t>
      </w:r>
      <w:r>
        <w:t xml:space="preserve"> </w:t>
      </w:r>
      <w:r>
        <w:t xml:space="preserve">- (b) DON CIO Memorandum, Enterprise IT Service Designation for GenAI.mil (28 January 2026)</w:t>
      </w:r>
      <w:r>
        <w:t xml:space="preserve"> </w:t>
      </w:r>
      <w:r>
        <w:t xml:space="preserve">- (c) DON CIO Memorandum, Accelerating AI Adoption / Measuring Time Savings (March 2026)</w:t>
      </w:r>
    </w:p>
    <w:p>
      <w:pPr>
        <w:pStyle w:val="BodyText"/>
      </w:pPr>
      <w:r>
        <w:rPr>
          <w:b/>
          <w:bCs/>
        </w:rPr>
        <w:t xml:space="preserve">Encl:</w:t>
      </w:r>
      <w:r>
        <w:t xml:space="preserve"> </w:t>
      </w:r>
      <w:r>
        <w:t xml:space="preserve">- (1) Departmental Information-Governance Plan (template)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This memorandum authorizes a limited, time-bounded pilot of the askSage</w:t>
      </w:r>
      <w:r>
        <w:t xml:space="preserve"> </w:t>
      </w:r>
      <w:r>
        <w:t xml:space="preserve">artificial intelligence (AI) platform. The pilot exercises the governance framework of</w:t>
      </w:r>
      <w:r>
        <w:t xml:space="preserve"> </w:t>
      </w:r>
      <w:r>
        <w:t xml:space="preserve">reference (a)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instruction is promulgated, in order to (a) validate the framework</w:t>
      </w:r>
      <w:r>
        <w:t xml:space="preserve"> </w:t>
      </w:r>
      <w:r>
        <w:t xml:space="preserve">with real command work, (b) generate measured time-savings data consistent with reference (c),</w:t>
      </w:r>
      <w:r>
        <w:t xml:space="preserve"> </w:t>
      </w:r>
      <w:r>
        <w:t xml:space="preserve">and (c) surface lessons that finalize reference (a) and document the command’s justification for</w:t>
      </w:r>
      <w:r>
        <w:t xml:space="preserve"> </w:t>
      </w:r>
      <w:r>
        <w:t xml:space="preserve">askSage as a separately-authorized, mission-specific agentic capability.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Background.</w:t>
      </w:r>
      <w:r>
        <w:t xml:space="preserve"> </w:t>
      </w:r>
      <w:r>
        <w:t xml:space="preserve">The command employs both the Department of the Navy enterprise platform</w:t>
      </w:r>
      <w:r>
        <w:t xml:space="preserve"> </w:t>
      </w:r>
      <w:r>
        <w:t xml:space="preserve">GenAI.mil and the askSage platform, using GenAI.mil for general questions and askSage for</w:t>
      </w:r>
      <w:r>
        <w:t xml:space="preserve"> </w:t>
      </w:r>
      <w:r>
        <w:t xml:space="preserve">agentic work, consistent with references (a) and (b). Reference (a) establishes the command’s</w:t>
      </w:r>
      <w:r>
        <w:t xml:space="preserve"> </w:t>
      </w:r>
      <w:r>
        <w:t xml:space="preserve">askSage governance and is in working-group review. A limited pilot under that draft framework</w:t>
      </w:r>
      <w:r>
        <w:t xml:space="preserve"> </w:t>
      </w:r>
      <w:r>
        <w:t xml:space="preserve">lets the command prove the controls, measure the benefit, and refine the instruction before it</w:t>
      </w:r>
      <w:r>
        <w:t xml:space="preserve"> </w:t>
      </w:r>
      <w:r>
        <w:t xml:space="preserve">is signed.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pilot is restricted to</w:t>
      </w:r>
      <w:r>
        <w:t xml:space="preserve"> </w:t>
      </w:r>
      <w:r>
        <w:rPr>
          <w:b/>
          <w:bCs/>
        </w:rPr>
        <w:t xml:space="preserve">low-risk, high-value, read-only</w:t>
      </w:r>
      <w:r>
        <w:t xml:space="preserve"> </w:t>
      </w:r>
      <w:r>
        <w:t xml:space="preserve">use cases. The</w:t>
      </w:r>
      <w:r>
        <w:t xml:space="preserve"> </w:t>
      </w:r>
      <w:r>
        <w:t xml:space="preserve">agentic</w:t>
      </w:r>
      <w:r>
        <w:t xml:space="preserve"> </w:t>
      </w:r>
      <w:r>
        <w:t xml:space="preserve">“write-action”</w:t>
      </w:r>
      <w:r>
        <w:t xml:space="preserve"> </w:t>
      </w:r>
      <w:r>
        <w:t xml:space="preserve">capabilities defined in reference (a), Section 7, are</w:t>
      </w:r>
      <w:r>
        <w:t xml:space="preserve"> </w:t>
      </w:r>
      <w:r>
        <w:rPr>
          <w:b/>
          <w:bCs/>
        </w:rPr>
        <w:t xml:space="preserve">prohibited for</w:t>
      </w:r>
      <w:r>
        <w:rPr>
          <w:b/>
          <w:bCs/>
        </w:rPr>
        <w:t xml:space="preserve"> </w:t>
      </w:r>
      <w:r>
        <w:rPr>
          <w:b/>
          <w:bCs/>
        </w:rPr>
        <w:t xml:space="preserve">the duration of this pilot</w:t>
      </w:r>
      <w:r>
        <w:t xml:space="preserve">; the pilot validates read-only decision support only. No</w:t>
      </w:r>
      <w:r>
        <w:t xml:space="preserve"> </w:t>
      </w:r>
      <w:r>
        <w:t xml:space="preserve">write-enabled, autonomous, or higher-risk use is authorized during the pilot.</w:t>
      </w:r>
    </w:p>
    <w:p>
      <w:pPr>
        <w:pStyle w:val="Compact"/>
        <w:numPr>
          <w:ilvl w:val="1"/>
          <w:numId w:val="1002"/>
        </w:numPr>
      </w:pPr>
      <w:r>
        <w:t xml:space="preserve">Participating departments (codes): [FILL IN].</w:t>
      </w:r>
    </w:p>
    <w:p>
      <w:pPr>
        <w:pStyle w:val="Compact"/>
        <w:numPr>
          <w:ilvl w:val="1"/>
          <w:numId w:val="1002"/>
        </w:numPr>
      </w:pPr>
      <w:r>
        <w:t xml:space="preserve">Pilot use cases (one or two per participating code): [FILL IN].</w:t>
      </w:r>
    </w:p>
    <w:p>
      <w:pPr>
        <w:pStyle w:val="Compact"/>
        <w:numPr>
          <w:ilvl w:val="1"/>
          <w:numId w:val="1002"/>
        </w:numPr>
      </w:pPr>
      <w:r>
        <w:t xml:space="preserve">Pilot period: 90 days from the start date, [FILL IN start–end], unless extended or</w:t>
      </w:r>
      <w:r>
        <w:t xml:space="preserve"> </w:t>
      </w:r>
      <w:r>
        <w:t xml:space="preserve">terminated in writing.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Governance applies in full.</w:t>
      </w:r>
      <w:r>
        <w:t xml:space="preserve"> </w:t>
      </w:r>
      <w:r>
        <w:t xml:space="preserve">The pilot operates under the controls of reference (a). In</w:t>
      </w:r>
      <w:r>
        <w:t xml:space="preserve"> </w:t>
      </w:r>
      <w:r>
        <w:t xml:space="preserve">particular: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Pre-access gates.</w:t>
      </w:r>
      <w:r>
        <w:t xml:space="preserve"> </w:t>
      </w:r>
      <w:r>
        <w:t xml:space="preserve">Before its personnel receive pilot access, each participating</w:t>
      </w:r>
      <w:r>
        <w:t xml:space="preserve"> </w:t>
      </w:r>
      <w:r>
        <w:t xml:space="preserve">department completes the departmental information-governance plan (enclosure (1)), and each</w:t>
      </w:r>
      <w:r>
        <w:t xml:space="preserve"> </w:t>
      </w:r>
      <w:r>
        <w:t xml:space="preserve">user completes the</w:t>
      </w:r>
      <w:r>
        <w:t xml:space="preserve"> </w:t>
      </w:r>
      <w:r>
        <w:t xml:space="preserve">“Responsible AI and Use”</w:t>
      </w:r>
      <w:r>
        <w:t xml:space="preserve"> </w:t>
      </w:r>
      <w:r>
        <w:t xml:space="preserve">training (reference (a), Sections 13 and 15).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Data boundaries.</w:t>
      </w:r>
      <w:r>
        <w:t xml:space="preserve"> </w:t>
      </w:r>
      <w:r>
        <w:t xml:space="preserve">Controlled Unclassified Information (CUI) up to Impact Level 5 only.</w:t>
      </w:r>
      <w:r>
        <w:t xml:space="preserve"> </w:t>
      </w:r>
      <w:r>
        <w:rPr>
          <w:b/>
          <w:bCs/>
        </w:rPr>
        <w:t xml:space="preserve">No classified information, Naval Nuclear Propulsion Information (NNPI), Personally</w:t>
      </w:r>
      <w:r>
        <w:rPr>
          <w:b/>
          <w:bCs/>
        </w:rPr>
        <w:t xml:space="preserve"> </w:t>
      </w:r>
      <w:r>
        <w:rPr>
          <w:b/>
          <w:bCs/>
        </w:rPr>
        <w:t xml:space="preserve">Identifiable Information (PII), or Protected Health Information (PHI)</w:t>
      </w:r>
      <w:r>
        <w:t xml:space="preserve"> </w:t>
      </w:r>
      <w:r>
        <w:t xml:space="preserve">is to be entered</w:t>
      </w:r>
      <w:r>
        <w:t xml:space="preserve"> </w:t>
      </w:r>
      <w:r>
        <w:t xml:space="preserve">into askSage (reference (a), Section 4).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Human-in-the-loop.</w:t>
      </w:r>
      <w:r>
        <w:t xml:space="preserve"> </w:t>
      </w:r>
      <w:r>
        <w:t xml:space="preserve">All AI output is a non-authoritative draft, authoritatively</w:t>
      </w:r>
      <w:r>
        <w:t xml:space="preserve"> </w:t>
      </w:r>
      <w:r>
        <w:t xml:space="preserve">evaluated by the cognizant authority along existing lines of responsibility (reference (a),</w:t>
      </w:r>
      <w:r>
        <w:t xml:space="preserve"> </w:t>
      </w:r>
      <w:r>
        <w:t xml:space="preserve">Section 6). Anything bearing on a technical or seaworthiness determination is adjudicated in</w:t>
      </w:r>
      <w:r>
        <w:t xml:space="preserve"> </w:t>
      </w:r>
      <w:r>
        <w:t xml:space="preserve">the Chief Engineer’s chain.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Resiliency.</w:t>
      </w:r>
      <w:r>
        <w:t xml:space="preserve"> </w:t>
      </w:r>
      <w:r>
        <w:t xml:space="preserve">Every pilot workflow has an immediately-available manual fallback</w:t>
      </w:r>
      <w:r>
        <w:t xml:space="preserve"> </w:t>
      </w:r>
      <w:r>
        <w:t xml:space="preserve">(reference (a), Section 12).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Monitoring, records, incidents.</w:t>
      </w:r>
      <w:r>
        <w:t xml:space="preserve"> </w:t>
      </w:r>
      <w:r>
        <w:t xml:space="preserve">Per reference (a), Sections 9 through 11, including the</w:t>
      </w:r>
      <w:r>
        <w:t xml:space="preserve"> </w:t>
      </w:r>
      <w:r>
        <w:t xml:space="preserve">split incident-reporting chain (security spillage to the Security Manager and ISSM; safety</w:t>
      </w:r>
      <w:r>
        <w:t xml:space="preserve"> </w:t>
      </w:r>
      <w:r>
        <w:t xml:space="preserve">mishaps through safety/JAGMAN channels).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Metrics and time-savings tracking.</w:t>
      </w:r>
      <w:r>
        <w:t xml:space="preserve"> </w:t>
      </w:r>
      <w:r>
        <w:t xml:space="preserve">Each pilot use case establishes a manual (baseline)</w:t>
      </w:r>
      <w:r>
        <w:t xml:space="preserve"> </w:t>
      </w:r>
      <w:r>
        <w:t xml:space="preserve">task time and tracks baseline-versus-AI-assisted task time, reporting the result through the</w:t>
      </w:r>
      <w:r>
        <w:t xml:space="preserve"> </w:t>
      </w:r>
      <w:r>
        <w:t xml:space="preserve">department’s plan and the governance forum, consistent with reference (a), Section 9.e, and</w:t>
      </w:r>
      <w:r>
        <w:t xml:space="preserve"> </w:t>
      </w:r>
      <w:r>
        <w:t xml:space="preserve">reference (c). The command also tracks, for the pilot: security and spillage incidents (target:</w:t>
      </w:r>
      <w:r>
        <w:t xml:space="preserve"> </w:t>
      </w:r>
      <w:r>
        <w:t xml:space="preserve">zero), the effectiveness of the designated-evaluator sign-off, validation of the manual</w:t>
      </w:r>
      <w:r>
        <w:t xml:space="preserve"> </w:t>
      </w:r>
      <w:r>
        <w:t xml:space="preserve">fallback, and user adoption.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Responsibilities.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Command Information Officer (Code 109) and Information System Security Manager (ISSM):</w:t>
      </w:r>
      <w:r>
        <w:t xml:space="preserve"> </w:t>
      </w:r>
      <w:r>
        <w:t xml:space="preserve">provision pilot access and identity, run platform monitoring, support participating codes,</w:t>
      </w:r>
      <w:r>
        <w:t xml:space="preserve"> </w:t>
      </w:r>
      <w:r>
        <w:t xml:space="preserve">and consolidate the pilot reports in paragraph 7.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Chief Engineer (CHENG) and chain:</w:t>
      </w:r>
      <w:r>
        <w:t xml:space="preserve"> </w:t>
      </w:r>
      <w:r>
        <w:t xml:space="preserve">perform the technical/functional evaluation of any</w:t>
      </w:r>
      <w:r>
        <w:t xml:space="preserve"> </w:t>
      </w:r>
      <w:r>
        <w:t xml:space="preserve">pilot output touching their domain.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Participating Department Heads:</w:t>
      </w:r>
      <w:r>
        <w:t xml:space="preserve"> </w:t>
      </w:r>
      <w:r>
        <w:t xml:space="preserve">propose the pilot use cases, designate the authoritative</w:t>
      </w:r>
      <w:r>
        <w:t xml:space="preserve"> </w:t>
      </w:r>
      <w:r>
        <w:t xml:space="preserve">AI content evaluator, complete the departmental information-governance plan, enforce the</w:t>
      </w:r>
      <w:r>
        <w:t xml:space="preserve"> </w:t>
      </w:r>
      <w:r>
        <w:t xml:space="preserve">controls in paragraph 4, and track time savings (paragraph 5).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Governance forum (Department Heads):</w:t>
      </w:r>
      <w:r>
        <w:t xml:space="preserve"> </w:t>
      </w:r>
      <w:r>
        <w:t xml:space="preserve">review pilot progress and results.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Reporting and decision gate.</w:t>
      </w:r>
      <w:r>
        <w:t xml:space="preserve"> </w:t>
      </w:r>
      <w:r>
        <w:t xml:space="preserve">The Command Information Officer will provide an interim</w:t>
      </w:r>
      <w:r>
        <w:t xml:space="preserve"> </w:t>
      </w:r>
      <w:r>
        <w:t xml:space="preserve">report at the pilot midpoint and a final pilot report at completion to [the Executive Director /</w:t>
      </w:r>
      <w:r>
        <w:t xml:space="preserve"> </w:t>
      </w:r>
      <w:r>
        <w:t xml:space="preserve">the undersigned] and the working group. The final report will address the metrics in</w:t>
      </w:r>
      <w:r>
        <w:t xml:space="preserve"> </w:t>
      </w:r>
      <w:r>
        <w:t xml:space="preserve">paragraphs 5 and recommend whether to promulgate reference (a) and proceed to phased expansion,</w:t>
      </w:r>
      <w:r>
        <w:t xml:space="preserve"> </w:t>
      </w:r>
      <w:r>
        <w:t xml:space="preserve">with any adjustments the pilot indicates.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Point of contact.</w:t>
      </w:r>
      <w:r>
        <w:t xml:space="preserve"> </w:t>
      </w:r>
      <w:r>
        <w:t xml:space="preserve">[FILL IN — name / Code 109 / contact].</w:t>
      </w:r>
    </w:p>
    <w:p>
      <w:pPr>
        <w:pStyle w:val="FirstParagraph"/>
      </w:pPr>
      <w:r>
        <w:t xml:space="preserve">[FILL IN — Commanding Officer signature block]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[FILL IN — participating Department Heads (Codes [___]); CIO (Code 109)/ISSM;</w:t>
      </w:r>
      <w:r>
        <w:t xml:space="preserve"> </w:t>
      </w:r>
      <w:r>
        <w:t xml:space="preserve">CHENG; Staff Judge Advocate]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askSage Pilot Authorization Memo (DRAFT)</dc:title>
  <dc:creator/>
  <cp:keywords/>
  <dcterms:created xsi:type="dcterms:W3CDTF">2026-06-22T01:20:28Z</dcterms:created>
  <dcterms:modified xsi:type="dcterms:W3CDTF">2026-06-22T01:20:28Z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