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askSage Responsible AI and Use Training Plan</w:t>
      </w:r>
    </w:p>
    <w:bookmarkStart w:id="16" w:name="X732f5aad2d4852e802fd3dd55dff87f3109cb9c"/>
    <w:p>
      <w:pPr>
        <w:pStyle w:val="Heading1"/>
      </w:pPr>
      <w:r>
        <w:t xml:space="preserve">SRF-JRMC askSage</w:t>
      </w:r>
      <w:r>
        <w:t xml:space="preserve"> </w:t>
      </w:r>
      <w:r>
        <w:t xml:space="preserve">“Responsible AI and Use”</w:t>
      </w:r>
      <w:r>
        <w:t xml:space="preserve"> </w:t>
      </w:r>
      <w:r>
        <w:t xml:space="preserve">— Training Plan</w:t>
      </w:r>
    </w:p>
    <w:bookmarkStart w:id="9" w:name="purpose-and-gate"/>
    <w:p>
      <w:pPr>
        <w:pStyle w:val="Heading2"/>
      </w:pPr>
      <w:r>
        <w:t xml:space="preserve">1. Purpose and gate</w:t>
      </w:r>
    </w:p>
    <w:p>
      <w:pPr>
        <w:pStyle w:val="FirstParagraph"/>
      </w:pPr>
      <w:r>
        <w:t xml:space="preserve">No user receives an askSage account until they complete this training (instruction §13). It is</w:t>
      </w:r>
      <w:r>
        <w:t xml:space="preserve"> </w:t>
      </w:r>
      <w:r>
        <w:rPr>
          <w:b/>
          <w:bCs/>
        </w:rPr>
        <w:t xml:space="preserve">role-aware</w:t>
      </w:r>
      <w:r>
        <w:t xml:space="preserve">,</w:t>
      </w:r>
      <w:r>
        <w:t xml:space="preserve"> </w:t>
      </w:r>
      <w:r>
        <w:rPr>
          <w:b/>
          <w:bCs/>
        </w:rPr>
        <w:t xml:space="preserve">recurring (annual and on significant change)</w:t>
      </w:r>
      <w:r>
        <w:t xml:space="preserve">, and tracked in a registry</w:t>
      </w:r>
      <w:r>
        <w:t xml:space="preserve"> </w:t>
      </w:r>
      <w:r>
        <w:t xml:space="preserve">maintained by [the Department Training Coordinator / Code 1100 — FILL IN].</w:t>
      </w:r>
    </w:p>
    <w:bookmarkEnd w:id="9"/>
    <w:bookmarkStart w:id="10" w:name="X57b0f0cac7dc2e54f2ef6100c025aece4dc3e52"/>
    <w:p>
      <w:pPr>
        <w:pStyle w:val="Heading2"/>
      </w:pPr>
      <w:r>
        <w:t xml:space="preserve">2. Tier 1 — General AI literacy (SOURCE from existing DON/DoD material)</w:t>
      </w:r>
    </w:p>
    <w:p>
      <w:pPr>
        <w:pStyle w:val="FirstParagraph"/>
      </w:pPr>
      <w:r>
        <w:t xml:space="preserve">Do not rebuild what the Department already provides. Per the March-2026 DON CIO direction</w:t>
      </w:r>
      <w:r>
        <w:t xml:space="preserve"> </w:t>
      </w:r>
      <w:r>
        <w:t xml:space="preserve">(reference (g)), assign from the existing free resources, for example:</w:t>
      </w:r>
      <w:r>
        <w:t xml:space="preserve"> </w:t>
      </w:r>
      <w:r>
        <w:t xml:space="preserve">- GenAI.mil platform training (DoD/CDAO).</w:t>
      </w:r>
      <w:r>
        <w:t xml:space="preserve"> </w:t>
      </w:r>
      <w:r>
        <w:t xml:space="preserve">- Navy LinkedIn Learning AI courses; Google Skills AI training; Microsoft Copilot training.</w:t>
      </w:r>
      <w:r>
        <w:t xml:space="preserve"> </w:t>
      </w:r>
      <w:r>
        <w:t xml:space="preserve">- Naval Postgraduate School AI course offering.</w:t>
      </w:r>
      <w:r>
        <w:t xml:space="preserve"> </w:t>
      </w:r>
      <w:r>
        <w:t xml:space="preserve">- The DoD CDAO Responsible AI material / GenAI Toolkit.</w:t>
      </w:r>
    </w:p>
    <w:p>
      <w:pPr>
        <w:pStyle w:val="BodyText"/>
      </w:pPr>
      <w:r>
        <w:rPr>
          <w:i/>
          <w:iCs/>
        </w:rPr>
        <w:t xml:space="preserve">[FILL IN — the command selects the specific course(s) that cover: what generative and agentic</w:t>
      </w:r>
      <w:r>
        <w:rPr>
          <w:i/>
          <w:iCs/>
        </w:rPr>
        <w:t xml:space="preserve"> </w:t>
      </w:r>
      <w:r>
        <w:rPr>
          <w:i/>
          <w:iCs/>
        </w:rPr>
        <w:t xml:space="preserve">AI are; prompt basics; that models can be confidently wrong (hallucinations); responsible,</w:t>
      </w:r>
      <w:r>
        <w:rPr>
          <w:i/>
          <w:iCs/>
        </w:rPr>
        <w:t xml:space="preserve"> </w:t>
      </w:r>
      <w:r>
        <w:rPr>
          <w:i/>
          <w:iCs/>
        </w:rPr>
        <w:t xml:space="preserve">efficient use.]</w:t>
      </w:r>
      <w:r>
        <w:t xml:space="preserve"> </w:t>
      </w:r>
      <w:r>
        <w:t xml:space="preserve">Tier 1 establishes baseline literacy; it is not command-specific.</w:t>
      </w:r>
    </w:p>
    <w:bookmarkEnd w:id="10"/>
    <w:bookmarkStart w:id="11" w:name="tier-2-command-specific-module-develop"/>
    <w:p>
      <w:pPr>
        <w:pStyle w:val="Heading2"/>
      </w:pPr>
      <w:r>
        <w:t xml:space="preserve">3. Tier 2 — Command-specific module (DEVELOP)</w:t>
      </w:r>
    </w:p>
    <w:p>
      <w:pPr>
        <w:pStyle w:val="FirstParagraph"/>
      </w:pPr>
      <w:r>
        <w:t xml:space="preserve">A short SRF-JRMC module (target ~30–45 minutes) that Tier 1 does not cover, built directly on</w:t>
      </w:r>
      <w:r>
        <w:t xml:space="preserve"> </w:t>
      </w:r>
      <w:r>
        <w:t xml:space="preserve">the instruction. Learning objectives — on completion the user can: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Data boundaries (§4).</w:t>
      </w:r>
      <w:r>
        <w:t xml:space="preserve"> </w:t>
      </w:r>
      <w:r>
        <w:t xml:space="preserve">State what may go into askSage (CUI up to IL5) and what may never —</w:t>
      </w:r>
      <w:r>
        <w:t xml:space="preserve"> </w:t>
      </w:r>
      <w:r>
        <w:rPr>
          <w:b/>
          <w:bCs/>
        </w:rPr>
        <w:t xml:space="preserve">classified, NNPI, PII, PHI</w:t>
      </w:r>
      <w:r>
        <w:t xml:space="preserve"> </w:t>
      </w:r>
      <w:r>
        <w:t xml:space="preserve">— and recognize the aggregation/</w:t>
      </w:r>
      <w:r>
        <w:t xml:space="preserve">“mosaic”</w:t>
      </w:r>
      <w:r>
        <w:t xml:space="preserve"> </w:t>
      </w:r>
      <w:r>
        <w:t xml:space="preserve">risk.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AI is not an authority (§3, §6).</w:t>
      </w:r>
      <w:r>
        <w:t xml:space="preserve"> </w:t>
      </w:r>
      <w:r>
        <w:t xml:space="preserve">Explain that AI output is a non-authoritative draft, that</w:t>
      </w:r>
      <w:r>
        <w:t xml:space="preserve"> </w:t>
      </w:r>
      <w:r>
        <w:t xml:space="preserve">the cognizant authority along existing lines evaluates it, and that</w:t>
      </w:r>
      <w:r>
        <w:t xml:space="preserve"> </w:t>
      </w:r>
      <w:r>
        <w:t xml:space="preserve">“AI produced it”</w:t>
      </w:r>
      <w:r>
        <w:t xml:space="preserve"> </w:t>
      </w:r>
      <w:r>
        <w:t xml:space="preserve">is never</w:t>
      </w:r>
      <w:r>
        <w:t xml:space="preserve"> </w:t>
      </w:r>
      <w:r>
        <w:t xml:space="preserve">a defense for an error or a mismarked product.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Technical authority &amp; DFS (§6).</w:t>
      </w:r>
      <w:r>
        <w:t xml:space="preserve"> </w:t>
      </w:r>
      <w:r>
        <w:t xml:space="preserve">Recognize that anything touching a specification, tag-out,</w:t>
      </w:r>
      <w:r>
        <w:t xml:space="preserve"> </w:t>
      </w:r>
      <w:r>
        <w:t xml:space="preserve">or seaworthiness routes to the CHENG chain, and that AI output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by itself</w:t>
      </w:r>
      <w:r>
        <w:t xml:space="preserve"> </w:t>
      </w:r>
      <w:r>
        <w:t xml:space="preserve">justification for a Departure from Specification.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Out-of-band verification (§6.d).</w:t>
      </w:r>
      <w:r>
        <w:t xml:space="preserve"> </w:t>
      </w:r>
      <w:r>
        <w:t xml:space="preserve">Verify any AI-cited requirement against the controlling</w:t>
      </w:r>
      <w:r>
        <w:t xml:space="preserve"> </w:t>
      </w:r>
      <w:r>
        <w:t xml:space="preserve">document through a non-AI source — never trust the AI’s own snippet.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CUI marking (§4.f).</w:t>
      </w:r>
      <w:r>
        <w:t xml:space="preserve"> </w:t>
      </w:r>
      <w:r>
        <w:t xml:space="preserve">Apply CUI designation/marking to AI output as the authorized holder.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Export control / foreign disclosure (§7.c).</w:t>
      </w:r>
      <w:r>
        <w:t xml:space="preserve"> </w:t>
      </w:r>
      <w:r>
        <w:t xml:space="preserve">(Especially for Local National supervisors and</w:t>
      </w:r>
      <w:r>
        <w:t xml:space="preserve"> </w:t>
      </w:r>
      <w:r>
        <w:t xml:space="preserve">sponsors.) No use case exposes export-controlled (ITAR/EAR) or NOFORN data to a foreign</w:t>
      </w:r>
      <w:r>
        <w:t xml:space="preserve"> </w:t>
      </w:r>
      <w:r>
        <w:t xml:space="preserve">national through an agent; Foreign Disclosure and export-control processes still apply.</w:t>
      </w:r>
      <w:r>
        <w:t xml:space="preserve"> </w:t>
      </w:r>
      <w:r>
        <w:t xml:space="preserve">7.</w:t>
      </w:r>
      <w:r>
        <w:t xml:space="preserve"> </w:t>
      </w:r>
      <w:r>
        <w:rPr>
          <w:b/>
          <w:bCs/>
        </w:rPr>
        <w:t xml:space="preserve">Incident reporting (§11).</w:t>
      </w:r>
      <w:r>
        <w:t xml:space="preserve"> </w:t>
      </w:r>
      <w:r>
        <w:t xml:space="preserve">Know the split chains — spillage to the Security Manager/ISSM</w:t>
      </w:r>
      <w:r>
        <w:t xml:space="preserve"> </w:t>
      </w:r>
      <w:r>
        <w:t xml:space="preserve">(and NCIS); safety mishap to safety/JAGMAN; rogue agent or suspected</w:t>
      </w:r>
      <w:r>
        <w:t xml:space="preserve"> </w:t>
      </w:r>
      <w:r>
        <w:rPr>
          <w:b/>
          <w:bCs/>
        </w:rPr>
        <w:t xml:space="preserve">prompt injection</w:t>
      </w:r>
      <w:r>
        <w:t xml:space="preserve"> </w:t>
      </w:r>
      <w:r>
        <w:t xml:space="preserve">to</w:t>
      </w:r>
      <w:r>
        <w:t xml:space="preserve"> </w:t>
      </w:r>
      <w:r>
        <w:t xml:space="preserve">the ISSM.</w:t>
      </w:r>
      <w:r>
        <w:t xml:space="preserve"> </w:t>
      </w:r>
      <w:r>
        <w:t xml:space="preserve">8.</w:t>
      </w:r>
      <w:r>
        <w:t xml:space="preserve"> </w:t>
      </w:r>
      <w:r>
        <w:rPr>
          <w:b/>
          <w:bCs/>
        </w:rPr>
        <w:t xml:space="preserve">Resiliency (§12).</w:t>
      </w:r>
      <w:r>
        <w:t xml:space="preserve"> </w:t>
      </w:r>
      <w:r>
        <w:t xml:space="preserve">Know the workflow’s documented manual fallback.</w:t>
      </w:r>
    </w:p>
    <w:bookmarkEnd w:id="11"/>
    <w:bookmarkStart w:id="12" w:name="Xeef0dc89bd9ccf6964be237463245b034fe9c89"/>
    <w:p>
      <w:pPr>
        <w:pStyle w:val="Heading2"/>
      </w:pPr>
      <w:r>
        <w:t xml:space="preserve">4. Required exercise —</w:t>
      </w:r>
      <w:r>
        <w:t xml:space="preserve"> </w:t>
      </w:r>
      <w:r>
        <w:t xml:space="preserve">“show a real hallucination”</w:t>
      </w:r>
      <w:r>
        <w:t xml:space="preserve"> </w:t>
      </w:r>
      <w:r>
        <w:t xml:space="preserve">(§13.c)</w:t>
      </w:r>
    </w:p>
    <w:p>
      <w:pPr>
        <w:pStyle w:val="FirstParagraph"/>
      </w:pPr>
      <w:r>
        <w:t xml:space="preserve">The module</w:t>
      </w:r>
      <w:r>
        <w:t xml:space="preserve"> </w:t>
      </w:r>
      <w:r>
        <w:rPr>
          <w:b/>
          <w:bCs/>
        </w:rPr>
        <w:t xml:space="preserve">demonstrates a real AI error</w:t>
      </w:r>
      <w:r>
        <w:t xml:space="preserve"> </w:t>
      </w:r>
      <w:r>
        <w:t xml:space="preserve">during onboarding — e.g., the AI confidently</w:t>
      </w:r>
      <w:r>
        <w:t xml:space="preserve"> </w:t>
      </w:r>
      <w:r>
        <w:t xml:space="preserve">inventing a torque value, a NAVSEA Standard Item paragraph, or a citation that does not exist —</w:t>
      </w:r>
      <w:r>
        <w:t xml:space="preserve"> </w:t>
      </w:r>
      <w:r>
        <w:t xml:space="preserve">to inoculate users against automation bias. This is a live demonstration, not a slide.</w:t>
      </w:r>
    </w:p>
    <w:bookmarkEnd w:id="12"/>
    <w:bookmarkStart w:id="13" w:name="role-aware-add-ons"/>
    <w:p>
      <w:pPr>
        <w:pStyle w:val="Heading2"/>
      </w:pPr>
      <w:r>
        <w:t xml:space="preserve">5. Role-aware add-ons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Oversight roles</w:t>
      </w:r>
      <w:r>
        <w:t xml:space="preserve"> </w:t>
      </w:r>
      <w:r>
        <w:t xml:space="preserve">(CIO/ISSM, CHENG-chain evaluators, Department Heads, designated</w:t>
      </w:r>
      <w:r>
        <w:t xml:space="preserve"> </w:t>
      </w:r>
      <w:r>
        <w:t xml:space="preserve">authoritative AI content evaluators): an additional governance module on their</w:t>
      </w:r>
      <w:r>
        <w:t xml:space="preserve"> </w:t>
      </w:r>
      <w:r>
        <w:t xml:space="preserve">instruction responsibilities (use-case approval, evaluation, monitoring, the departmental</w:t>
      </w:r>
      <w:r>
        <w:t xml:space="preserve"> </w:t>
      </w:r>
      <w:r>
        <w:t xml:space="preserve">plan).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Designated evaluators:</w:t>
      </w:r>
      <w:r>
        <w:t xml:space="preserve"> </w:t>
      </w:r>
      <w:r>
        <w:t xml:space="preserve">the out-of-band verification procedure in depth.</w:t>
      </w:r>
    </w:p>
    <w:bookmarkEnd w:id="13"/>
    <w:bookmarkStart w:id="14" w:name="assessment-attestation-and-tracking"/>
    <w:p>
      <w:pPr>
        <w:pStyle w:val="Heading2"/>
      </w:pPr>
      <w:r>
        <w:t xml:space="preserve">6. Assessment, attestation, and tracking</w:t>
      </w:r>
    </w:p>
    <w:p>
      <w:pPr>
        <w:pStyle w:val="Compact"/>
        <w:numPr>
          <w:ilvl w:val="0"/>
          <w:numId w:val="1002"/>
        </w:numPr>
      </w:pPr>
      <w:r>
        <w:t xml:space="preserve">Short knowledge check on the Tier-2 objectives; a user attestation acknowledging the data</w:t>
      </w:r>
      <w:r>
        <w:t xml:space="preserve"> </w:t>
      </w:r>
      <w:r>
        <w:t xml:space="preserve">boundaries and the accountability rule (§3.b).</w:t>
      </w:r>
    </w:p>
    <w:p>
      <w:pPr>
        <w:pStyle w:val="Compact"/>
        <w:numPr>
          <w:ilvl w:val="0"/>
          <w:numId w:val="1002"/>
        </w:numPr>
      </w:pPr>
      <w:r>
        <w:t xml:space="preserve">Completion (Tier 1 + Tier 2) recorded in the training registry; it is a precondition for</w:t>
      </w:r>
      <w:r>
        <w:t xml:space="preserve"> </w:t>
      </w:r>
      <w:r>
        <w:t xml:space="preserve">account provisioning (§13). Annual refresher; re-train on significant change.</w:t>
      </w:r>
    </w:p>
    <w:bookmarkEnd w:id="14"/>
    <w:bookmarkStart w:id="15" w:name="buildown"/>
    <w:p>
      <w:pPr>
        <w:pStyle w:val="Heading2"/>
      </w:pPr>
      <w:r>
        <w:t xml:space="preserve">7. Build/own</w:t>
      </w:r>
    </w:p>
    <w:p>
      <w:pPr>
        <w:pStyle w:val="FirstParagraph"/>
      </w:pPr>
      <w:r>
        <w:rPr>
          <w:i/>
          <w:iCs/>
        </w:rPr>
        <w:t xml:space="preserve">[FILL IN — assign the Tier-2 module developer and owner (recommend the CIO/ISSM with CHENG and</w:t>
      </w:r>
      <w:r>
        <w:rPr>
          <w:i/>
          <w:iCs/>
        </w:rPr>
        <w:t xml:space="preserve"> </w:t>
      </w:r>
      <w:r>
        <w:rPr>
          <w:i/>
          <w:iCs/>
        </w:rPr>
        <w:t xml:space="preserve">Legal input), the delivery platform/LMS, and the tracking owner. The departmental</w:t>
      </w:r>
      <w:r>
        <w:rPr>
          <w:i/>
          <w:iCs/>
        </w:rPr>
        <w:t xml:space="preserve"> </w:t>
      </w:r>
      <w:r>
        <w:rPr>
          <w:i/>
          <w:iCs/>
        </w:rPr>
        <w:t xml:space="preserve">information-governance plan (§15) records that each department’s users have completed training.]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askSage Responsible AI and Use Training Plan</dc:title>
  <dc:creator/>
  <cp:keywords/>
  <dcterms:created xsi:type="dcterms:W3CDTF">2026-06-22T01:20:28Z</dcterms:created>
  <dcterms:modified xsi:type="dcterms:W3CDTF">2026-06-22T01:20:28Z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