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v0.10 DRAFT</w:t>
        <w:br/>
        <w:br/>
        <w:t>BDR-FLEET-READINESS</w:t>
        <w:br/>
        <w:br/>
        <w:t>Five-level analog-first progression of gamified decision-rehearsal scenarios for U.S. Navy Battle Damage Assessment and Repair (BDAR) teams and the fleet commanders they support</w:t>
        <w:br/>
        <w:br/>
        <w:t>Draft date: 2026-07-28  |  For CACI executive review (open-source only).</w:t>
        <w:br/>
        <w:br/>
        <w:t>Changes in v0.10: the command ambiguity runs higher than the theater. New section 2.8 records the Portfolio Acquisition Executive restructuring and the comprehensive systems-command study now underway, which is why no public source can name a mission owner. It also corrects the acquisition target, since maintenance and the public shipyards have moved to PAE Industrial Operations. Changes in v0.9: corrected an over-claim. Earlier versions said SWRMC and SRF-JRMC were running the container mission. Public sources do not support that. They support SWRMC having built and pre-staged the capability and operating it into a theater where SRF-JRMC holds the Area Maintenance Commander role. Who owns the mission is not established, which is consistent with the RAND finding rather than in tension with it. Section 2.7 states what is not known. v0.8 added the RAND tabletop-exercise report on battle damage repair for Arleigh Burke destroyers (RR-A470-9, 27 May 2026) as new section 2.6. Its leading finding is ambiguous command and control, and two of its five Navy recommendations are training and exercise recommendations, which corroborates the coordination-seam argument from an independent direction. The bottom line and the caveat in section 8.5 are updated, and the study sponsor is added as a payer lead in section 7.</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Two independent sources published seven weeks apart describe the same problem from opposite ends. In May 2026 RAND reported the results of a two-day tabletop exercise on repairing battle-damaged Arleigh Burke destroyers in a Pacific conflict, and its leading finding was that existing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identified Ship Repair Facility Japan Regional Maintenance Center (SRF-JRMC) as the Area Maintenance Commander coordinating the deployments, and he said the mission is unfunded. RAND recommends the Navy expand organic repair capability and ensure deployed personnel are familiar with rapidly deploying it. The Navy is visibly doing the first half. The materiel is being positioned across the theater, the decisions that would route a damaged ship to it have not been rehearsed, and the command relationship RAND says is ambiguous is the one SWRMC and SRF-JRMC are operating under. That is what this brief proposes to sell into.</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Section 7 carries the recommendation. It asks CACI leadership to fund a low-cost discovery engagement with SWRMC or SRF-JRMC, and to commit proposal money only if that engagement identifies who would pay. The Navy is not running a solicitation for this work. Procurement would require a fleet command or type commander to issue a task order against a vehicle CACI already holds. An alternative entry runs through the Defense Innovation Unit (DIU), Small Business Innovation Research (SBIR), or Small Business Technology Transfer (STTR) at smaller scale.</w:t>
      </w:r>
    </w:p>
    <w:p>
      <w:r>
        <w:br w:type="page"/>
      </w:r>
    </w:p>
    <w:p>
      <w:pPr>
        <w:spacing w:before="360" w:after="120"/>
      </w:pPr>
      <w:r>
        <w:rPr>
          <w:b/>
          <w:sz w:val="36"/>
        </w:rPr>
        <w:t>2. Demand signal</w:t>
      </w:r>
    </w:p>
    <w:p>
      <w:pPr>
        <w:spacing w:after="120"/>
      </w:pPr>
      <w:r>
        <w:t>Six signals point at the demand, and they are not equal. Four are context: senior Navy leadership is committing budget to wartime repair readiness, the Navy is running the relevant exercise type in the relevant venue, the professional community is arguing the gap is real, and the rest of the Department of Defense buys adjacent work at scale. Two are different in kind. A federally sponsored RAND study ran the exercise and published what is missing, and a Navy command is executing part of the fix today and said so in public. Sections 2.5 and 2.6 carry those two, and together they do most of the work in this brief.</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a scale of hundreds of millions of dollars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r>
        <w:rPr>
          <w:b/>
          <w:sz w:val="28"/>
        </w:rPr>
        <w:t>2.5 The SWRMC Pacific expeditionary maintenance container program</w:t>
      </w:r>
    </w:p>
    <w:p>
      <w:r>
        <w:t>The strongest evidence in this brief came from the customer. On 4 June 2026 John Robinson, Executive Director of Southwest Regional Maintenance Center, gave the closing keynote at the MegaRust 2026 conference and described a Pacific battle damage repair capability his command has built.</w:t>
      </w:r>
    </w:p>
    <w:p>
      <w:r>
        <w:t>FACT. Robinson stated that repair tenders for the surface force do not exist and that no tender plan exists for the foreseeable future. In their place SWRMC has pre-staged approximately 50 expeditionary maintenance containers across the Pacific theater for battle damage repair on surface ships. Containers either sit pre-positioned or move to an austere location, and are activated by SWRMC sailors and civilians flown out from San Diego. The program currently supports single-ship deployments of roughly two weeks. Robinson named Pat McDermott as the officer driving it. [MegaRust 2026 trip report, Day 3 keynote, 4 June 2026]</w:t>
      </w:r>
    </w:p>
    <w:p>
      <w:r>
        <w:t>FACT. Robinson stated that SWRMC sends project teams for contract oversight and works through Ship Repair Facility Japan Regional Maintenance Center, which he identified as the Area Maintenance Commander in the Western Pacific, to support the container deployments. [MegaRust 2026 trip report, Day 3 keynote, 4 June 2026]</w:t>
      </w:r>
    </w:p>
    <w:p>
      <w:r>
        <w:t>FACT. Robinson stated that the mission is unfunded. [MegaRust 2026 trip report, Day 3 keynote, 4 June 2026]</w:t>
      </w:r>
    </w:p>
    <w:p>
      <w:r>
        <w:t>Assessment. Three things follow, and one thing deliberately does not. The demand for wartime repair capability in the Pacific is no longer an inference drawn from budget testimony and journal articles, because a command has built a physical capability and said so on the record. The customer set this brief already proposed contains the most visible executor, which shortens the engagement plan. And the opening the product addresses is visible: the division of work between SWRMC and SRF-JRMC on the container capability, and on the related battle damage exercises, was not described in the keynote and does not appear in any public source. What does not follow is that these two commands own the mission. See section 2.7.</w:t>
      </w:r>
    </w:p>
    <w:p>
      <w:r>
        <w:t>Assessment, and it cuts against the opportunity. An unfunded mission has no money to buy training. The organization most likely to want this product is the one least able to pay for it today. That does not make the opportunity false, but it moves the central question from whether the Navy needs this to whose budget would carry it. Section 8.6 treats that as a risk rather than a footnote.</w:t>
      </w:r>
    </w:p>
    <w:p>
      <w:r>
        <w:rPr>
          <w:b/>
          <w:sz w:val="28"/>
        </w:rPr>
        <w:t>2.6 The RAND tabletop exercise on battle damage repair</w:t>
      </w:r>
    </w:p>
    <w:p>
      <w:r>
        <w:t>In May 2026 RAND published the results of a tabletop exercise on repairing battle-damaged Arleigh Burke destroyers in a Pacific conflict. It is the most directly on-point public source in this brief, and it was sponsored by the Office of the Assistant Secretary of War for Sustainment.</w:t>
      </w:r>
    </w:p>
    <w:p>
      <w:r>
        <w:t>FACT. RAND conducted the exercise on 13 and 14 August 2025 with participants from the United States and allied Indo-Pacific nations, split into four groups representing the stakeholders who would be involved in repairs. It ran four vignettes in which ships, including DDG-51s, were damaged and required repair, and it examined the capabilities required, the implied command-and-control arrangements, partner nations’ roles, and the organic capabilities the Navy could deploy. [RAND RR-A470-9, 27 May 2026]</w:t>
      </w:r>
    </w:p>
    <w:p>
      <w:r>
        <w:t>FACT. RAND’s leading takeaway is that existing U.S. Navy systems for battle-damage repair are burdened by outdated peacetime frameworks and ambiguous command-and-control structures during conflict. It also found that the Navy’s organic repair capabilities are sufficient only for limited repairs to combat systems and for repairs that allow ships to transit back to the United States. [RAND RR-A470-9, 27 May 2026]</w:t>
      </w:r>
    </w:p>
    <w:p>
      <w:r>
        <w:t>FACT. Two of RAND’s five recommendations to the Navy bear directly on this brief. The Navy should institutionalize command and control by clarifying authority, streamlining communications and defining approval chains during crisis and conflict. And the Navy should expand organic repair capabilities and ensure that all deployed personnel are familiar with rapidly deploying those capabilities. A third recommends anchoring exercises to strategic objectives. [RAND RR-A470-9, 27 May 2026]</w:t>
      </w:r>
    </w:p>
    <w:p>
      <w:r>
        <w:t>Assessment. The coordination-seam argument in section 2.5 was an inference drawn from what the SWRMC keynote did not say. It is no longer an inference. RAND names ambiguous command and control as the leading problem, from an exercise with allied participants, in a peer-reviewed report paid for by an office of the Secretariat.</w:t>
      </w:r>
    </w:p>
    <w:p>
      <w:r>
        <w:t>Assessment, and it is the sharpest point in this brief. RAND recommends expanding organic repair capability and ensuring deployed personnel are familiar with rapidly deploying it, in a single sentence. SWRMC has built the capability. Fifty containers are pre-staged across the theater. The familiarity half is unaddressed, and the familiarity half is this product. The Navy is executing one half of a two-part recommendation.</w:t>
      </w:r>
    </w:p>
    <w:p>
      <w:r>
        <w:t>Assessment on method. RAND reached its conclusions by running a two-day tabletop exercise. The most authoritative public treatment of this problem used the technique this brief proposes to sell, once, to discover that the Navy is not ready. Discovery is not rehearsal. The commands that would actually execute the mission were not the ones in RAND’s room, and a finding published in a report does not transfer to a wardroom that has never made the decision under time pressure.</w:t>
      </w:r>
    </w:p>
    <w:p>
      <w:r>
        <w:t>Assessment on funding, and it is a lead rather than a conclusion. The study sponsor is the Office of the Assistant Secretary of War for Sustainment, Product Support office. Since the container mission itself is unfunded, an office that already paid for analysis of this exact problem is a more plausible first call than the fleet commands. Whether it has money for training rather than analysis is unknown, and nothing here supports a guess either way. Section 7 carries it as a Phase 1 target.</w:t>
      </w:r>
    </w:p>
    <w:p>
      <w:r>
        <w:rPr>
          <w:b/>
          <w:sz w:val="28"/>
        </w:rPr>
        <w:t>2.7 What the sources do not establish: who owns this mission</w:t>
      </w:r>
    </w:p>
    <w:p>
      <w:r>
        <w:t>Earlier versions of this brief said SWRMC and SRF-JRMC were running the container mission. That went further than the evidence, and the correction matters because the over-claim quietly contradicted the argument the brief is built on.</w:t>
      </w:r>
    </w:p>
    <w:p>
      <w:r>
        <w:t>What the sources support. SWRMC built and pre-staged the containers. SWRMC sends project teams out for contract oversight. SWRMC works through SRF-JRMC, which Robinson identified as the Area Maintenance Commander in the Western Pacific. Pat McDermott drives the program and Robinson did not describe his organizational position. The mission is unfunded.</w:t>
      </w:r>
    </w:p>
    <w:p>
      <w:r>
        <w:t>What they do not support. That either command owns the mission. A command that builds a capability and deploys teams into another command’s area is a visible executor, not necessarily the owner. Several other organizations plausibly hold a piece and are absent from the public record on this: Commander, Navy Regional Maintenance Center as the parent of the RMCs, NAVSEA 04 at the systems-command level, the fleet commander who would own the readiness requirement, MARMC on the Atlantic side, and whoever owns the Expeditionary Mobile Repair Facility concept that RAND recommends. SWRMC is simply the piece that gave a public keynote.</w:t>
      </w:r>
    </w:p>
    <w:p>
      <w:r>
        <w:t>Assessment, and this strengthens the case rather than weakening it. RAND’s leading finding is that command-and-control structures for battle damage repair are ambiguous. A brief that then names the owner would be contradicting its own central source. The honest reading is that the public record shows a capability being built, a theater command coordinating it, an unfunded mission, and no discernible owner. That is what ambiguous command and control looks like from the outside.</w:t>
      </w:r>
    </w:p>
    <w:p>
      <w:r>
        <w:t>Consequence for engagement. Phase 1 cannot open by pitching the mission owner, because nobody outside can identify one. It opens by establishing who owns the decisions, which is a question the customer will recognize as real and which the product exists to rehearse. If discovery finds a clear owner, the brief was too cautious and the engagement gets simpler. If it finds the seam RAND describes, that is the sale.</w:t>
      </w:r>
    </w:p>
    <w:p>
      <w:r>
        <w:rPr>
          <w:b/>
          <w:sz w:val="28"/>
        </w:rPr>
        <w:t>2.8 The ambiguity runs higher than the theater: the PAE restructuring and the systems-command study</w:t>
      </w:r>
    </w:p>
    <w:p>
      <w:r>
        <w:t>Section 2.7 says no public source establishes who owns the Pacific container mission. That is not an oversight in the reporting. The organization that would hold industrial ownership of battle damage repair is being taken apart and rebuilt right now.</w:t>
      </w:r>
    </w:p>
    <w:p>
      <w:r>
        <w:t>FACT. The Navy is moving functions and workforce out of its systems commands into new Portfolio Acquisition Executives. The principal military deputy to the Assistant Secretary of the Navy for Research, Development and Acquisition said in March 2026 that about 70 percent of the functions and the workforce at systems commands like NAVSEA will transfer to the PAEs, with the systems command continuing in engineering, technical expertise and infrastructure while a large portion of the workforce and the mission authorities realign under the PAEs. [USNI News, 20 July 2026]</w:t>
      </w:r>
    </w:p>
    <w:p>
      <w:r>
        <w:t>FACT. PAE Industrial Operations is led by Vice Adm. Jim Downey, who also heads NAVSEA, and oversees maintenance and the public shipyards. PAE Maritime reached initial operating capability on a 16 July 2026 memo under Chris Miller and runs five deputy portfolios, one of which is Ship Readiness, led by Rear Adm. Andy Biehn with Lisa Bonacic-Doric, covering maintenance for combatants, the Arleigh Burke–class DDG 2.0 modification, training systems and international support. [USNI News, 20 July 2026]</w:t>
      </w:r>
    </w:p>
    <w:p>
      <w:r>
        <w:t>FACT. A spokesperson for the Assistant Secretary of the Navy for Research, Development and Acquisition told USNI News that a comprehensive Navy Systems Command study is underway and that the study will inform the future roles and compositions of the systems commands. [USNI News, 20 July 2026]</w:t>
      </w:r>
    </w:p>
    <w:p>
      <w:r>
        <w:t>Assessment. RAND found command and control for battle damage repair ambiguous inside a wartime exercise. This is the peacetime organization above it, and it is unsettled on the record, with a study running to decide what the systems commands become. Read together, the two say the same thing at different altitudes. This brief is not describing a gap that someone simply has not gotten to. It is describing a period in which ownership is genuinely undetermined.</w:t>
      </w:r>
    </w:p>
    <w:p>
      <w:r>
        <w:t>Assessment, and it corrects this brief. Earlier versions named NAVSEA 04 as a systems-command contracting authority. Maintenance and the public shipyards now sit under PAE Industrial Operations. NAVSEA continues to hold engineering and technical expertise, so NAVSEA 05 remains the right reference for the data-bridge question in section 5.3, but NAVSEA 04 should not be presented as the buying authority without qualification.</w:t>
      </w:r>
    </w:p>
    <w:p>
      <w:r>
        <w:t>Assessment, and it is the most actionable line in this section. PAE Maritime’s Ship Readiness portfolio holds maintenance for combatants and training systems together. That is the intersection this product occupies, it has named leadership, and it is new enough that its processes and vehicles are being set now rather than defended. It belongs on the Phase 1 call list alongside the study sponsor named in section 2.6.</w:t>
      </w:r>
    </w:p>
    <w:p>
      <w:r>
        <w:t>Assessment on timing, and it cuts both ways. Selling into an organization mid-reorganization is hard in a specific way: reporting lines move, budgets are re-pointed, and the office briefed today may not hold the decision tomorrow. Against that, a new organization has to decide how it buys, and a defined product arriving while those decisions are being made can land better than one arriving after they harden. Section 8.7 carries the risk side.</w:t>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weighs proximity, repair capability, security posture and alliance access, then picks the port. The repair-activity wardroom at the chosen port then runs the same scenario from the receiving end.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Forward-deployed, audience and venue match the product.</w:t>
      </w:r>
    </w:p>
    <w:p>
      <w:pPr>
        <w:spacing w:after="60"/>
        <w:ind w:left="360"/>
      </w:pPr>
      <w:r>
        <w:t>• CNRMC plus subordinate RMCs plus Surface Team One (ST1). Navy-wide repair-activity layer.</w:t>
      </w:r>
    </w:p>
    <w:p>
      <w:pPr>
        <w:spacing w:after="60"/>
        <w:ind w:left="360"/>
      </w:pPr>
      <w:r>
        <w:t>• Public naval shipyards (NNSY, PSNS, PHNS, PNSY). Heaviest infrastructure investment, longer procurement cycles.</w:t>
      </w:r>
    </w:p>
    <w:p>
      <w:pPr>
        <w:spacing w:before="160" w:after="40"/>
      </w:pPr>
      <w:r>
        <w:rPr>
          <w:b/>
          <w:sz w:val="24"/>
        </w:rPr>
        <w:t>Contracting-authority ranking: task order against an existing CACI vehicle</w:t>
      </w:r>
    </w:p>
    <w:p>
      <w:pPr>
        <w:spacing w:after="60"/>
        <w:ind w:left="360"/>
      </w:pPr>
      <w:r>
        <w:t>• PACFLT N7 / N4 or FLTFORCOM N7 / N4. Owns the fleet-exercise rhythm; could issue a task order against CACI NSS, LLC's existing OASIS or CIO-SP3 holdings.</w:t>
      </w:r>
    </w:p>
    <w:p>
      <w:pPr>
        <w:spacing w:after="60"/>
        <w:ind w:left="360"/>
      </w:pPr>
      <w:r>
        <w:t>• INDOPACOM J7. Owns joint multi-domain exercise procurement; same task-order path against the same vehicles.</w:t>
      </w:r>
    </w:p>
    <w:p>
      <w:pPr>
        <w:spacing w:after="60"/>
        <w:ind w:left="360"/>
      </w:pPr>
      <w:r>
        <w:t>• DIU, SBIR, or STTR.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the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 AFRICOM is a Combatant Command operating with COCOM-level contracting; PACFLT and FLTFORCOM are Component Commands operating within a NAVSEA-controlled technical culture, so engagement at the Navy customer set must prioritize technical validation alongside operational fit. The AFRICOM precedent is a work-type proof, not a direct contracting-culture transfer.</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 So ARKA covers about half of what a credible scenario needs. The HM&amp;E bridge described below has to cover the repair side, and both are required before the environment is believable to a wardroom.</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actual data-release authority sits with Naval Sea Systems Command Ship Design and Engineering (NAVSEA 05); without NAVSEA 05's blessing the Carderock GFI conversation will not progress, and without their technical concurrence on the damage-model fidelity the fleet commanders are unlikely to trust the training.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Federal-wide Professional Services contract.</w:t>
      </w:r>
    </w:p>
    <w:p>
      <w:pPr>
        <w:spacing w:after="60"/>
        <w:ind w:left="360"/>
      </w:pPr>
      <w:r>
        <w:t>• NITAAC Chief Information Officer–Solutions and Partners 3 (CIO-SP3).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The holdings are not an advantage over the incumbents named in section 4.3, who hold equivalent or larger OASIS, CIO-SP3 and MAS positions of their own. They matter for a narrower reason. They remove the multi-year job of standing up a new contract, which would otherwise sit between a Navy decision to buy and an actual award.</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Navy operational-decision-scenario demand gap. Killed by senior signals turning ceremonial AND existing fleet exercises already injecting equivalent content organically.</w:t>
      </w:r>
    </w:p>
    <w:p>
      <w:pPr>
        <w:spacing w:after="60"/>
        <w:ind w:left="360"/>
      </w:pPr>
      <w:r>
        <w:t>• Leg 2.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Customer-access pathway feasibility. Killed by fleet-command incumbents locking out CACI entry timeline, or by contractual right-of-first-refusal language preventing new-entrant access.</w:t>
      </w:r>
    </w:p>
    <w:p>
      <w:pPr>
        <w:spacing w:after="60"/>
        <w:ind w:left="360"/>
      </w:pPr>
      <w:r>
        <w:t>• Leg 6.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br/>
        <w:br/>
        <w:t>Scaling logic: why a customer who buys Level 1 advances to Levels 4 and 5. Levels 1 and 2 are hand-built scenario content. Analyst time drives the cost, so it rises in step with the number of exercises. Levels 3 through 5 add reusable scenario libraries and generated variants, and the cost of each exercise falls sharply once a command moves from occasional sessions to a quarterly or faster rhythm across several wardrooms. What moves a customer up the ladder is therefore how often they exercise. At low rhythm the hand-built levels are cheaper. At high rhythm they cannot keep up. The proposal should frame the Level 1 pilot as a reference customer whose exercise rhythm tells CACI when to invest in the software build, not as a standalone product.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to be established in Phase 1 rather than assumed. SWRMC is the most visible executor and SRF-JRMC holds the Area Maintenance Commander role, so both are entry points, but neither is confirmed as the mission owner and the first job of discovery is to find out who is. Contracting authority: PACFLT N7 or N4, or FLTFORCOM N7 or N4 on the fleet side. On the acquisition side the target has moved: maintenance and the public shipyards now sit under PAE Industrial Operations, and PAE Maritime carries a Ship Readiness portfolio covering maintenance for combatants and training systems in the same portfolio. Section 2.8 explains why NAVSEA 04 should no longer be named as the buying authority without qualification. Contracting vehicle: CACI NSS, LLC’s existing OASIS, CIO-SP3, or MAS holding, with no new Navy-specific vehicle required. Precondition: CACI legal and contracts must complete the Federal Acquisition Regulation (FAR) Subpart 9.5 Organizational Conflict of Interest (OCI) review described in section 8.4 before any engagement step under the Phase 1 engagement in section 7.2 begins. The OCI review is a hard gate, not a parallel workstream.</w:t>
      </w:r>
    </w:p>
    <w:p>
      <w:pPr>
        <w:spacing w:before="240" w:after="80"/>
      </w:pPr>
      <w:r>
        <w:rPr>
          <w:b/>
          <w:sz w:val="28"/>
        </w:rPr>
        <w:t>7.2 Initiate CACI executive engagement with the named Navy commands</w:t>
      </w:r>
    </w:p>
    <w:p>
      <w:pPr>
        <w:spacing w:after="120"/>
      </w:pPr>
      <w:r>
        <w:t>The Navy is not running an RFP for this work today, and the BD analyst is not asking CACI to commit Bid and Proposal (B&amp;P) dollars to a market-making effort. The recommendation is a two-phase engagement with a hard gate between the phases. Phase 1 (low-cost): CACI executive leadership initiates a discovery meeting at PACFLT N7, FLTFORCOM N7, INDOPACOM J7, NAVSEA 04 (the headquarters above PAE-IO), or SRF-JRMC leadership. Pitch opens with the work-type, the AFRICOM precedent, the GSA-wide vehicles CACI already holds, and a request for the customer's read on whether a Level 1 pilot fits a near-term need. Phase 1 cost is executive travel and analyst preparation; no B&amp;P commitment. Phase 2 (B&amp;P gate): IF Phase 1 produces a customer Letter of Interest, a named funding vehicle (O&amp;M or RDT&amp;E realignment), or a similarly concrete buying signal, THEN CACI commits B&amp;P to a Level 1 pilot task-order proposal against the existing OASIS or CIO-SP3 holding. If Phase 1 produces only general interest or a "come back when you have something concrete" response, CACI declines the B&amp;P commitment and falls back to the alternative entry path in section 7.4. The gate is binary and operator-explicit so the executive sees the commit decision separately from the engagement decision.</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NAVSEA 05 (Ship Design and Engineering) as the data-release technical authority and the credibility anchor for the damage-model fidelity. Treat the 12-to-18-month Authority to Operate (ATO) risk as a known schedule item. Avoid pre-committing to a teaming-with-HM&amp;E-prime path because it forces an early commit to a specific partner before customer pull is known. Plan B if NAVSEA 05 declines the data release: pivot to a tactical teaming arrangement with a naval-engineering firm that holds HM&amp;E modeling capability. The partner choice is contingent on customer pull and is properly the proposal team's decision, not the BD analyst's. Plan C: CACI's internal naval-IT footprint, scoped to whatever HM&amp;E telemetry or maintenance-record data it actually holds. This fallback has not been inventoried in this draft, and the proposal team should confirm what is in fact available before relying on it.</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The layer could be crowded enough to require partnering, or sparse enough to allow first-mover prime entry. A find_sources pass narrowed to those N7 contracting offices is the next investigative step before any partnering or capture decision.</w:t>
        <w:br/>
        <w:br/>
        <w:t>NAVSEA 05 negative-stakeholder risk. NAVSEA 05 (Ship Design and Engineering) is the Navy's technical authority for ship-design and damage-modeling data. They are not the customer for the proposed product, since they do not procure exercise content for the fleet, but they hold veto power over the damage-model fidelity through their data-release authority and their reputation as the credibility anchor for repair-side technical claims. An engagement strategy that pitches PACFLT N7 or SRF-JRMC without first briefing NAVSEA 05 on the damage-model approach risks NAVSEA 05 sniping the effort at the technical-validation gate. A NAVSEA 05 technical briefing should precede the Phase 1 PACFLT engagement in section 7.2, not follow it.</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The evidence improved again in this version and it still is not a buying signal. Public sources now establish the mission, the most visible executor of one part of it, the fact that it is unfunded, and an independent federally sponsored assessment that names ambiguous command and control as the leading problem and recommends both expanded organic repair capability and personnel familiar with deploying it rapidly. Public sources still do not show a Navy procurement line for decision-rehearsal training, and no solicitation exists. What has changed is that the case no longer rests on this desk’s inference. It rests on a published recommendation the Navy has only half executed. It does not rest on the Navy asking for this product, because the Navy has not asked.</w:t>
      </w:r>
    </w:p>
    <w:p>
      <w:r>
        <w:br w:type="page"/>
      </w:r>
    </w:p>
    <w:p>
      <w:r>
        <w:rPr>
          <w:b/>
          <w:sz w:val="28"/>
        </w:rPr>
        <w:t>8.6 The mission that needs this product is unfunded</w:t>
      </w:r>
    </w:p>
    <w:p>
      <w:r>
        <w:t>Robinson described the container program as unfunded. A program with no money cannot issue a task order however much it wants the capability. Any pursuit therefore has to identify whose budget would carry decision-rehearsal training. Candidates are the fleet commander who owns the readiness requirement, the type commander, a research and development line, or an existing training contract with room in scope. The discovery engagement in section 7 should treat the funding question as the first thing to learn, ahead of technical scope and ahead of scenario design. If Phase 1 cannot name a plausible payer, the correct answer is to stop.</w:t>
      </w:r>
    </w:p>
    <w:p>
      <w:r>
        <w:rPr>
          <w:b/>
          <w:sz w:val="28"/>
        </w:rPr>
        <w:t>8.7 The acquisition organization is being rebuilt mid-pursuit</w:t>
      </w:r>
    </w:p>
    <w:p>
      <w:r>
        <w:t>About 70 percent of the functions and workforce at systems commands like NAVSEA are moving to the Portfolio Acquisition Executives, maintenance and the public shipyards have moved to PAE Industrial Operations, and a comprehensive systems-command study is underway that will inform the future roles and compositions of the systems commands. Any engagement plan written now is aimed at a moving target. The specific failure mode is briefing an office that loses the decision authority before a task order can be written, which burns the relationship and the calendar. Mitigation is to confirm at each Phase 1 meeting who will hold the decision after the study concludes, and to treat any answer given today as provisional. This is also an argument for keeping Phase 1 cheap, since the cost of a wasted meeting is low and the cost of a wasted proposal is not.</w:t>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They are the workflow that follows from a decision to advance the recommendations in section 7.</w:t>
      </w:r>
    </w:p>
    <w:p>
      <w:pPr>
        <w:spacing w:after="60"/>
        <w:ind w:left="360"/>
      </w:pPr>
      <w:r>
        <w:t>• BD team gate review of this brief at v0.6 to confirm the proposed-scope frame.</w:t>
      </w:r>
    </w:p>
    <w:p>
      <w:pPr>
        <w:spacing w:after="60"/>
        <w:ind w:left="360"/>
      </w:pPr>
      <w:r>
        <w:t>• Run a follow-on source-finding pass narrowed to specific contracting offices at PACFLT N7, FLTFORCOM N7, INDOPACOM J7, and SRF-JRMC.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meaning initial scenario cards for the port-selection, foreign-port emergency contracting and forward team mobilization decision moments,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br/>
        <w:br/>
        <w:t>• RAND Corporation, Battle Damage Repair for Arleigh Burke–Class Destroyers: Tabletop Exercise Results, RR-A470-9, 27 May 2026. Martin, Shlapak, Yun, Carter, Trauger, Hoard. Sponsored by the Office of the Assistant Secretary of War for Sustainment, Product Support office.</w:t>
        <w:br/>
        <w:br/>
        <w:t>• USNI News, "New Navy PAE Maritime Shipbuilding Office Reaches IOC," 20 July 2026.</w:t>
      </w:r>
    </w:p>
    <w:p>
      <w:pPr>
        <w:spacing w:after="60"/>
        <w:ind w:left="360"/>
      </w:pPr>
      <w:r>
        <w:t>• CNO Caudle Statement on the Posture of the United States Navy, HASC, 14 May 2026.</w:t>
      </w:r>
    </w:p>
    <w:p>
      <w:pPr>
        <w:spacing w:after="60"/>
        <w:ind w:left="360"/>
      </w:pPr>
      <w:r>
        <w:t>• USS Ashland Ship Wartime Repair and Maintenance Exercise primary press releases.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PSNS and Subordinate Bases.</w:t>
      </w:r>
    </w:p>
    <w:p>
      <w:pPr>
        <w:spacing w:after="60"/>
        <w:ind w:left="360"/>
      </w:pPr>
      <w:r>
        <w:t>• CACI NSS, LLC vehicle holdings. GSA OASIS, NITAAC CIO-SP3, GSA MAS GS-35F-349CA (web-verified 2026-05-26).</w:t>
      </w:r>
    </w:p>
    <w:p>
      <w:pPr>
        <w:spacing w:after="120"/>
      </w:pPr>
      <w:r>
        <w:rPr>
          <w:i/>
        </w:rPr>
        <w:t>End of capture brief v0.10 draft. Build date: 2026-07-28. The demand case rests on two sources: the RAND tabletop-exercise report of 27 May 2026, carried in section 2.6, and the SWRMC expeditionary maintenance container program described publicly on 4 June 2026, carried in section 2.5. Section 7 leads with identifying a payer, because the mission is unfunded. Section 8.6 carries that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