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26"/>
        </w:rPr>
        <w:t>BDR-FLEET-READINESS Executive Brief v0.11 (Draft)</w:t>
      </w:r>
    </w:p>
    <w:p>
      <w:pPr>
        <w:spacing w:after="80"/>
      </w:pPr>
      <w:r>
        <w:rPr>
          <w:i/>
          <w:sz w:val="18"/>
        </w:rPr>
        <w:t>U.S. Navy Battle Damage Assessment and Repair (BDAR) decision-rehearsal training. Five-level progression. 2026-07-28. For CACI executive review (open-source only).</w:t>
      </w:r>
    </w:p>
    <w:p>
      <w:pPr>
        <w:spacing w:before="100" w:after="40"/>
      </w:pPr>
      <w:r>
        <w:rPr>
          <w:b/>
          <w:sz w:val="22"/>
        </w:rPr>
        <w:t>Bottom Line Up Front</w:t>
      </w:r>
    </w:p>
    <w:p>
      <w:pPr>
        <w:spacing w:after="60"/>
      </w:pPr>
      <w:r>
        <w:t>Two independent sources seven weeks apart describe the same problem from opposite ends. In May 2026 RAND published the results of a two-day tabletop exercise on repairing battle-damaged Arleigh Burke destroyers in a Pacific conflict; its leading finding was that Navy battle-damage-repair systems are burdened by outdated peacetime frameworks and ambiguous command-and-control structures. In June 2026 the Executive Director of Southwest Regional Maintenance Center (SWRMC) told an industry conference that the Navy has no repair tenders for the surface fleet and no plan to build any, so his command has pre-staged roughly 50 expeditionary maintenance containers across the Pacific as the substitute. He named Ship Repair Facility Japan Regional Maintenance Center (SRF-JRMC) as the Area Maintenance Commander coordinating the deployments, and said the mission is unfunded. RAND recommends the Navy expand organic repair capability and ensure deployed personnel are familiar with rapidly deploying it. The Navy is doing the first half. The second half is this product.</w:t>
      </w:r>
    </w:p>
    <w:p>
      <w:pPr>
        <w:spacing w:after="60"/>
      </w:pPr>
      <w:r>
        <w:t>Proposed product. A five-level progression of gamified decision-rehearsal scenarios for Navy Battle Damage Assessment and Repair (BDAR) teams and the fleet commanders they support. The progression starts analog (printed scenario cards), builds through 1-hour wardroom sessions, and ends with software-driven scenarios injected into live fleet exercises. The same scenario content serves two audiences: the wardroom at a Navy repair activity preparing to receive a damaged ship, and the fleet commander deciding where to send her. Port selection is the canonical scenario serving both audiences.</w:t>
      </w:r>
    </w:p>
    <w:p>
      <w:pPr>
        <w:spacing w:after="60"/>
      </w:pPr>
      <w:r>
        <w:t>Proposed procurement path. CACI National Security Solutions, LLC (CACI NSS, LLC) already holds three General Services Administration (GSA) governmentwide contracting vehicles: GSA One Acquisition Solution for Integrated Services (OASIS), the National Institutes of Health Information Technology Acquisition and Assessment Center Chief Information Officer–Solutions and Partners 3 contract (NITAAC CIO-SP3), and GSA Multiple Award Schedule (MAS). A Navy fleet command could issue a task order against any of these vehicles without standing up a new Navy-specific contract. The $194 million task order CACI NSS, LLC holds today for support to U.S. Africa Command (AFRICOM) is the precedent for the kind of task order the Navy could issue.</w:t>
      </w:r>
    </w:p>
    <w:p>
      <w:pPr>
        <w:spacing w:before="100" w:after="40"/>
      </w:pPr>
      <w:r>
        <w:rPr>
          <w:b/>
          <w:sz w:val="22"/>
        </w:rPr>
        <w:t>Why It Matters</w:t>
      </w:r>
    </w:p>
    <w:p>
      <w:pPr>
        <w:ind w:left="360"/>
      </w:pPr>
      <w:r>
        <w:t>• An independent federally sponsored study says the gap is command and control. RAND ran a two-day tabletop exercise in August 2025 with U.S. and allied Indo-Pacific participants and published the results in May 2026 (RR-A470-9). Its leading takeaway is that Navy battle-damage-repair systems carry outdated peacetime frameworks and ambiguous command-and-control structures into conflict, and that organic repair capability is sufficient only for limited repairs and for getting a ship home. Two of its five Navy recommendations are to institutionalize command and control, and to expand organic repair capability while ensuring deployed personnel are familiar with rapidly deploying it.</w:t>
      </w:r>
    </w:p>
    <w:p>
      <w:pPr>
        <w:ind w:left="360"/>
      </w:pPr>
      <w:r>
        <w:t>• A Navy command has built part of the answer and said so in public. John Robinson, Executive Director of SWRMC, described the container capability at the MegaRust 2026 conference on 4 June 2026. Tenders for the surface force do not exist and are not planned, so SWRMC pre-staged the containers as the substitute. Pat McDermott drives the program. SWRMC sends project teams out for contract oversight and works through SRF-JRMC in its Area Maintenance Commander role. Note what this does not establish: who owns the mission. SWRMC is the most visible executor, not a confirmed owner, and no public source names one. That absence is consistent with what RAND found.</w:t>
      </w:r>
    </w:p>
    <w:p>
      <w:pPr>
        <w:spacing w:after="40"/>
        <w:ind w:left="216"/>
      </w:pPr>
      <w:r>
        <w:t>• Senior leadership is funding the problem. Admiral Daryl L. Caudle, Chief of Naval Operations, named maintenance a warfighting requirement before the House Armed Services Committee on 14 May 2026. The Fiscal Year 2027 Navy budget funds ship maintenance at $17 billion toward an 80-percent Combat Surge Ready posture. SRF-JRMC ran a wartime repair exercise with the Philippine Navy at Cebu in April 2026.</w:t>
      </w:r>
    </w:p>
    <w:p>
      <w:pPr>
        <w:spacing w:after="40"/>
        <w:ind w:left="216"/>
      </w:pPr>
      <w:r>
        <w:t>• DoD buys related contractor work-types at scale. AFRICOM via CACI NSS, LLC holds $194 million for broad professional services with exercise scope. The Missile Defense Agency (MDA) via Axient holds $233.8 million for missile-defense exercise and wargames support. The Office of the Secretary of Defense (OSD) via Parsons Government Services holds $557 million for real-time decision support to the Combatant Commands. These are three different work-types, not three examples of the same one. The Navy could plausibly procure any of them but has not yet done so under a public contract.</w:t>
      </w:r>
    </w:p>
    <w:p>
      <w:pPr>
        <w:spacing w:after="40"/>
        <w:ind w:left="216"/>
      </w:pPr>
      <w:r>
        <w:t>• Navy professional community amplifying the gap. The U.S. Naval Institute (USNI) Proceedings published "Fix the Navy's Expeditionary Repair." The Center for International Maritime Security (CIMSEC) published "If the U.S. Navy Can't Repair Ships in Peacetime, How Will It Do So in War?" Both publications reach the customer organizations.</w:t>
      </w:r>
    </w:p>
    <w:p>
      <w:pPr>
        <w:spacing w:after="40"/>
        <w:ind w:left="216"/>
      </w:pPr>
      <w:r>
        <w:t>• What the evidence still does not show. Public sources now establish the mission, the most visible executor of one part of it, that it is unfunded, and an independent federally sponsored finding that command and control is the leading problem. They still do not show a Navy procurement line for decision-rehearsal training, and no solicitation exists. The case rests on a published recommendation the Navy has half executed, not on the Navy asking for this product.</w:t>
      </w:r>
    </w:p>
    <w:p>
      <w:pPr>
        <w:spacing w:before="100" w:after="40"/>
      </w:pPr>
      <w:r>
        <w:rPr>
          <w:b/>
          <w:sz w:val="22"/>
        </w:rPr>
        <w:t>The Five-Level Progression</w:t>
      </w:r>
    </w:p>
    <w:p>
      <w:pPr>
        <w:spacing w:after="60"/>
      </w:pPr>
      <w:r>
        <w:t>Start analog. Move to software as scale justifies it. Each level can be bought separately, and each builds material the next one reuses. What drives a customer up the ladder is how often they exercise. Levels 1 and 2 are delivered by hand, so cost rises in step with the number of sessions. Levels 3 through 5 add reusable scenario libraries and generated variants, and the cost of each exercise falls once a command is running them quarterly or more often across several wardrooms.</w:t>
      </w:r>
    </w:p>
    <w:p>
      <w:pPr>
        <w:spacing w:after="40"/>
        <w:ind w:left="216"/>
      </w:pPr>
      <w:r>
        <w:t>• Level 1. Flash drills. Five to fifteen minutes. One decision on a printed scenario card. Audience builds pattern recognition.</w:t>
      </w:r>
    </w:p>
    <w:p>
      <w:pPr>
        <w:spacing w:after="40"/>
        <w:ind w:left="216"/>
      </w:pPr>
      <w:r>
        <w:t>• Level 2. Linked-decision sequences. Thirty to forty-five minutes. Three to five decisions in a row, each shaping the next. Audience learns that early choices constrain later options.</w:t>
      </w:r>
    </w:p>
    <w:p>
      <w:pPr>
        <w:spacing w:after="40"/>
        <w:ind w:left="216"/>
      </w:pPr>
      <w:r>
        <w:t>• Level 3. Full 1-hour gamified wardroom session. Multi-discipline audience. All six operational-decision moments integrated into one scenario.</w:t>
      </w:r>
    </w:p>
    <w:p>
      <w:pPr>
        <w:spacing w:after="40"/>
        <w:ind w:left="216"/>
      </w:pPr>
      <w:r>
        <w:t>• Level 4. Multi-session campaign. Two to four hours across a deployment cycle. Artificial intelligence (AI) scenario generation is justified at this level because each participating wardroom needs a different variant.</w:t>
      </w:r>
    </w:p>
    <w:p>
      <w:pPr>
        <w:spacing w:after="40"/>
        <w:ind w:left="216"/>
      </w:pPr>
      <w:r>
        <w:t>• Level 5. Live exercise injection into Composite Training Unit Exercise (COMPTUEX), the Rim of the Pacific Exercise (RIMPAC), the Navy Large-Scale Exercise (LSE) series, and the Ship Wartime Repair and Maintenance Exercise (SWARMEX) program. Software-driven, federated into Navy synthetic training architecture.</w:t>
      </w:r>
    </w:p>
    <w:p>
      <w:pPr>
        <w:spacing w:before="100" w:after="40"/>
      </w:pPr>
      <w:r>
        <w:rPr>
          <w:b/>
          <w:sz w:val="22"/>
        </w:rPr>
        <w:t>Procurement Path: Task Order Against an Existing CACI Vehicle</w:t>
      </w:r>
    </w:p>
    <w:p>
      <w:pPr>
        <w:spacing w:after="60"/>
      </w:pPr>
      <w:r>
        <w:t>CACI NSS, LLC holds three governmentwide contracts open to any federal customer, including any Navy command. These are not an advantage over the incumbents named in the risks below, who hold the same vehicles. They matter for a narrower reason. They remove the multi-year job of standing up a new contract, which would otherwise sit between a Navy decision to buy and an actual award.</w:t>
      </w:r>
    </w:p>
    <w:p>
      <w:pPr>
        <w:spacing w:after="40"/>
        <w:ind w:left="216"/>
      </w:pPr>
      <w:r>
        <w:t>• GSA OASIS Pool 1 (parent contract GS00Q14OADU121). Federal-wide Professional Services contract; CACI NSS, LLC executes the $194M AFRICOM task order against this vehicle.</w:t>
      </w:r>
    </w:p>
    <w:p>
      <w:pPr>
        <w:spacing w:after="40"/>
        <w:ind w:left="216"/>
      </w:pPr>
      <w:r>
        <w:t>• NITAAC CIO-SP3 (parent contract HHSN316201200032W). Information Technology services contract; CACI NSS, LLC has delivered at $101.2M-task-order scale under this vehicle.</w:t>
      </w:r>
    </w:p>
    <w:p>
      <w:pPr>
        <w:spacing w:after="40"/>
        <w:ind w:left="216"/>
      </w:pPr>
      <w:r>
        <w:t>• GSA Multiple Award Schedule (contract number GS-35F-349CA).</w:t>
      </w:r>
    </w:p>
    <w:p>
      <w:pPr>
        <w:spacing w:after="60"/>
      </w:pPr>
      <w:r>
        <w:t>The pitch CACI executives could make at a Navy customer meeting has a defined starting point: here is the work-type, here is the AFRICOM precedent, here are the vehicles CACI already holds, the customer could issue a Level 1 pilot task order without committing to new procurement infrastructure.</w:t>
      </w:r>
    </w:p>
    <w:p>
      <w:pPr>
        <w:spacing w:before="100" w:after="40"/>
      </w:pPr>
      <w:r>
        <w:rPr>
          <w:b/>
          <w:sz w:val="22"/>
        </w:rPr>
        <w:t>Recommendations for Executive Action</w:t>
      </w:r>
    </w:p>
    <w:p>
      <w:pPr>
        <w:spacing w:after="40"/>
        <w:ind w:left="216"/>
      </w:pPr>
      <w:r>
        <w:t>• Pursue the progression against the container mission, entering at SWRMC or SRF-JRMC. SWRMC is the most visible executor and SRF-JRMC holds the Area Maintenance Commander role, but neither is confirmed as the mission owner, so establishing who owns the decisions is the first task of discovery rather than an assumption going in. Contracting authority sits above both, at Commander, U.S. Pacific Fleet (Training and Readiness, N7, or Logistics, N4) or Commander, U.S. Fleet Forces Command. The vehicle would be CACI NSS, LLC’s existing OASIS or CIO-SP3 holdings.</w:t>
      </w:r>
    </w:p>
    <w:p>
      <w:pPr>
        <w:spacing w:after="40"/>
        <w:ind w:left="216"/>
      </w:pPr>
      <w:r>
        <w:t>• Initiate a two-phase engagement with a hard gate between phases. Phase 1 (low-cost): executive-led discovery meeting at PACFLT N7, FLTFORCOM N7, INDOPACOM J7, NAVSEA 04, or SRF-JRMC leadership; cost is executive travel and analyst prep; no Bid-and-Proposal (B&amp;P) commitment. Phase 2 (B&amp;P gate): commit B&amp;P to a Level 1 pilot task-order proposal ONLY if Phase 1 produces a customer Letter of Interest, a named funding vehicle (O&amp;M or RDT&amp;E realignment), or a comparably concrete buying signal. Precondition for any engagement step: CACI legal and contracts complete the Federal Acquisition Regulation (FAR) Subpart 9.5 Organizational Conflict of Interest (OCI) review described in the Risks section. The OCI review is a hard gate, not a parallel workstream.</w:t>
      </w:r>
    </w:p>
    <w:p>
      <w:pPr>
        <w:spacing w:after="40"/>
        <w:ind w:left="216"/>
      </w:pPr>
      <w:r>
        <w:t>• Set up the Hull, Mechanical, and Electrical (HM&amp;E) data bridge decision for downstream owners. ARKA covers about half of what a credible scenario needs, the threat side. The HM&amp;E bridge has to cover the repair side. Both are required before the environment is believable to a wardroom. The decision belongs to the executive engaged with the customer or to the proposal team, not to the BD analyst. The analyst recommendation: negotiate Government Furnished Information (GFI) from Naval Surface Warfare Center Carderock Division (NSWC Carderock), with Naval Sea Systems Command Ship Design and Engineering (NAVSEA 05) as the data-release technical authority. The GFI conversation will not progress without NAVSEA 05 agreement. Plan B if NAVSEA 05 declines: pivot to a tactical teaming arrangement with a naval-engineering firm that holds HM&amp;E modeling capability, partner choice contingent on customer pull. Plan C: CACI's internal naval-IT footprint, scoped to whatever HM&amp;E telemetry or maintenance-record data it actually holds. The proposal team confirms availability before relying on it. Treat the 12-to-18-month Authority to Operate (ATO) risk as a known schedule item.</w:t>
      </w:r>
    </w:p>
    <w:p>
      <w:pPr>
        <w:ind w:left="360"/>
      </w:pPr>
      <w:r>
        <w:t>• Find the payer, and start with the study sponsor. The container mission is unfunded, so the organization most likely to want this is the one least able to buy it. RAND’s report was paid for by the Office of the Assistant Secretary of War for Sustainment, Product Support office, which makes it a more plausible first call than the fleet commands. The other named candidate is PAE Maritime’s Ship Readiness portfolio, which carries maintenance for combatants and training systems together under Rear Adm. Andy Biehn. Beyond those: the fleet commander who owns the readiness requirement, the type commander, a research and development line, or an existing training contract with room in scope. If Phase 1 cannot name a plausible payer, stop there and say so.</w:t>
      </w:r>
    </w:p>
    <w:p>
      <w:pPr>
        <w:spacing w:after="40"/>
        <w:ind w:left="216"/>
      </w:pPr>
      <w:r>
        <w:t>• Keep an alternative entry ready through the Defense Innovation Unit (DIU), Small Business Innovation Research (SBIR), or Small Business Technology Transfer (STTR) at Level 1 or Level 2 scope. Run it if executive engagement does not produce a task order inside the planning horizon.</w:t>
      </w:r>
    </w:p>
    <w:p>
      <w:pPr>
        <w:spacing w:before="100" w:after="40"/>
      </w:pPr>
      <w:r>
        <w:rPr>
          <w:b/>
          <w:sz w:val="22"/>
        </w:rPr>
        <w:t>Risks and Flagged Concerns</w:t>
      </w:r>
    </w:p>
    <w:p>
      <w:pPr>
        <w:spacing w:after="40"/>
        <w:ind w:left="216"/>
      </w:pPr>
      <w:r>
        <w:t>• No existing Navy task order. The OASIS and CIO-SP3 vehicle holdings reduce this risk because no new vehicle is required, but the Navy still has to decide to issue the task order. If executive engagement does not produce one, entry collapses to the DIU, SBIR, or STTR pilot path or a subcontract on someone else's vehicle.</w:t>
      </w:r>
    </w:p>
    <w:p>
      <w:pPr>
        <w:spacing w:after="40"/>
        <w:ind w:left="216"/>
      </w:pPr>
      <w:r>
        <w:t>• Incumbent lockout at the fleet-command exercise-planning layer. Three credible candidate incumbents are source-grounded at adjacent Navy customers: Booz Allen Hamilton at the Indo-Pacific defense-services portfolio level; Science Applications International Corporation (SAIC) at $120 million Navy Tactical Training War Game Support; Huntington Ingalls Industries Mission Technologies (HII Mission Technologies) at a $267 million Navy training multiple-award IDIQ and a $75 million Aegis live-virtual-constructive task order. Specialized sub-tier firms remain to be source-grounded. The specific incumbent subset active at FLTFORCOM N7, PACFLT N7, INDOPACOM J7, and SRF-JRMC is the next find_sources pass target.</w:t>
      </w:r>
    </w:p>
    <w:p>
      <w:pPr>
        <w:spacing w:after="40"/>
        <w:ind w:left="216"/>
      </w:pPr>
      <w:r>
        <w:t>• Organizational Conflict of Interest, and it is sharper in this version. The direction of this research is informed in part by non-public knowledge of work at SRF-JRMC. None of that knowledge is cited anywhere in this brief, and every claim here traces to a public source. But SRF-JRMC is now named in the public record as the command coordinating the mission this product would serve, which makes the question harder rather than easier. CACI legal and contracts should close a review under Federal Acquisition Regulation Subpart 9.5 before any engagement with either command. This is a gate, not a parallel task. Separately, note that the acquisition organization itself is in motion: roughly 70 percent of systems-command functions and workforce are moving to Portfolio Acquisition Executives, maintenance and the public shipyards have moved to PAE Industrial Operations, and a comprehensive systems-command study is underway. Any office briefed now may not hold the decision when a task order is written, which is a further argument for keeping Phase 1 cheap.</w:t>
      </w:r>
    </w:p>
    <w:p>
      <w:pPr>
        <w:spacing w:after="40"/>
        <w:ind w:left="216"/>
      </w:pPr>
      <w:r>
        <w:t>• HM&amp;E-data bridge schedule risk. If the chosen bridge approach is the GFI path, securing the ATO for a gamified non-system-of-record environment can take 12 to 18 months. Engagement sequencing should account for this lead time.</w:t>
      </w:r>
    </w:p>
    <w:p>
      <w:pPr>
        <w:spacing w:before="100"/>
      </w:pPr>
      <w:r>
        <w:rPr>
          <w:i/>
          <w:sz w:val="16"/>
        </w:rPr>
        <w:t>v0.11 built 2026-07-28, distilled from capture brief v0.10. Adds the Portfolio Acquisition Executive restructuring and the comprehensive systems-command study now underway, which explains why no public source names a mission owner and moves the acquisition target off NAVSEA 04. PAE Maritime’s Ship Readiness portfolio, which holds maintenance and training systems together, is added as a payer lead. Capture sections 2.8 and 8.7 carry it in full.</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