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v0.5 DRAFT</w:t>
        <w:br/>
        <w:br/>
        <w:t>BDR-FLEET-READINESS</w:t>
        <w:br/>
        <w:br/>
        <w:t>Five-level analog-first progression of gamified decision-rehearsal scenarios for U.S. Navy Battle Damage Assessment and Repair (BDAR) teams and the fleet commanders they support</w:t>
        <w:br/>
        <w:br/>
        <w:t>Draft date: 2026-05-28  |  For CACI executive review (open-source-only).</w:t>
        <w:br/>
        <w:br/>
        <w:t>v0.5 changes from v0.4: incorporates the 2026-05-28 verifier-sweep / source-grounding / read-aloud closure pass — PIID corrections (47QFCA20F0042 → 47QFCA20F0002), CIO-SP3 source-grounding with PIID HHSN316201200032W, OASIS Pool 1 inline framing, §4.3 named-contractor citations (SAIC / HII Mission Technologies / Booz Allen all source-grounded), HM&amp;E bridge framing (decision owned downstream; analyst recommendation NSWC Carderock GFI), and the SWARMEX-Cebu compound coinage replaced with the program name.</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The recommendation, summarized at section 7, asks CACI executive leadership to consider initiating engagement with one of the named Navy commands and pitching a Level 1 pilot task order against the existing OASIS or CIO-SP3 vehicle. The Navy is not running a Request for Proposal (RFP) for this work today. The path to procurement is likely to require proactive executive-level engagement. An alternative entry path uses the Defense Innovation Unit (DIU), Small Business Innovation Research (SBIR), or Small Business Technology Transfer (STTR) pilot mechanisms at smaller per-engagement scale.</w:t>
      </w:r>
    </w:p>
    <w:p>
      <w:r>
        <w:br w:type="page"/>
      </w:r>
    </w:p>
    <w:p>
      <w:pPr>
        <w:spacing w:before="360" w:after="120"/>
      </w:pPr>
      <w:r>
        <w:rPr>
          <w:b/>
          <w:sz w:val="36"/>
        </w:rPr>
        <w:t>2. Demand signal</w:t>
      </w:r>
    </w:p>
    <w:p>
      <w:pPr>
        <w:spacing w:after="120"/>
      </w:pPr>
      <w:r>
        <w:t>Four independent signals point at the corrected-scope demand. Senior Navy leadership is publicly committing dollar volume to wartime ship-repair readiness. The Navy is publicly executing the most directly relevant exercise type in the most directly relevant venue. The Navy professional community is publicly arguing the gap is real. And the Department of Defense procures related contractor work-types at multi-hundred-million-dollar scale, though under three different work-type categories rather than one.</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multi-hundred-million-dollar scale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runs through the variables — proximity, repair capability, security posture, alliance access — and picks the port. The repair-activity wardroom at the chosen port then runs the same scenario from the receiving end —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 forward-deployed, audience and venue match the product.</w:t>
      </w:r>
    </w:p>
    <w:p>
      <w:pPr>
        <w:spacing w:after="60"/>
        <w:ind w:left="360"/>
      </w:pPr>
      <w:r>
        <w:t>• CNRMC plus subordinate RMCs plus Surface Team One (ST1) — Navy-wide repair-activity layer.</w:t>
      </w:r>
    </w:p>
    <w:p>
      <w:pPr>
        <w:spacing w:after="60"/>
        <w:ind w:left="360"/>
      </w:pPr>
      <w:r>
        <w:t>• Public naval shipyards (NNSY, PSNS, PHNS, PNSY) — heaviest infrastructure investment, longer procurement cycles.</w:t>
      </w:r>
    </w:p>
    <w:p>
      <w:pPr>
        <w:spacing w:before="160" w:after="40"/>
      </w:pPr>
      <w:r>
        <w:rPr>
          <w:b/>
          <w:sz w:val="24"/>
        </w:rPr>
        <w:t>Contracting-authority ranking — task order against an existing CACI vehicle</w:t>
      </w:r>
    </w:p>
    <w:p>
      <w:pPr>
        <w:spacing w:after="60"/>
        <w:ind w:left="360"/>
      </w:pPr>
      <w:r>
        <w:t>• PACFLT N7 / N4 or FLTFORCOM N7 / N4 — owns the fleet-exercise rhythm; could issue a task order against CACI NSS, LLC's existing OASIS or CIO-SP3 holdings.</w:t>
      </w:r>
    </w:p>
    <w:p>
      <w:pPr>
        <w:spacing w:after="60"/>
        <w:ind w:left="360"/>
      </w:pPr>
      <w:r>
        <w:t>• INDOPACOM J7 — owns joint multi-domain exercise procurement; same task-order path against the same vehicles.</w:t>
      </w:r>
    </w:p>
    <w:p>
      <w:pPr>
        <w:spacing w:after="60"/>
        <w:ind w:left="360"/>
      </w:pPr>
      <w:r>
        <w:t>• DIU, SBIR, or STTR —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 Federal-wide Professional Services contract.</w:t>
      </w:r>
    </w:p>
    <w:p>
      <w:pPr>
        <w:spacing w:after="60"/>
        <w:ind w:left="360"/>
      </w:pPr>
      <w:r>
        <w:t>• NITAAC Chief Information Officer–Solutions and Partners 3 (CIO-SP3) —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A Navy command could issue a task order against any of them without standing up a new Navy-specific contract. The AFRICOM $194 million task order is the precedent — Army funded, GSA awarded, CACI executes against GSA OASIS Pool 1 — a vehicle CACI NSS, LLC already held. The Navy fleet-command equivalent would be PACFLT N7 funds, GSA awards, CACI executes against the same vehicle.</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w:t>
      </w:r>
    </w:p>
    <w:p>
      <w:pPr>
        <w:spacing w:after="60"/>
        <w:ind w:left="360"/>
      </w:pPr>
      <w:r>
        <w:t>• Leg 2 —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 Customer-access pathway feasibility. Killed by fleet-command incumbents locking out CACI entry timeline, or by contractual right-of-first-refusal language preventing new-entrant access.</w:t>
      </w:r>
    </w:p>
    <w:p>
      <w:pPr>
        <w:spacing w:after="60"/>
        <w:ind w:left="360"/>
      </w:pPr>
      <w:r>
        <w:t>• Leg 6 —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SRF-JRMC. Contracting authority: PACFLT N7 or N4, or FLTFORCOM N7 or N4. Contracting vehicle: CACI NSS, LLC's existing OASIS, CIO-SP3, or MAS holding, with no new Navy-specific vehicle required.</w:t>
      </w:r>
    </w:p>
    <w:p>
      <w:pPr>
        <w:spacing w:before="240" w:after="80"/>
      </w:pPr>
      <w:r>
        <w:rPr>
          <w:b/>
          <w:sz w:val="28"/>
        </w:rPr>
        <w:t>7.2 Initiate CACI executive engagement with the named Navy commands</w:t>
      </w:r>
    </w:p>
    <w:p>
      <w:pPr>
        <w:spacing w:after="120"/>
      </w:pPr>
      <w:r>
        <w:t>The Navy is not running an RFP for this work today. The path to procurement is likely to require proactive engagement with PACFLT N7, FLTFORCOM N7, INDOPACOM J7, NAVSEA 04 (the headquarters above PAE-IO), or SRF-JRMC leadership. The pitch could open with the work-type, the AFRICOM precedent, the GSA-wide vehicles CACI already holds, and a request for a Level 1 pilot task order against the existing OASIS or CIO-SP3 holding.</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possible additional sources at another Naval Surface Warfare Center or somewhere in PAE-IO; treat the 12-to-18-month Authority to Operate (ATO) risk as a known schedule item; and avoid the teaming-with-HM&amp;E-prime path because it forces an early commit to a specific partner before customer pull is known. CACI's internal naval-IT footprint remains a viable fallback if the GFI negotiation stalls.</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 the layer could be crowded enough to require partnering, or sparse enough to allow first-mover prime entry. A find_sources pass narrowed to those N7 contracting offices is the next investigative step before any partnering or capture decision.</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Public sources support the hypothesis that the Navy has a wartime-repair problem and that the rest of DoD buys related work-types from contractors at scale. Public sources do not yet demonstrate a Navy procurement line for the specific proposed product. The case for entry rests on the adjacent-precedent argument plus CACI's existing capability lineage and vehicle holdings, not on a confirmed Navy demand signal.</w:t>
      </w:r>
    </w:p>
    <w:p>
      <w:r>
        <w:br w:type="page"/>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 they are the workflow that follows from a decision to advance the recommendations in section 7.</w:t>
      </w:r>
    </w:p>
    <w:p>
      <w:pPr>
        <w:spacing w:after="60"/>
        <w:ind w:left="360"/>
      </w:pPr>
      <w:r>
        <w:t>• BD team gate review of this brief at v0.5 to confirm the proposed-scope frame.</w:t>
      </w:r>
    </w:p>
    <w:p>
      <w:pPr>
        <w:spacing w:after="60"/>
        <w:ind w:left="360"/>
      </w:pPr>
      <w:r>
        <w:t>• Run a follow-on source-finding pass narrowed to specific contracting offices at PACFLT N7, FLTFORCOM N7, INDOPACOM J7, and SRF-JRMC —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 initial scenario cards for the port-selection, foreign-port emergency contracting, and forward team mobilization decision moments —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r>
    </w:p>
    <w:p>
      <w:pPr>
        <w:spacing w:after="60"/>
        <w:ind w:left="360"/>
      </w:pPr>
      <w:r>
        <w:t>• CNO Caudle Statement on the Posture of the United States Navy, HASC, 14 May 2026.</w:t>
      </w:r>
    </w:p>
    <w:p>
      <w:pPr>
        <w:spacing w:after="60"/>
        <w:ind w:left="360"/>
      </w:pPr>
      <w:r>
        <w:t>• USS Ashland Ship Wartime Repair and Maintenance Exercise primary press releases —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 PSNS and Subordinate Bases.</w:t>
      </w:r>
    </w:p>
    <w:p>
      <w:pPr>
        <w:spacing w:after="60"/>
        <w:ind w:left="360"/>
      </w:pPr>
      <w:r>
        <w:t>• CACI NSS, LLC vehicle holdings — GSA OASIS, NITAAC CIO-SP3, GSA MAS GS-35F-349CA (web-verified 2026-05-26).</w:t>
      </w:r>
    </w:p>
    <w:p>
      <w:pPr>
        <w:spacing w:after="120"/>
      </w:pPr>
      <w:r>
        <w:rPr>
          <w:i/>
        </w:rPr>
        <w:t>End of capture brief v0.5 draft. Build date: 2026-05-28. v0.5 changes from v0.4: 2026-05-28 verifier-sweep / source-grounding / read-aloud closure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