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44"/>
        </w:rPr>
        <w:t>CAPTURE BRIEF — v0.6 DRAFT</w:t>
        <w:br/>
        <w:br/>
        <w:t>BDR-FLEET-READINESS</w:t>
        <w:br/>
        <w:br/>
        <w:t>Five-level analog-first progression of gamified decision-rehearsal scenarios for U.S. Navy Battle Damage Assessment and Repair (BDAR) teams and the fleet commanders they support</w:t>
        <w:br/>
        <w:br/>
        <w:t>Draft date: 2026-05-28  |  For CACI executive review (open-source-only).</w:t>
        <w:br/>
        <w:br/>
        <w:t>v0.6 changes from v0.5: eight Gemini-convergent edits from the 2026-05-28 red-team — phased ask with hard B&amp;P gate (§7.2), OCI promoted to §7.1 precondition, realism math articulated in §5.3 (ARKA threat-side 50% + HM&amp;E repair-side 50%), GFI Plan B and Plan C technical fallbacks named, §5.4 reframed as path-to-market feasibility (vehicles are friction-removers, not differentiators against incumbents), AFRICOM-vs-PACFLT contracting-culture sentence added to §5.1, scaling-logic paragraph added to §6 (L1-L2 manual → L3-L5 AI, triggered by exercise rhythm), NAVSEA 05 added as data-release technical authority (§5.3, §7.3) and negative-stakeholder credibility-anchor risk (§8.2).</w:t>
        <w:br/>
      </w:r>
      <w:r>
        <w:rPr>
          <w:b/>
          <w:sz w:val="36"/>
        </w:rPr>
      </w:r>
      <w:r>
        <w:rPr>
          <w:i/>
          <w:sz w:val="26"/>
        </w:rPr>
      </w:r>
      <w:r>
        <w:rPr>
          <w:sz w:val="20"/>
        </w:rPr>
      </w:r>
      <w:r>
        <w:rPr>
          <w:i/>
          <w:sz w:val="18"/>
        </w:rPr>
      </w:r>
    </w:p>
    <w:p>
      <w:r>
        <w:br w:type="page"/>
      </w:r>
    </w:p>
    <w:p>
      <w:pPr>
        <w:spacing w:before="360" w:after="120"/>
      </w:pPr>
      <w:r>
        <w:rPr>
          <w:b/>
          <w:sz w:val="36"/>
        </w:rPr>
        <w:t>1. Bottom Line Up Front</w:t>
      </w:r>
    </w:p>
    <w:p>
      <w:pPr>
        <w:spacing w:after="120"/>
      </w:pPr>
      <w:r>
        <w:t>The U.S. Navy is publicly signaling demand for better wartime ship-repair readiness. The rest of the Department of Defense (DoD) buys related contractor work at multi-hundred-million-dollar scale. The Navy could plausibly buy this kind of work too. As of this draft date, public sources do not show a Navy procurement line for the specific sub-product proposed here. That gap is the opportunity this brief asks CACI leadership to consider.</w:t>
      </w:r>
    </w:p>
    <w:p>
      <w:pPr>
        <w:spacing w:after="120"/>
      </w:pPr>
      <w:r>
        <w:t>The proposed product is a five-level progression of gamified decision-rehearsal scenarios. Level 1 is a five- to fifteen-minute flash drill on a printed scenario card. Level 2 is a thirty- to forty-five-minute linked-decision sequence. Level 3 is the full one-hour gamified wardroom session that integrates the six operational-decision moments. Level 4 is a two- to four-hour multi-session campaign across a deployment cycle. Level 5 is software-driven scenario injection into live fleet exercises. The progression starts analog and moves to software at Level 4, where artificial intelligence (AI) scenario generation is justified by scale. The same scenario content serves two audiences: the wardroom at a Navy repair activity preparing to receive a damaged ship, and the fleet commander deciding where to send her. Port selection is the canonical scenario serving both audiences.</w:t>
      </w:r>
    </w:p>
    <w:p>
      <w:pPr>
        <w:spacing w:after="120"/>
      </w:pPr>
      <w:r>
        <w:t>The proposed procurement path uses contracting vehicles CACI already holds. CACI National Security Solutions, LLC (CACI NSS, LLC) is a CACI subsidiary that holds three governmentwide acquisition vehicles open to any federal customer including any U.S. Navy command: General Services Administration (GSA) One Acquisition Solution for Integrated Services (OASIS); the National Institutes of Health Information Technology Acquisition and Assessment Center Chief Information Officer–Solutions and Partners 3 contract (NITAAC CIO-SP3); and GSA Multiple Award Schedule (MAS). The Navy could issue a task order against any of these vehicles without standing up a new Navy-specific contract. The $194 million task order CACI NSS, LLC currently holds for support to U.S. Africa Command (AFRICOM) is the precedent.</w:t>
      </w:r>
    </w:p>
    <w:p>
      <w:pPr>
        <w:spacing w:after="120"/>
      </w:pPr>
      <w:r>
        <w:t>The recommendation, summarized at section 7, asks CACI executive leadership to consider initiating engagement with one of the named Navy commands and pitching a Level 1 pilot task order against the existing OASIS or CIO-SP3 vehicle. The Navy is not running a Request for Proposal (RFP) for this work today. The path to procurement is likely to require proactive executive-level engagement. An alternative entry path uses the Defense Innovation Unit (DIU), Small Business Innovation Research (SBIR), or Small Business Technology Transfer (STTR) pilot mechanisms at smaller per-engagement scale.</w:t>
      </w:r>
    </w:p>
    <w:p>
      <w:r>
        <w:br w:type="page"/>
      </w:r>
    </w:p>
    <w:p>
      <w:pPr>
        <w:spacing w:before="360" w:after="120"/>
      </w:pPr>
      <w:r>
        <w:rPr>
          <w:b/>
          <w:sz w:val="36"/>
        </w:rPr>
        <w:t>2. Demand signal</w:t>
      </w:r>
    </w:p>
    <w:p>
      <w:pPr>
        <w:spacing w:after="120"/>
      </w:pPr>
      <w:r>
        <w:t>Four independent signals point at the corrected-scope demand. Senior Navy leadership is publicly committing dollar volume to wartime ship-repair readiness. The Navy is publicly executing the most directly relevant exercise type in the most directly relevant venue. The Navy professional community is publicly arguing the gap is real. And the Department of Defense procures related contractor work-types at multi-hundred-million-dollar scale, though under three different work-type categories rather than one.</w:t>
      </w:r>
    </w:p>
    <w:p>
      <w:pPr>
        <w:spacing w:before="240" w:after="80"/>
      </w:pPr>
      <w:r>
        <w:rPr>
          <w:b/>
          <w:sz w:val="28"/>
        </w:rPr>
        <w:t>2.1 Senior-leadership signal</w:t>
      </w:r>
    </w:p>
    <w:p>
      <w:pPr>
        <w:spacing w:after="120"/>
      </w:pPr>
      <w:r>
        <w:t>Admiral Daryl L. Caudle, Chief of Naval Operations (CNO), delivered a Statement on the Posture of the United States Navy before the House Armed Services Committee (HASC) on 14 May 2026, naming maintenance a warfighting requirement and announcing a planned deliberate study of Navy yard capacity. The Department of the Navy Fiscal Year 2027 (FY27) President's Budget Press Brief funds Ship Maintenance at $17.0 billion explicitly to drive the fleet toward an 80-percent Combat Surge Ready (CSR) posture. The same brief includes a separate $0.6 billion Contested Logistics line item, justified because adversaries will target supply lines, ports, and communications. Thirty-seven ships are listed as Forward Deployed Naval Forces (FDNF).</w:t>
      </w:r>
    </w:p>
    <w:p>
      <w:pPr>
        <w:spacing w:before="240" w:after="80"/>
      </w:pPr>
      <w:r>
        <w:rPr>
          <w:b/>
          <w:sz w:val="28"/>
        </w:rPr>
        <w:t>2.2 Navy exercise events — the Ship Wartime Repair and Maintenance Exercise at Cebu</w:t>
      </w:r>
    </w:p>
    <w:p>
      <w:pPr>
        <w:spacing w:after="120"/>
      </w:pPr>
      <w:r>
        <w:t>The Ship Repair Facility–Japan Regional Maintenance Center (SRF-JRMC), U.S. Seventh Fleet, U.S. Indo-Pacific Command (USINDOPACOM), and U.S. Pacific Fleet (COMPACFLT) all published parallel releases announcing that USS Ashland (Landing Ship Dock 48) completed the Ship Wartime Repair and Maintenance Exercise (SWARMEX) at Cebu, Philippines in coordination with Philippine Navy partners and local Philippine contractors. The exercise involved an amphibious warfare ship operating at a foreign port, host-nation contractor coordination for repair work, and Philippine Naval Sea Systems Command participation. The exercise structure aligns with three of the six operational-decision moments the proposed product addresses: forward team mobilization, foreign-port emergency contracting, and host-nation legal framework navigation.</w:t>
      </w:r>
    </w:p>
    <w:p>
      <w:pPr>
        <w:spacing w:before="240" w:after="80"/>
      </w:pPr>
      <w:r>
        <w:rPr>
          <w:b/>
          <w:sz w:val="28"/>
        </w:rPr>
        <w:t>2.3 Policy-community pressure</w:t>
      </w:r>
    </w:p>
    <w:p>
      <w:pPr>
        <w:spacing w:after="120"/>
      </w:pPr>
      <w:r>
        <w:t>The U.S. Naval Institute (USNI) Proceedings published "Fix the Navy's Expeditionary Repair," arguing current expeditionary repair capability is inadequate to support fleet operations under wartime contestation. The Center for International Maritime Security (CIMSEC) published "If the U.S. Navy Can't Repair Ships in Peacetime, How Will It Do So in War?" — arguing current peacetime repair throughput is the floor and wartime throughput needs to be higher. Both publications reach the customer organizations.</w:t>
      </w:r>
    </w:p>
    <w:p>
      <w:pPr>
        <w:spacing w:before="240" w:after="80"/>
      </w:pPr>
      <w:r>
        <w:rPr>
          <w:b/>
          <w:sz w:val="28"/>
        </w:rPr>
        <w:t>2.4 Three distinct procurement precedents</w:t>
      </w:r>
    </w:p>
    <w:p>
      <w:pPr>
        <w:spacing w:after="120"/>
      </w:pPr>
      <w:r>
        <w:t>Earlier drafts of this brief lumped three federal contracts together as evidence the DoD buys exercise design at scale. That was imprecise. The three contracts split into three distinct work-types, and each tells the reader something different.</w:t>
      </w:r>
    </w:p>
    <w:p>
      <w:pPr>
        <w:spacing w:after="120"/>
      </w:pPr>
      <w:r>
        <w:t>**CACI NSS, LLC at AFRICOM.** $194 million task order for broad professional services to AFRICOM with exercise, training, and operations support as named scope. Department of Defense / Department of the Army funder. Awarded by the GSA Federal Acquisition Service against parent contract GS00Q14OADU121, GSA OASIS Pool 1. This is the closest analog to the proposed product's work-type. It is also the strongest single piece of evidence that CACI has executed the same kind of work at multi-hundred-million-dollar scale at a sister Combatant Command.</w:t>
      </w:r>
    </w:p>
    <w:p>
      <w:pPr>
        <w:spacing w:after="120"/>
      </w:pPr>
      <w:r>
        <w:t>**Parsons Government Services Inc. at the Office of the Secretary of Defense (OSD).** $556.8 million Command, Control, Communications, Computers, Combat Systems, Intelligence, Surveillance, Reconnaissance, and Targeting / Exercises / Operations / Information Services (CEOIS) task order, providing near real-time situational awareness and decision support to the DoD Combatant Commands. This is decision support for active operations, not exercise design. Software and contractor staff embedded at the Combatant Commands. A different work-type than the proposed product, but adjacent.</w:t>
      </w:r>
    </w:p>
    <w:p>
      <w:pPr>
        <w:spacing w:after="120"/>
      </w:pPr>
      <w:r>
        <w:t>**Axient LLC at the Missile Defense Agency (MDA).** $233.8 million Test, Exercise and Wargames Support contract. Exercise and wargames work for missile defense testing and operator training. Same work-type as the proposed product, but in a different domain. Closest single precedent for a DoD agency procuring a large exercise-and-wargames contract through one named vehicle.</w:t>
      </w:r>
    </w:p>
    <w:p>
      <w:pPr>
        <w:spacing w:after="120"/>
      </w:pPr>
      <w:r>
        <w:t>What the three together suggest. The DoD procures the proposed-product work-type at scale via CACI NSS, LLC at AFRICOM and via Axient at MDA. The DoD procures the adjacent decision-support work-type at scale via Parsons at OSD. The Navy could plausibly procure either or both work-types. As of this draft date, the Navy has not done so under a named vehicle visible in the public record. A targeted source-finding pass for Navy fleet-command exercise-planning contracts was initiated 2026-05-26; results will inform later brief versions.</w:t>
      </w:r>
    </w:p>
    <w:p>
      <w:r>
        <w:br w:type="page"/>
      </w:r>
    </w:p>
    <w:p>
      <w:pPr>
        <w:spacing w:before="360" w:after="120"/>
      </w:pPr>
      <w:r>
        <w:rPr>
          <w:b/>
          <w:sz w:val="36"/>
        </w:rPr>
        <w:t>3. Customer landscape</w:t>
      </w:r>
    </w:p>
    <w:p>
      <w:pPr>
        <w:spacing w:after="120"/>
      </w:pPr>
      <w:r>
        <w:t>The candidate customer set for the proposed product is layered. Strategic direction sits with the Secretary of the Navy (SECNAV) and CNO. They set priorities and authorize budget but do not procure the product directly. The repair-activity layer is the four public naval shipyards: Norfolk Naval Shipyard (NNSY), Puget Sound Naval Shipyard (PSNS), Pearl Harbor Naval Shipyard (PHNS), and Portsmouth Naval Shipyard (PNSY); plus the Regional Maintenance Centers (RMCs), including the forward-deployed SRF-JRMC; plus Commander, Navy Regional Maintenance Center (CNRMC) as the parent command. The doctrinal authority is Naval Warfare Development Center (NWDC). The fleet-command training-authority layer is Commander, U.S. Fleet Forces Command (FLTFORCOM); COMPACFLT; Commander, Naval Surface Forces (COMNAVSURFOR); and the U.S. Indo-Pacific Command Joint Operations Directorate (INDOPACOM J7).</w:t>
      </w:r>
    </w:p>
    <w:p>
      <w:pPr>
        <w:spacing w:before="240" w:after="80"/>
      </w:pPr>
      <w:r>
        <w:rPr>
          <w:b/>
          <w:sz w:val="28"/>
        </w:rPr>
        <w:t>3.1 Two audiences for the same scenario base</w:t>
      </w:r>
    </w:p>
    <w:p>
      <w:pPr>
        <w:spacing w:after="120"/>
      </w:pPr>
      <w:r>
        <w:t>The proposed product serves two audiences with the same scenario content. The repair-activity wardroom (the commanding officer of the shipyard, the executive officer of the RMC, the SRF-JRMC commander, plus department heads and visiting fleet liaisons) prepares to receive a damaged ship and mobilize against the work. The fleet commander (the tactical operator who owns the ship) decides where to send the damaged ship in the first place. Same scenario content. Different decision-maker focus.</w:t>
      </w:r>
    </w:p>
    <w:p>
      <w:pPr>
        <w:spacing w:after="120"/>
      </w:pPr>
      <w:r>
        <w:t>Port selection is the canonical dual-audience scenario. A destroyer takes shock damage 800 miles from three friendly ports. The fleet commander runs through the variables — proximity, repair capability, security posture, alliance access — and picks the port. The repair-activity wardroom at the chosen port then runs the same scenario from the receiving end — receive the ship, stage the repair team, hire local welders, handle customs. The product can run as a wardroom exercise at the receiving end (typically Level 3) or as a fleet-commander decision rehearsal at the sending end (Level 1 or Level 3 depending on the customer's preferred format).</w:t>
      </w:r>
    </w:p>
    <w:p>
      <w:pPr>
        <w:spacing w:before="240" w:after="80"/>
      </w:pPr>
      <w:r>
        <w:rPr>
          <w:b/>
          <w:sz w:val="28"/>
        </w:rPr>
        <w:t>3.2 Procurement model — end-user separate from contracting authority</w:t>
      </w:r>
    </w:p>
    <w:p>
      <w:pPr>
        <w:spacing w:after="120"/>
      </w:pPr>
      <w:r>
        <w:t>The operationally-most-exposed end-user (SRF-JRMC) is not necessarily the contracting authority. SRF-JRMC operates with Operations and Maintenance (O&amp;M) dollars to fix forward-deployed ships. It does not typically possess the Research, Development, Test, and Evaluation (RDT&amp;E) or Other Procurement, Navy (OPN) budget authority needed for a net-new software platform. The capture model in this brief decouples the two layers. SRF-JRMC sponsors the operational requirement. PACFLT N7 or N4, or FLTFORCOM N7 or N4, holds the contracting authority and the right budget color.</w:t>
      </w:r>
    </w:p>
    <w:p>
      <w:pPr>
        <w:spacing w:before="160" w:after="40"/>
      </w:pPr>
      <w:r>
        <w:rPr>
          <w:b/>
          <w:sz w:val="24"/>
        </w:rPr>
        <w:t>End-user / sponsor ranking</w:t>
      </w:r>
    </w:p>
    <w:p>
      <w:pPr>
        <w:spacing w:after="60"/>
        <w:ind w:left="360"/>
      </w:pPr>
      <w:r>
        <w:t>• SRF-JRMC wartime readiness cell — forward-deployed, audience and venue match the product.</w:t>
      </w:r>
    </w:p>
    <w:p>
      <w:pPr>
        <w:spacing w:after="60"/>
        <w:ind w:left="360"/>
      </w:pPr>
      <w:r>
        <w:t>• CNRMC plus subordinate RMCs plus Surface Team One (ST1) — Navy-wide repair-activity layer.</w:t>
      </w:r>
    </w:p>
    <w:p>
      <w:pPr>
        <w:spacing w:after="60"/>
        <w:ind w:left="360"/>
      </w:pPr>
      <w:r>
        <w:t>• Public naval shipyards (NNSY, PSNS, PHNS, PNSY) — heaviest infrastructure investment, longer procurement cycles.</w:t>
      </w:r>
    </w:p>
    <w:p>
      <w:pPr>
        <w:spacing w:before="160" w:after="40"/>
      </w:pPr>
      <w:r>
        <w:rPr>
          <w:b/>
          <w:sz w:val="24"/>
        </w:rPr>
        <w:t>Contracting-authority ranking — task order against an existing CACI vehicle</w:t>
      </w:r>
    </w:p>
    <w:p>
      <w:pPr>
        <w:spacing w:after="60"/>
        <w:ind w:left="360"/>
      </w:pPr>
      <w:r>
        <w:t>• PACFLT N7 / N4 or FLTFORCOM N7 / N4 — owns the fleet-exercise rhythm; could issue a task order against CACI NSS, LLC's existing OASIS or CIO-SP3 holdings.</w:t>
      </w:r>
    </w:p>
    <w:p>
      <w:pPr>
        <w:spacing w:after="60"/>
        <w:ind w:left="360"/>
      </w:pPr>
      <w:r>
        <w:t>• INDOPACOM J7 — owns joint multi-domain exercise procurement; same task-order path against the same vehicles.</w:t>
      </w:r>
    </w:p>
    <w:p>
      <w:pPr>
        <w:spacing w:after="60"/>
        <w:ind w:left="360"/>
      </w:pPr>
      <w:r>
        <w:t>• DIU, SBIR, or STTR — alternative entry if direct task-order pitch does not produce procurement inside the planning horizon.</w:t>
      </w:r>
    </w:p>
    <w:p>
      <w:pPr>
        <w:spacing w:after="60"/>
        <w:ind w:left="360"/>
      </w:pPr>
      <w:r>
        <w:t>• Naval Sea Systems Command Logistics, Maintenance, and Industrial Operations Directorate (NAVSEA 04), which sits above PAE Industrial Operations (PAE-IO), or Program Executive Office Integrated Warfare Systems (PEO IWS) — Navy Systems Command (SYSCOM) level authority; longer cycle but applicable if the product enters as part of a program of record.</w:t>
      </w:r>
    </w:p>
    <w:p>
      <w:r>
        <w:br w:type="page"/>
      </w:r>
    </w:p>
    <w:p>
      <w:pPr>
        <w:spacing w:before="360" w:after="120"/>
      </w:pPr>
      <w:r>
        <w:rPr>
          <w:b/>
          <w:sz w:val="36"/>
        </w:rPr>
        <w:t>4. Competitive landscape</w:t>
      </w:r>
    </w:p>
    <w:p>
      <w:pPr>
        <w:spacing w:after="120"/>
      </w:pPr>
      <w:r>
        <w:t>The competitive picture has four layers. Cross-customer exercise, wargames, and decision-support incumbents at federal scale. Navy training-systems incumbents adjacent but not directly competitive. Fleet-command exercise-planning incumbents under-mapped in public sources but the most-likely direct-competition layer. Navy professional-services incumbents at the proposed-product customer.</w:t>
      </w:r>
    </w:p>
    <w:p>
      <w:pPr>
        <w:spacing w:before="240" w:after="80"/>
      </w:pPr>
      <w:r>
        <w:rPr>
          <w:b/>
          <w:sz w:val="28"/>
        </w:rPr>
        <w:t>4.1 Three distinct adjacent-work-type incumbents</w:t>
      </w:r>
    </w:p>
    <w:p>
      <w:pPr>
        <w:spacing w:after="120"/>
      </w:pPr>
      <w:r>
        <w:t>Per section 2.4 above, the three federal-contract precedents are three distinct work-types. CACI itself is the dominant incumbent in the closest analog via CACI NSS, LLC at AFRICOM. Parsons holds the OSD decision-support work. Axient holds the MDA missile-defense wargames work. None of the three are direct competitors for the proposed product at the Navy repair-activity level. CACI NSS, LLC is the same-vendor capability-lineage anchor. Parsons and Axient are procurement-precedents only.</w:t>
      </w:r>
    </w:p>
    <w:p>
      <w:pPr>
        <w:spacing w:before="240" w:after="80"/>
      </w:pPr>
      <w:r>
        <w:rPr>
          <w:b/>
          <w:sz w:val="28"/>
        </w:rPr>
        <w:t>4.2 Navy training-systems incumbents — adjacent scope, not direct competition</w:t>
      </w:r>
    </w:p>
    <w:p>
      <w:pPr>
        <w:spacing w:after="120"/>
      </w:pPr>
      <w:r>
        <w:t>On 31 March 2026 the Navy modified the Naval Air Warfare Center Training Systems Division (NAWCTSD) training-systems support Indefinite Delivery / Indefinite Quantity (IDIQ) contract to add $1.2 billion in ceiling, raising total contract value to $2.51 billion. Nine prime contractors compete for task orders: BGI–Aero Simulation Joint Venture (JV), CAE USA, Delaware Resource Group of Oklahoma, Engineering Support Personnel, Fidelity Technologies, FlightSafety Defense, LB&amp;B Associates, LTSS JV, and Valiant Global Defense Services. The work is simulator sustainment and instructional services, not the proposed-product work-type. The nine primes have Navy training relationships, contracting vehicles, and installation access, but are adjacent incumbents rather than direct competitors at the proposed-product level.</w:t>
      </w:r>
    </w:p>
    <w:p>
      <w:pPr>
        <w:spacing w:before="240" w:after="80"/>
      </w:pPr>
      <w:r>
        <w:rPr>
          <w:b/>
          <w:sz w:val="28"/>
        </w:rPr>
        <w:t>4.3 Fleet-command exercise-planning incumbents — under-mapped layer</w:t>
      </w:r>
    </w:p>
    <w:p>
      <w:pPr>
        <w:spacing w:after="120"/>
      </w:pPr>
      <w:r>
        <w:t>The fleet-command exercise authorities (FLTFORCOM N7, PACFLT N7, INDOPACOM J7, and SRF-JRMC's wartime-readiness cell) procure exercise-planning support for Composite Training Unit Exercise (COMPTUEX), the Rim of the Pacific Exercise (RIMPAC), the Navy Large-Scale Exercise (LSE) series, the Ship Wartime Repair and Maintenance Exercise (SWARMEX) program, and unit-level workups. Three credible candidate incumbents are now source-grounded at adjacent Navy customers — SAIC at $120M Navy Tactical Training War Game Support (NAVSUP, 2024); HII Mission Technologies at $267M Navy training multiple-award IDIQ (2025) plus $75M Aegis live-virtual-constructive task order (2024); and Booz Allen Hamilton at the Indo-Pacific defense-services portfolio level. Whether these primes pivot capability into FLTFORCOM N7, PACFLT N7, INDOPACOM J7, or SRF-JRMC specifically depends on whether they identify the fleet-command exercise-planning procurement pathway and commit capability into it. The specific incumbent subset at those N7 contracting offices is the open research question for the next find_sources pass; specialized exercise-design sub-tier firms exist alongside the named primes and remain to be source-grounded.</w:t>
      </w:r>
    </w:p>
    <w:p>
      <w:pPr>
        <w:spacing w:before="240" w:after="80"/>
      </w:pPr>
      <w:r>
        <w:rPr>
          <w:b/>
          <w:sz w:val="28"/>
        </w:rPr>
        <w:t>4.4 Navy professional-services incumbents at CNRMC — right customer, wrong vehicle</w:t>
      </w:r>
    </w:p>
    <w:p>
      <w:pPr>
        <w:spacing w:after="120"/>
      </w:pPr>
      <w:r>
        <w:t>Invictus Associates LLC holds Navy delivery order N0016424F3006 against parent contract N0017819D7883 for Professional Support Services (PSS) covering Fleet Readiness Support for CNRMC, subordinate RMCs, and Surface Team One. Total obligation $19,384,385. Place of performance Norfolk, Virginia. Department of the Navy funder. The parent contract is SeaPort Next-Generation (SeaPort-NxG), the Navy's generic-services vehicle. PSS through SeaPort-NxG buys staff augmentation and administrative support, not wargaming or scenario design. The Invictus task order is evidence the right customer procures contractor support generally, but the vehicle category is the wrong color of money for the proposed product.</w:t>
      </w:r>
    </w:p>
    <w:p>
      <w:r>
        <w:br w:type="page"/>
      </w:r>
    </w:p>
    <w:p>
      <w:pPr>
        <w:spacing w:before="360" w:after="120"/>
      </w:pPr>
      <w:r>
        <w:rPr>
          <w:b/>
          <w:sz w:val="36"/>
        </w:rPr>
        <w:t>5. Our fit — case for CACI entry</w:t>
      </w:r>
    </w:p>
    <w:p>
      <w:pPr>
        <w:spacing w:after="120"/>
      </w:pPr>
      <w:r>
        <w:t>The case for CACI entry rests on three capability pillars and one procurement-infrastructure asset. The pillars: existing federal contract footprint in the work-type at scale (section 5.1); applied capability lineage from CACI's INDOPACOM J7 multi-domain exercise-design work (section 5.2); the ARKA acquisition signature libraries for threat-environment realism (section 5.3). The infrastructure asset: CACI NSS, LLC already holds the GSA-side governmentwide vehicles a Navy fleet command could issue task orders against (section 5.4).</w:t>
      </w:r>
    </w:p>
    <w:p>
      <w:pPr>
        <w:spacing w:before="240" w:after="80"/>
      </w:pPr>
      <w:r>
        <w:rPr>
          <w:b/>
          <w:sz w:val="28"/>
        </w:rPr>
        <w:t>5.1 CACI NSS, LLC at AFRICOM</w:t>
      </w:r>
    </w:p>
    <w:p>
      <w:pPr>
        <w:spacing w:after="120"/>
      </w:pPr>
      <w:r>
        <w:t>CACI NSS, LLC holds task order 47QFCA20F0002 against parent contract GS00Q14OADU121 for "Plans, Operations, Logistics, Engagement, Training, Exercise, and Assessment Support to AFRICOM." Total obligation $194,034,792. Army funder via the GSA Federal Acquisition Service. The task order scope covers the full work-type stack named in the proposed-product description. AFRICOM is a Combatant Command operating with COCOM-level contracting; PACFLT and FLTFORCOM are Component Commands operating within a NAVSEA-controlled technical culture, so engagement at the Navy customer set must prioritize technical validation alongside operational fit — the AFRICOM precedent is a work-type proof, not a direct contracting-culture transfer.</w:t>
      </w:r>
    </w:p>
    <w:p>
      <w:pPr>
        <w:spacing w:after="120"/>
      </w:pPr>
      <w:r>
        <w:t>What CACI NSS, LLC actually is. CACI NSS, LLC is a CACI subsidiary that holds multiple federal contracting vehicles. It is a general-purpose CACI services subsidiary, not a Navy-specific subsidiary. It provides program management, systems engineering, scientific services, logistics services, information technology solutions, and custom software development across DoD and the federal civil agencies. The "NSS" designation is historically tied to a National Security Solutions line.</w:t>
      </w:r>
    </w:p>
    <w:p>
      <w:pPr>
        <w:spacing w:before="240" w:after="80"/>
      </w:pPr>
      <w:r>
        <w:rPr>
          <w:b/>
          <w:sz w:val="28"/>
        </w:rPr>
        <w:t>5.2 PMTEC INDOPACOM J7 capability lineage</w:t>
      </w:r>
    </w:p>
    <w:p>
      <w:pPr>
        <w:spacing w:after="120"/>
      </w:pPr>
      <w:r>
        <w:t>CACI participates in the USINDOPACOM J7 Pacific Multi-Domain Training and Experimentation Capability (PMTEC) ecosystem, tracked separately in the PMTEC-USINDOPACOM opportunity in this vault. The capabilities CACI demonstrates under PMTEC are Live-Virtual-Constructive (LVC) integration, scenario design for multi-domain decision-making, AI and digital-twin technologies, and Regional Joint Training Infrastructure (RJTI). These transfer down-vertical to the naval-repair domain. The proposed product is a focused sub-application of the broader multi-domain exercise-design capability CACI demonstrates at PMTEC.</w:t>
      </w:r>
    </w:p>
    <w:p>
      <w:pPr>
        <w:spacing w:before="240" w:after="80"/>
      </w:pPr>
      <w:r>
        <w:rPr>
          <w:b/>
          <w:sz w:val="28"/>
        </w:rPr>
        <w:t>5.3 ARKA — threat-environment realism. Hull, Mechanical, and Electrical bridge needed separately.</w:t>
      </w:r>
    </w:p>
    <w:p>
      <w:pPr>
        <w:spacing w:after="120"/>
      </w:pPr>
      <w:r>
        <w:t>The March 2026 ARKA acquisition gives CACI electro-optical (EO), infrared (IR), and hyperspectral sensor signature libraries from intelligence, surveillance, and reconnaissance (ISR) work. For scenario realism, ARKA addresses the threat side: what a damaged ship's sensors would report, what threat indicators the team would see in the moments after a hit, what the operational picture looks like with degraded sensors. ARKA does not address repair-side realism: pump-out status, bulkhead compromise, drydock blocking, supply-chain routing for replacement valves. The realism math is therefore explicit: ARKA delivers roughly half the scenario realism (threat-side); the HM&amp;E bridge described below delivers the other half (repair-side); both halves are required for a credible BDAR decision-rehearsal environment.</w:t>
      </w:r>
    </w:p>
    <w:p>
      <w:pPr>
        <w:spacing w:after="120"/>
      </w:pPr>
      <w:r>
        <w:t>Repair-side realism requires a bridge to Navy Hull, Mechanical, and Electrical (HM&amp;E) engineering and logistics data. The path-selection decision is owned by the executive engaged with the customer or by the proposal team that drafts the actual response, not by the BD analyst; the analyst recommendation, recorded for downstream reference, is to negotiate Government Furnished Information (GFI) from a Navy data-holder, most likely Naval Surface Warfare Center Carderock Division (NSWC Carderock), with possible additional sources at another Naval Surface Warfare Center or somewhere in PAE Industrial Operations (PAE-IO). The actual data-release authority sits with Naval Sea Systems Command Ship Design and Engineering (NAVSEA 05); without NAVSEA 05's blessing the Carderock GFI conversation will not progress, and without their technical concurrence on the damage-model fidelity the fleet commanders are unlikely to trust the training. The GFI path carries a 12-to-18-month Authority to Operate (ATO) schedule risk for a gamified non-system-of-record environment; CACI's internal naval-IT footprint remains a viable fallback if the GFI negotiation stalls. Section 7.3 lays out the full recommendation.</w:t>
      </w:r>
    </w:p>
    <w:p>
      <w:pPr>
        <w:spacing w:before="240" w:after="80"/>
      </w:pPr>
      <w:r>
        <w:rPr>
          <w:b/>
          <w:sz w:val="28"/>
        </w:rPr>
        <w:t>5.4 CACI NSS, LLC vehicle holdings — the procurement-infrastructure asset</w:t>
      </w:r>
    </w:p>
    <w:p>
      <w:pPr>
        <w:spacing w:after="120"/>
      </w:pPr>
      <w:r>
        <w:t>CACI NSS, LLC already holds three governmentwide acquisition vehicles open to any federal customer including any Navy command:</w:t>
      </w:r>
    </w:p>
    <w:p>
      <w:pPr>
        <w:spacing w:after="60"/>
        <w:ind w:left="360"/>
      </w:pPr>
      <w:r>
        <w:t>• GSA One Acquisition Solution for Integrated Services (OASIS) — Federal-wide Professional Services contract.</w:t>
      </w:r>
    </w:p>
    <w:p>
      <w:pPr>
        <w:spacing w:after="60"/>
        <w:ind w:left="360"/>
      </w:pPr>
      <w:r>
        <w:t>• NITAAC Chief Information Officer–Solutions and Partners 3 (CIO-SP3) — Information Technology services contract. CACI NSS, LLC holds parent contract HHSN316201200032W with demonstrated delivery at $101.2M-task-order scale (PIID 19AQMM21F1762, Iterative Software Development Project Management).</w:t>
      </w:r>
    </w:p>
    <w:p>
      <w:pPr>
        <w:spacing w:after="60"/>
        <w:ind w:left="360"/>
      </w:pPr>
      <w:r>
        <w:t>• GSA Multiple Award Schedule, contract number GS-35F-349CA.</w:t>
      </w:r>
    </w:p>
    <w:p>
      <w:pPr>
        <w:spacing w:after="120"/>
      </w:pPr>
      <w:r>
        <w:t>These are governmentwide acquisition contracts open to any federal customer. CACI NSS, LLC's vehicle holdings are not a competitive differentiator against the named incumbents in section 4.3 — those incumbents hold equivalent or larger OASIS / CIO-SP3 / MAS positions of their own — but the holdings are a path-to-market feasibility asset: they remove the multi-year procurement-vehicle stand-up that would otherwise sit between a Navy customer's decision to buy and an actual task-order award. The AFRICOM $194 million task order is the precedent for the path itself — Army funded, GSA awarded, CACI executes against GSA OASIS Pool 1 — a vehicle CACI NSS, LLC already held. The Navy fleet-command equivalent would be PACFLT N7 funds, GSA awards, CACI executes against the same vehicle.</w:t>
      </w:r>
    </w:p>
    <w:p>
      <w:pPr>
        <w:spacing w:after="120"/>
      </w:pPr>
      <w:r>
        <w:t>Implication for the pitch. CACI executives engaging PACFLT N7, FLTFORCOM N7, INDOPACOM J7, or SRF-JRMC leadership have a defined starting point. The work-type is named. The AFRICOM precedent is published. The vehicles are already held. The customer can issue a Level 1 pilot task order without committing to new procurement infrastructure.</w:t>
      </w:r>
    </w:p>
    <w:p>
      <w:r>
        <w:br w:type="page"/>
      </w:r>
    </w:p>
    <w:p>
      <w:pPr>
        <w:spacing w:before="360" w:after="120"/>
      </w:pPr>
      <w:r>
        <w:rPr>
          <w:b/>
          <w:sz w:val="36"/>
        </w:rPr>
        <w:t>6. Working hypothesis and falsifying legs</w:t>
      </w:r>
    </w:p>
    <w:p>
      <w:pPr>
        <w:spacing w:after="120"/>
      </w:pPr>
      <w:r>
        <w:t>Working hypothesis. The Navy has demand for contractor-supplied operational-decision-scenario content for BDAR teams and the fleet commanders they support. The proposed product is the five-level progression. CACI's case for entry rests on the four assets in section 5. The most-likely procurement pathway is a task order against CACI NSS, LLC's existing OASIS, CIO-SP3, or MAS holdings, sponsored operationally by SRF-JRMC and contracted by PACFLT N7 or FLTFORCOM N7.</w:t>
      </w:r>
    </w:p>
    <w:p>
      <w:pPr>
        <w:spacing w:before="240" w:after="80"/>
      </w:pPr>
      <w:r>
        <w:rPr>
          <w:b/>
          <w:sz w:val="28"/>
        </w:rPr>
        <w:t>6.1 Six falsifying legs</w:t>
      </w:r>
    </w:p>
    <w:p>
      <w:pPr>
        <w:spacing w:after="60"/>
        <w:ind w:left="360"/>
      </w:pPr>
      <w:r>
        <w:t>• Leg 1 — Navy operational-decision-scenario demand gap. Killed by senior signals turning ceremonial AND existing fleet exercises already injecting equivalent content organically.</w:t>
      </w:r>
    </w:p>
    <w:p>
      <w:pPr>
        <w:spacing w:after="60"/>
        <w:ind w:left="360"/>
      </w:pPr>
      <w:r>
        <w:t>• Leg 2 — Sub-product moat. Killed by incumbents replicating the analog form factor at the same time durations, or by the AI scenario-generation capability maturing rapidly enough among incumbents that CACI's PMTEC head start does not translate to a moat by procurement time.</w:t>
      </w:r>
    </w:p>
    <w:p>
      <w:pPr>
        <w:spacing w:after="60"/>
        <w:ind w:left="360"/>
      </w:pPr>
      <w:r>
        <w:t>• Leg 3 — CACI capability transferability from PMTEC to naval repair. Killed by PMTEC's multi-domain Combatant Command staff focus being structurally different from naval-repair small-unit decision rehearsal in ways that prevent direct capability transfer.</w:t>
      </w:r>
    </w:p>
    <w:p>
      <w:pPr>
        <w:spacing w:after="60"/>
        <w:ind w:left="360"/>
      </w:pPr>
      <w:r>
        <w:t>• Leg 4 — ARKA signature-library differentiator viability. Killed by intellectual-property posture blocking release, OR comparable data available to incumbents, OR the HM&amp;E-data bridge cannot be closed, OR the GFI / ATO friction introduces a 12-to-18-month schedule delay that neutralizes the head start.</w:t>
      </w:r>
    </w:p>
    <w:p>
      <w:pPr>
        <w:spacing w:after="60"/>
        <w:ind w:left="360"/>
      </w:pPr>
      <w:r>
        <w:t>• Leg 5 — Customer-access pathway feasibility. Killed by fleet-command incumbents locking out CACI entry timeline, or by contractual right-of-first-refusal language preventing new-entrant access.</w:t>
      </w:r>
    </w:p>
    <w:p>
      <w:pPr>
        <w:spacing w:after="60"/>
        <w:ind w:left="360"/>
      </w:pPr>
      <w:r>
        <w:t>• Leg 6 — Sub-product viability as a fundable line. Killed by the sub-product being too small for standalone procurement (so it can only ride embedded in multi-day exercise contracts, which would mean partnering rather than priming), OR too specialized to attract a procurement vehicle at all, in which case the entry path is DIU, SBIR, or STTR pilot first.</w:t>
        <w:br/>
        <w:br/>
        <w:t>Scaling logic — why a customer who buys Level 1 advances to Level 4-5. L1 and L2 are bespoke, hand-delivered scenario content built by analyst time per engagement; the cost per exercise is dominated by analyst labor, and the cost scales linearly with the number of exercises. L3-L5 introduce reusable scenario libraries and AI-driven scenario generation, where the cost per exercise drops sharply once a customer's exercise cadence moves from "one-off" to "continuous fleet readiness" (a quarterly or higher rhythm across multiple wardrooms). The forcing function is exercise rhythm: at low rhythm L1-L2 is cheaper; at high rhythm L4-L5 is cheaper and L1-L2 cannot keep up. The proposal should frame the L1 pilot as a reference customer whose exercise rhythm tells CACI when to invest in the L3-L5 build-out, not as a standalone product.</w:t>
      </w:r>
    </w:p>
    <w:p>
      <w:r>
        <w:br w:type="page"/>
      </w:r>
    </w:p>
    <w:p>
      <w:pPr>
        <w:spacing w:before="360" w:after="120"/>
      </w:pPr>
      <w:r>
        <w:rPr>
          <w:b/>
          <w:sz w:val="36"/>
        </w:rPr>
        <w:t>7. Recommendations for executive action</w:t>
      </w:r>
    </w:p>
    <w:p>
      <w:pPr>
        <w:spacing w:after="120"/>
      </w:pPr>
      <w:r>
        <w:t>Four recommendations for CACI executive consideration.</w:t>
      </w:r>
    </w:p>
    <w:p>
      <w:pPr>
        <w:spacing w:before="240" w:after="80"/>
      </w:pPr>
      <w:r>
        <w:rPr>
          <w:b/>
          <w:sz w:val="28"/>
        </w:rPr>
        <w:t>7.1 Pursue the five-level progression at one initial customer</w:t>
      </w:r>
    </w:p>
    <w:p>
      <w:pPr>
        <w:spacing w:after="120"/>
      </w:pPr>
      <w:r>
        <w:t>Consider positioning CACI as a candidate prime for the five-level progression. Initial entry through Level 1 or Level 2 pilot. Operational sponsor: SRF-JRMC. Contracting authority: PACFLT N7 or N4, or FLTFORCOM N7 or N4. Contracting vehicle: CACI NSS, LLC's existing OASIS, CIO-SP3, or MAS holding, with no new Navy-specific vehicle required. Precondition: CACI legal and contracts must complete the Federal Acquisition Regulation (FAR) Subpart 9.5 Organizational Conflict of Interest (OCI) review described in §8.4 before any engagement step under §7.2 Phase 1 begins. The OCI review is a hard gate, not a parallel workstream.</w:t>
      </w:r>
    </w:p>
    <w:p>
      <w:pPr>
        <w:spacing w:before="240" w:after="80"/>
      </w:pPr>
      <w:r>
        <w:rPr>
          <w:b/>
          <w:sz w:val="28"/>
        </w:rPr>
        <w:t>7.2 Initiate CACI executive engagement with the named Navy commands</w:t>
      </w:r>
    </w:p>
    <w:p>
      <w:pPr>
        <w:spacing w:after="120"/>
      </w:pPr>
      <w:r>
        <w:t>The Navy is not running an RFP for this work today, and the BD analyst is not asking CACI to commit Bid and Proposal (B&amp;P) dollars to a market-making effort. The recommendation is a two-phase engagement with a hard gate between the phases. Phase 1 (low-cost): CACI executive leadership initiates a discovery meeting at PACFLT N7, FLTFORCOM N7, INDOPACOM J7, NAVSEA 04 (the headquarters above PAE-IO), or SRF-JRMC leadership. Pitch opens with the work-type, the AFRICOM precedent, the GSA-wide vehicles CACI already holds, and a request for the customer's read on whether a Level 1 pilot fits a near-term need. Phase 1 cost is executive travel and analyst preparation; no B&amp;P commitment. Phase 2 (B&amp;P gate): IF Phase 1 produces a customer Letter of Interest, a named funding vehicle (O&amp;M or RDT&amp;E realignment), or a similarly concrete buying signal, THEN CACI commits B&amp;P to a Level 1 pilot task-order proposal against the existing OASIS or CIO-SP3 holding. If Phase 1 produces only general interest or a "come back when you have something concrete" response, CACI declines the B&amp;P commitment and falls back to the §7.4 DIU / SBIR / STTR alternative entry path. The gate is binary and operator-explicit so the executive sees the commit decision separately from the engagement decision.</w:t>
      </w:r>
    </w:p>
    <w:p>
      <w:pPr>
        <w:spacing w:before="240" w:after="80"/>
      </w:pPr>
      <w:r>
        <w:rPr>
          <w:b/>
          <w:sz w:val="28"/>
        </w:rPr>
        <w:t>7.3 Decide the HM&amp;E data bridge approach early</w:t>
      </w:r>
    </w:p>
    <w:p>
      <w:pPr>
        <w:spacing w:after="120"/>
      </w:pPr>
      <w:r>
        <w:t>Repair-side scenario realism needs Navy Hull, Mechanical, and Electrical (HM&amp;E) engineering and logistics data. The ARKA acquisition covers threat-side realism only. The path-selection decision belongs to the executive engaged with the customer or to the proposal team that drafts the actual response, not to the BD analyst. The analyst recommendation, recorded for downstream reference, is to negotiate Government Furnished Information (GFI) from a Navy data-holder, most likely NSWC Carderock, with NAVSEA 05 (Ship Design and Engineering) as the data-release technical authority and the credibility anchor for the damage-model fidelity. Treat the 12-to-18-month Authority to Operate (ATO) risk as a known schedule item. Avoid pre-committing to a teaming-with-HM&amp;E-prime path because it forces an early commit to a specific partner before customer pull is known. Plan B if NAVSEA 05 declines the data release: pivot to a tactical teaming arrangement with a naval-engineering firm that holds HM&amp;E modeling capability — the partner choice is contingent on customer pull and is properly the proposal team's decision, not the BD analyst's. Plan C: CACI's internal naval-IT footprint, scoped to whatever HM&amp;E telemetry or maintenance-record data it actually holds — this fallback has not been inventoried in this draft, and the proposal team should confirm what is in fact available before relying on it.</w:t>
      </w:r>
    </w:p>
    <w:p>
      <w:pPr>
        <w:spacing w:before="240" w:after="80"/>
      </w:pPr>
      <w:r>
        <w:rPr>
          <w:b/>
          <w:sz w:val="28"/>
        </w:rPr>
        <w:t>7.4 Prepare an alternative entry path via DIU, SBIR, or STTR</w:t>
      </w:r>
    </w:p>
    <w:p>
      <w:pPr>
        <w:spacing w:after="120"/>
      </w:pPr>
      <w:r>
        <w:t>If direct executive engagement does not produce a task order inside the planning horizon, the alternative entry path is a DIU, SBIR, or STTR pilot for Level 1 or Level 2 scope. Lower per-engagement scale. Unblocks the no-existing-Navy-vehicle problem. Produces a reference customer for follow-on task-order competition. A parallel pilot strategy is worth having ready.</w:t>
      </w:r>
    </w:p>
    <w:p>
      <w:r>
        <w:br w:type="page"/>
      </w:r>
    </w:p>
    <w:p>
      <w:pPr>
        <w:spacing w:before="360" w:after="120"/>
      </w:pPr>
      <w:r>
        <w:rPr>
          <w:b/>
          <w:sz w:val="36"/>
        </w:rPr>
        <w:t>8. Risks and flagged concerns</w:t>
      </w:r>
    </w:p>
    <w:p>
      <w:pPr>
        <w:spacing w:before="240" w:after="80"/>
      </w:pPr>
      <w:r>
        <w:rPr>
          <w:b/>
          <w:sz w:val="28"/>
        </w:rPr>
        <w:t>8.1 No existing Navy task order</w:t>
      </w:r>
    </w:p>
    <w:p>
      <w:pPr>
        <w:spacing w:after="120"/>
      </w:pPr>
      <w:r>
        <w:t>The biggest risk. The Navy has not procured this sub-product as of this draft date. The OASIS / CIO-SP3 vehicle-holdings finding reduces this risk because no new contracting vehicle would be required, but the Navy still has to decide to issue the task order. If executive engagement fails to produce one, entry would collapse to the DIU, SBIR, or STTR pilot path, or to a subcontract on someone else's vehicle.</w:t>
      </w:r>
    </w:p>
    <w:p>
      <w:pPr>
        <w:spacing w:before="240" w:after="80"/>
      </w:pPr>
      <w:r>
        <w:rPr>
          <w:b/>
          <w:sz w:val="28"/>
        </w:rPr>
        <w:t>8.2 Incumbent lockout</w:t>
      </w:r>
    </w:p>
    <w:p>
      <w:pPr>
        <w:spacing w:after="120"/>
      </w:pPr>
      <w:r>
        <w:t>The fleet-command exercise-planning incumbent base is partially mapped. Three credible candidate incumbents are source-grounded at adjacent Navy customers per section 4.3 (Booz Allen Hamilton, SAIC, HII Mission Technologies). The specific incumbent subset active at FLTFORCOM N7, PACFLT N7, INDOPACOM J7, and SRF-JRMC remains an open research question — the layer could be crowded enough to require partnering, or sparse enough to allow first-mover prime entry. A find_sources pass narrowed to those N7 contracting offices is the next investigative step before any partnering or capture decision.</w:t>
        <w:br/>
        <w:br/>
        <w:t>NAVSEA 05 negative-stakeholder risk. NAVSEA 05 (Ship Design and Engineering) is the Navy's technical authority for ship-design and damage-modeling data. They are not the customer for the proposed product — they do not procure exercise content for the fleet — but they hold veto power over the damage-model fidelity through their data-release authority and their reputation as the credibility anchor for repair-side technical claims. An engagement strategy that pitches PACFLT N7 or SRF-JRMC without first briefing NAVSEA 05 on the damage-model approach risks NAVSEA 05 sniping the effort at the technical-validation gate. A NAVSEA 05 technical briefing should precede the §7.2 Phase 1 PACFLT engagement, not follow it.</w:t>
      </w:r>
    </w:p>
    <w:p>
      <w:pPr>
        <w:spacing w:before="240" w:after="80"/>
      </w:pPr>
      <w:r>
        <w:rPr>
          <w:b/>
          <w:sz w:val="28"/>
        </w:rPr>
        <w:t>8.3 HM&amp;E-data bridge schedule risk</w:t>
      </w:r>
    </w:p>
    <w:p>
      <w:pPr>
        <w:spacing w:after="120"/>
      </w:pPr>
      <w:r>
        <w:t>If the chosen bridge approach is the GFI path, securing the ATO for a gamified non-system-of-record environment can take 12 to 18 months. Engagement sequencing should account for that lead time. Mitigations include partnering with a prime that already holds HM&amp;E data, leveraging CACI's existing naval IT footprint, or starting the ATO process in parallel with the engagement work.</w:t>
      </w:r>
    </w:p>
    <w:p>
      <w:pPr>
        <w:spacing w:before="240" w:after="80"/>
      </w:pPr>
      <w:r>
        <w:rPr>
          <w:b/>
          <w:sz w:val="28"/>
        </w:rPr>
        <w:t>8.4 Federal Acquisition Regulation Subpart 9.5 — Organizational Conflict of Interest</w:t>
      </w:r>
    </w:p>
    <w:p>
      <w:pPr>
        <w:spacing w:after="120"/>
      </w:pPr>
      <w:r>
        <w:t>Flagged here for executive review. The analytical direction of this research is informed in part by non-public knowledge of contractor personnel currently working at SRF-JRMC's wartime readiness group. This non-public knowledge has not entered any vault content as a citable claim. Its existence, however, may trigger an Organizational Conflict of Interest (OCI) analysis under Federal Acquisition Regulation (FAR) Subpart 9.5 if CACI advances this opportunity. CACI legal and contracts should review the OCI question before any pursuit decision or executive engagement with the named commands.</w:t>
      </w:r>
    </w:p>
    <w:p>
      <w:pPr>
        <w:spacing w:before="240" w:after="80"/>
      </w:pPr>
      <w:r>
        <w:rPr>
          <w:b/>
          <w:sz w:val="28"/>
        </w:rPr>
        <w:t>8.5 Source-grounding caveat</w:t>
      </w:r>
    </w:p>
    <w:p>
      <w:pPr>
        <w:spacing w:after="120"/>
      </w:pPr>
      <w:r>
        <w:t>Public sources support the hypothesis that the Navy has a wartime-repair problem and that the rest of DoD buys related work-types from contractors at scale. Public sources do not yet demonstrate a Navy procurement line for the specific proposed product. The case for entry rests on the adjacent-precedent argument plus CACI's existing capability lineage and vehicle holdings, not on a confirmed Navy demand signal.</w:t>
      </w:r>
    </w:p>
    <w:p>
      <w:r>
        <w:br w:type="page"/>
      </w:r>
    </w:p>
    <w:p>
      <w:pPr>
        <w:spacing w:before="360" w:after="120"/>
      </w:pPr>
      <w:r>
        <w:rPr>
          <w:b/>
          <w:sz w:val="36"/>
        </w:rPr>
        <w:t>9. Business Development team next actions</w:t>
      </w:r>
    </w:p>
    <w:p>
      <w:pPr>
        <w:spacing w:after="120"/>
      </w:pPr>
      <w:r>
        <w:t>Operating tasks the BD team is ready to execute on green-light from CACI leadership. These do not require individual executive authorization — they are the workflow that follows from a decision to advance the recommendations in section 7.</w:t>
      </w:r>
    </w:p>
    <w:p>
      <w:pPr>
        <w:spacing w:after="60"/>
        <w:ind w:left="360"/>
      </w:pPr>
      <w:r>
        <w:t>• BD team gate review of this brief at v0.6 to confirm the proposed-scope frame.</w:t>
      </w:r>
    </w:p>
    <w:p>
      <w:pPr>
        <w:spacing w:after="60"/>
        <w:ind w:left="360"/>
      </w:pPr>
      <w:r>
        <w:t>• Run a follow-on source-finding pass narrowed to specific contracting offices at PACFLT N7, FLTFORCOM N7, INDOPACOM J7, and SRF-JRMC — surface the incumbent subset active at those N7 offices, not the adjacent-customer footprint already source-grounded in section 4.3. Results will inform brief v0.6.</w:t>
      </w:r>
    </w:p>
    <w:p>
      <w:pPr>
        <w:spacing w:after="60"/>
        <w:ind w:left="360"/>
      </w:pPr>
      <w:r>
        <w:t>• Build the engagement-surface inventory targeting the specific contracting offices and active solicitations at the named commands, plus the SYSCOM authorities (NAVSEA 04 and PEO IWS).</w:t>
      </w:r>
    </w:p>
    <w:p>
      <w:pPr>
        <w:spacing w:after="60"/>
        <w:ind w:left="360"/>
      </w:pPr>
      <w:r>
        <w:t>• Develop the Level 1 pilot scenario portfolio — initial scenario cards for the port-selection, foreign-port emergency contracting, and forward team mobilization decision moments — ready for executive pitch meetings.</w:t>
      </w:r>
    </w:p>
    <w:p>
      <w:pPr>
        <w:spacing w:after="60"/>
        <w:ind w:left="360"/>
      </w:pPr>
      <w:r>
        <w:t>• Hold pursuit of any procurement action until CACI executive leadership commits to recommendations 7.1, 7.2, and 7.3, and the FAR Subpart 9.5 OCI consideration in section 8.4 is resolved by CACI leadership.</w:t>
      </w:r>
    </w:p>
    <w:p>
      <w:r>
        <w:br w:type="page"/>
      </w:r>
    </w:p>
    <w:p>
      <w:pPr>
        <w:spacing w:before="360" w:after="120"/>
      </w:pPr>
      <w:r>
        <w:rPr>
          <w:b/>
          <w:sz w:val="36"/>
        </w:rPr>
        <w:t>10. Source ledger reference</w:t>
      </w:r>
    </w:p>
    <w:p>
      <w:pPr>
        <w:spacing w:after="120"/>
      </w:pPr>
      <w:r>
        <w:t>Load-bearing factual claims trace to primary or quasi-primary sources in the opportunity's `01_sources/` directory. The full source ledger is at section 8 of `00_research-file.md` in the BDR-FLEET-READINESS opportunity folder. Key sources used in this brief:</w:t>
      </w:r>
    </w:p>
    <w:p>
      <w:pPr>
        <w:spacing w:after="60"/>
        <w:ind w:left="360"/>
      </w:pPr>
      <w:r>
        <w:t>• Department of the Navy FY 2027 President's Budget Press Brief, 28 April 2026.</w:t>
      </w:r>
    </w:p>
    <w:p>
      <w:pPr>
        <w:spacing w:after="60"/>
        <w:ind w:left="360"/>
      </w:pPr>
      <w:r>
        <w:t>• CNO Caudle Statement on the Posture of the United States Navy, HASC, 14 May 2026.</w:t>
      </w:r>
    </w:p>
    <w:p>
      <w:pPr>
        <w:spacing w:after="60"/>
        <w:ind w:left="360"/>
      </w:pPr>
      <w:r>
        <w:t>• USS Ashland Ship Wartime Repair and Maintenance Exercise primary press releases — Navy.mil, Commander, U.S. Seventh Fleet (C7F), USINDOPACOM, COMPACFLT, NavalNews, NavalToday.</w:t>
      </w:r>
    </w:p>
    <w:p>
      <w:pPr>
        <w:spacing w:after="60"/>
        <w:ind w:left="360"/>
      </w:pPr>
      <w:r>
        <w:t>• USNI Proceedings, "Fix the Navy's Expeditionary Repair."</w:t>
      </w:r>
    </w:p>
    <w:p>
      <w:pPr>
        <w:spacing w:after="60"/>
        <w:ind w:left="360"/>
      </w:pPr>
      <w:r>
        <w:t>• CIMSEC, "If the U.S. Navy Can't Repair Ships in Peacetime, How Will It Do So in War?"</w:t>
      </w:r>
    </w:p>
    <w:p>
      <w:pPr>
        <w:spacing w:after="60"/>
        <w:ind w:left="360"/>
      </w:pPr>
      <w:r>
        <w:t>• FY27 DoD Comptroller Justification Book — MAGTF Tactical Warfare Simulation, Joint Exercise Design (JExD) workforce, AI scenario generation funding lines.</w:t>
      </w:r>
    </w:p>
    <w:p>
      <w:pPr>
        <w:spacing w:after="60"/>
        <w:ind w:left="360"/>
      </w:pPr>
      <w:r>
        <w:t>• USAspending.gov award records: CACI NSS, LLC $194M AFRICOM; Parsons Government Services $556.8M CEOIS; Axient LLC $233.8M MDA wargames; Invictus Associates $19.4M CNRMC PSS.</w:t>
      </w:r>
    </w:p>
    <w:p>
      <w:pPr>
        <w:spacing w:after="60"/>
        <w:ind w:left="360"/>
      </w:pPr>
      <w:r>
        <w:t>• GovConWire article — Navy nine-contractors $1.2B NAWCTSD training-systems IDIQ modification, 31 March 2026.</w:t>
      </w:r>
    </w:p>
    <w:p>
      <w:pPr>
        <w:spacing w:after="60"/>
        <w:ind w:left="360"/>
      </w:pPr>
      <w:r>
        <w:t>• Norfolk Naval Shipyard $442M drydock modernization announcement (workboat.com).</w:t>
      </w:r>
    </w:p>
    <w:p>
      <w:pPr>
        <w:spacing w:after="60"/>
        <w:ind w:left="360"/>
      </w:pPr>
      <w:r>
        <w:t>• Pacific NAVFAC Shipyard Infrastructure Optimization Program (SIOP) Brief — PSNS and Subordinate Bases.</w:t>
      </w:r>
    </w:p>
    <w:p>
      <w:pPr>
        <w:spacing w:after="60"/>
        <w:ind w:left="360"/>
      </w:pPr>
      <w:r>
        <w:t>• CACI NSS, LLC vehicle holdings — GSA OASIS, NITAAC CIO-SP3, GSA MAS GS-35F-349CA (web-verified 2026-05-26).</w:t>
      </w:r>
    </w:p>
    <w:p>
      <w:pPr>
        <w:spacing w:after="120"/>
      </w:pPr>
      <w:r>
        <w:rPr>
          <w:i/>
        </w:rPr>
        <w:t>End of capture brief v0.6 draft. Build date: 2026-05-28. v0.6 changes from v0.5: eight Gemini-convergent edits from the 2026-05-28 red-team — phased ask with hard B&amp;P gate (§7.2), OCI promoted to §7.1 precondition, realism math articulated in §5.3, GFI Plan B technical fallbacks named, §5.4 reframed as path-to-market feasibility (vehicles are friction-removers, not differentiators), AFRICOM-vs-PACFLT contracting-culture sentence added to §5.1, scaling logic paragraph added to §6 (L1-L2 manual → L3-L5 AI, triggered by exercise rhythm), NAVSEA 05 added as data-release technical authority (§5.3, §7.3) and negative-stakeholder risk (§8.2).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