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sz w:val="26"/>
        </w:rPr>
        <w:t>BDR-FLEET-READINESS — Executive Brief v0.5 (Draft)</w:t>
      </w:r>
    </w:p>
    <w:p>
      <w:pPr>
        <w:spacing w:after="80"/>
      </w:pPr>
      <w:r>
        <w:rPr>
          <w:i/>
          <w:sz w:val="18"/>
        </w:rPr>
        <w:t>U.S. Navy Battle Damage Assessment and Repair (BDAR) decision-rehearsal training. Five-level progression. 2026-05-26. For CACI executive review (open-source-only).</w:t>
      </w:r>
    </w:p>
    <w:p>
      <w:pPr>
        <w:spacing w:before="100" w:after="40"/>
      </w:pPr>
      <w:r>
        <w:rPr>
          <w:b/>
          <w:sz w:val="22"/>
        </w:rPr>
        <w:t>Bottom Line Up Front</w:t>
      </w:r>
    </w:p>
    <w:p>
      <w:pPr>
        <w:spacing w:after="60"/>
      </w:pPr>
      <w:r>
        <w:t>The U.S. Navy is publicly signaling demand for better wartime ship-repair readiness. The rest of the Department of Defense (DoD) buys related contractor work at multi-hundred-million-dollar scale. The Navy could plausibly buy this kind of work too. As of this draft date, public sources do not show a Navy procurement line for the specific sub-product proposed here. That gap is the opportunity this brief asks CACI leadership to consider.</w:t>
      </w:r>
    </w:p>
    <w:p>
      <w:pPr>
        <w:spacing w:after="60"/>
      </w:pPr>
      <w:r>
        <w:t>Proposed product. A five-level progression of gamified decision-rehearsal scenarios for Navy Battle Damage Assessment and Repair (BDAR) teams and the fleet commanders they support. The progression starts analog (printed scenario cards), builds through 1-hour wardroom sessions, and ends with software-driven scenarios injected into live fleet exercises. The same scenario content serves two audiences: the wardroom at a Navy repair activity preparing to receive a damaged ship, and the fleet commander deciding where to send her. Port selection is the canonical scenario serving both audiences.</w:t>
      </w:r>
    </w:p>
    <w:p>
      <w:pPr>
        <w:spacing w:after="60"/>
      </w:pPr>
      <w:r>
        <w:t>Proposed procurement path. CACI National Security Solutions, LLC (CACI NSS, LLC) already holds three General Services Administration (GSA) governmentwide contracting vehicles: GSA One Acquisition Solution for Integrated Services (OASIS), the National Institutes of Health Information Technology Acquisition and Assessment Center Chief Information Officer–Solutions and Partners 3 contract (NITAAC CIO-SP3), and GSA Multiple Award Schedule (MAS). A Navy fleet command could issue a task order against any of these vehicles without standing up a new Navy-specific contract. The $194 million task order CACI NSS, LLC holds today for support to U.S. Africa Command (AFRICOM) is the precedent for the kind of task order the Navy could issue.</w:t>
      </w:r>
    </w:p>
    <w:p>
      <w:pPr>
        <w:spacing w:before="100" w:after="40"/>
      </w:pPr>
      <w:r>
        <w:rPr>
          <w:b/>
          <w:sz w:val="22"/>
        </w:rPr>
        <w:t>Why It Matters</w:t>
      </w:r>
    </w:p>
    <w:p>
      <w:pPr>
        <w:spacing w:after="40"/>
        <w:ind w:left="216"/>
      </w:pPr>
      <w:r>
        <w:t>• Senior leadership demand signal. Admiral Daryl L. Caudle, Chief of Naval Operations (CNO), named maintenance a warfighting requirement at the House Armed Services Committee (HASC) on 14 May 2026. The Department of the Navy Fiscal Year 2027 (FY27) budget funds Ship Maintenance at $17 billion toward an 80-percent Combat Surge Ready (CSR) posture. The Ship Repair Facility–Japan Regional Maintenance Center (SRF-JRMC) ran a wartime-repair exercise with the Philippine Navy at Cebu in April 2026.</w:t>
      </w:r>
    </w:p>
    <w:p>
      <w:pPr>
        <w:spacing w:after="40"/>
        <w:ind w:left="216"/>
      </w:pPr>
      <w:r>
        <w:t>• DoD buys related contractor work-types at scale. AFRICOM via CACI NSS, LLC holds $194 million for broad professional services with exercise scope. The Missile Defense Agency (MDA) via Axient holds $234 million for missile-defense exercise and wargames support. The Office of the Secretary of Defense (OSD) via Parsons Government Services holds $557 million for real-time decision support to the Combatant Commands. These are three different work-types, not three examples of the same one. The Navy could plausibly procure any of them but has not yet done so under a public contract.</w:t>
      </w:r>
    </w:p>
    <w:p>
      <w:pPr>
        <w:spacing w:after="40"/>
        <w:ind w:left="216"/>
      </w:pPr>
      <w:r>
        <w:t>• Navy professional community amplifying the gap. The U.S. Naval Institute (USNI) Proceedings published "Fix the Navy's Expeditionary Repair." The Center for International Maritime Security (CIMSEC) published "If the U.S. Navy Can't Repair Ships in Peacetime, How Will It Do So in War?" Both publications reach the customer organizations.</w:t>
      </w:r>
    </w:p>
    <w:p>
      <w:pPr>
        <w:spacing w:after="40"/>
        <w:ind w:left="216"/>
      </w:pPr>
      <w:r>
        <w:t>• Source-grounding caveat. Public sources support the hypothesis that the Navy has the problem and that the rest of DoD buys related work. Public sources do not yet demonstrate a Navy procurement line for the specific sub-product. The case for entry rests on the adjacent-precedent argument, not on a confirmed Navy demand signal.</w:t>
      </w:r>
    </w:p>
    <w:p>
      <w:pPr>
        <w:spacing w:before="100" w:after="40"/>
      </w:pPr>
      <w:r>
        <w:rPr>
          <w:b/>
          <w:sz w:val="22"/>
        </w:rPr>
        <w:t>The Five-Level Progression</w:t>
      </w:r>
    </w:p>
    <w:p>
      <w:pPr>
        <w:spacing w:after="60"/>
      </w:pPr>
      <w:r>
        <w:t>Start analog. Move to software as scale justifies it. Each level can be procured separately. Each level builds reference material for the next.</w:t>
      </w:r>
    </w:p>
    <w:p>
      <w:pPr>
        <w:spacing w:after="40"/>
        <w:ind w:left="216"/>
      </w:pPr>
      <w:r>
        <w:t>• Level 1. Flash drills. Five to fifteen minutes. One decision on a printed scenario card. Audience builds pattern recognition.</w:t>
      </w:r>
    </w:p>
    <w:p>
      <w:pPr>
        <w:spacing w:after="40"/>
        <w:ind w:left="216"/>
      </w:pPr>
      <w:r>
        <w:t>• Level 2. Linked-decision sequences. Thirty to forty-five minutes. Three to five decisions in a row, each shaping the next. Audience learns that early choices constrain later options.</w:t>
      </w:r>
    </w:p>
    <w:p>
      <w:pPr>
        <w:spacing w:after="40"/>
        <w:ind w:left="216"/>
      </w:pPr>
      <w:r>
        <w:t>• Level 3. Full 1-hour gamified wardroom session. Multi-discipline audience. All six operational-decision moments integrated into one scenario.</w:t>
      </w:r>
    </w:p>
    <w:p>
      <w:pPr>
        <w:spacing w:after="40"/>
        <w:ind w:left="216"/>
      </w:pPr>
      <w:r>
        <w:t>• Level 4. Multi-session campaign. Two to four hours across a deployment cycle. Artificial intelligence (AI) scenario generation is justified at this level because each participating wardroom needs a different variant.</w:t>
      </w:r>
    </w:p>
    <w:p>
      <w:pPr>
        <w:spacing w:after="40"/>
        <w:ind w:left="216"/>
      </w:pPr>
      <w:r>
        <w:t>• Level 5. Live exercise injection into Composite Training Unit Exercise (COMPTUEX), the Rim of the Pacific Exercise (RIMPAC), the Navy Large-Scale Exercise (LSE) series, and the Ship Wartime Repair and Maintenance Exercise (SWARMEX) program. Software-driven, federated into Navy synthetic training architecture.</w:t>
      </w:r>
    </w:p>
    <w:p>
      <w:pPr>
        <w:spacing w:before="100" w:after="40"/>
      </w:pPr>
      <w:r>
        <w:rPr>
          <w:b/>
          <w:sz w:val="22"/>
        </w:rPr>
        <w:t>Procurement Path — Task Order Against an Existing CACI Vehicle</w:t>
      </w:r>
    </w:p>
    <w:p>
      <w:pPr>
        <w:spacing w:after="60"/>
      </w:pPr>
      <w:r>
        <w:t>CACI NSS, LLC holds three governmentwide acquisition contracts open to any federal customer, including any Navy command. A task order against any of these vehicles would not require a new Navy-specific contract.</w:t>
      </w:r>
    </w:p>
    <w:p>
      <w:pPr>
        <w:spacing w:after="40"/>
        <w:ind w:left="216"/>
      </w:pPr>
      <w:r>
        <w:t>• GSA OASIS — Federal-wide Professional Services contract.</w:t>
      </w:r>
    </w:p>
    <w:p>
      <w:pPr>
        <w:spacing w:after="40"/>
        <w:ind w:left="216"/>
      </w:pPr>
      <w:r>
        <w:t>• NITAAC CIO-SP3 — Information Technology services contract.</w:t>
      </w:r>
    </w:p>
    <w:p>
      <w:pPr>
        <w:spacing w:after="40"/>
        <w:ind w:left="216"/>
      </w:pPr>
      <w:r>
        <w:t>• GSA Multiple Award Schedule (contract number GS-35F-349CA).</w:t>
      </w:r>
    </w:p>
    <w:p>
      <w:pPr>
        <w:spacing w:after="60"/>
      </w:pPr>
      <w:r>
        <w:t>The pitch CACI executives could make at a Navy customer meeting has a defined starting point: here is the work-type, here is the AFRICOM precedent, here are the vehicles CACI already holds, the customer could issue a Level 1 pilot task order without committing to new procurement infrastructure.</w:t>
      </w:r>
    </w:p>
    <w:p>
      <w:pPr>
        <w:spacing w:before="100" w:after="40"/>
      </w:pPr>
      <w:r>
        <w:rPr>
          <w:b/>
          <w:sz w:val="22"/>
        </w:rPr>
        <w:t>Recommendations for Executive Action</w:t>
      </w:r>
    </w:p>
    <w:p>
      <w:pPr>
        <w:spacing w:after="40"/>
        <w:ind w:left="216"/>
      </w:pPr>
      <w:r>
        <w:t>• Pursue the five-level progression at one initial customer. Operational sponsor: SRF-JRMC, where access and operational match are strongest. Contracting authority: Commander, U.S. Pacific Fleet (PACFLT) Training and Readiness directorate (N7) or Logistics directorate (N4), or Commander, U.S. Fleet Forces Command (FLTFORCOM) N7 or N4. Contracting vehicle: CACI NSS, LLC's existing OASIS or CIO-SP3 holdings.</w:t>
      </w:r>
    </w:p>
    <w:p>
      <w:pPr>
        <w:spacing w:after="40"/>
        <w:ind w:left="216"/>
      </w:pPr>
      <w:r>
        <w:t>• Initiate CACI executive engagement with the named Navy commands. The Navy is not running a Request for Proposal (RFP) for this work today. Procurement is likely to require proactive executive-level engagement at PACFLT N7, FLTFORCOM N7, the U.S. Indo-Pacific Command Joint Operations Directorate (INDOPACOM J7), the Naval Sea Systems Command Logistics, Maintenance, and Industrial Operations Directorate (NAVSEA 04, which is the headquarters above PAE Industrial Operations or PAE-IO), or SRF-JRMC leadership.</w:t>
      </w:r>
    </w:p>
    <w:p>
      <w:pPr>
        <w:spacing w:after="40"/>
        <w:ind w:left="216"/>
      </w:pPr>
      <w:r>
        <w:t>• Decide the Hull, Mechanical, and Electrical (HM&amp;E) data bridge approach early. Repair-side scenario realism needs Navy HM&amp;E engineering and logistics data. ARKA (the CACI subsidiary acquired in March 2026) covers threat-environment realism only. Three options: partner with a prime that already holds HM&amp;E data; leverage CACI's existing naval information-technology footprint; or negotiate Government Furnished Information (GFI). The most likely GFI source is Naval Surface Warfare Center Carderock Division (NSWC Carderock), with possible additional sources at another Naval Surface Warfare Center or somewhere in PAE Industrial Operations. The GFI path carries 12-to-18-month schedule risk for the Authority to Operate (ATO) on a gamified non-system-of-record environment. The decision is needed before pitch meetings.</w:t>
      </w:r>
    </w:p>
    <w:p>
      <w:pPr>
        <w:spacing w:after="40"/>
        <w:ind w:left="216"/>
      </w:pPr>
      <w:r>
        <w:t>• Prepare an alternative entry path via the Defense Innovation Unit (DIU), Small Business Innovation Research (SBIR), or Small Business Technology Transfer (STTR) for Level 1 or Level 2 scope. This is ready to run if direct executive engagement does not produce a task order inside the planning horizon.</w:t>
      </w:r>
    </w:p>
    <w:p>
      <w:pPr>
        <w:spacing w:before="100" w:after="40"/>
      </w:pPr>
      <w:r>
        <w:rPr>
          <w:b/>
          <w:sz w:val="22"/>
        </w:rPr>
        <w:t>Risks and Flagged Concerns</w:t>
      </w:r>
    </w:p>
    <w:p>
      <w:pPr>
        <w:spacing w:after="40"/>
        <w:ind w:left="216"/>
      </w:pPr>
      <w:r>
        <w:t>• No existing Navy task order. The OASIS and CIO-SP3 vehicle holdings reduce this risk because no new vehicle is required, but the Navy still has to decide to issue the task order. If executive engagement does not produce one, entry collapses to the DIU, SBIR, or STTR pilot path or a subcontract on someone else's vehicle.</w:t>
      </w:r>
    </w:p>
    <w:p>
      <w:pPr>
        <w:spacing w:after="40"/>
        <w:ind w:left="216"/>
      </w:pPr>
      <w:r>
        <w:t>• Incumbent lockout at the fleet-command exercise-planning layer. Candidate incumbents (Booz Allen Hamilton, Science Applications International Corporation (SAIC), Huntington Ingalls Industries Mission Technologies (HII Mission Technologies), and specialized sub-tier firms) are not yet source-grounded in this research. A source-finding pass on this question was initiated 2026-05-26; results will inform a later brief version.</w:t>
      </w:r>
    </w:p>
    <w:p>
      <w:pPr>
        <w:spacing w:after="40"/>
        <w:ind w:left="216"/>
      </w:pPr>
      <w:r>
        <w:t>• Federal Acquisition Regulation (FAR) Subpart 9.5 Organizational Conflict of Interest (OCI) consideration, flagged for executive review. The analytical direction of this research is informed in part by non-public knowledge of contractor personnel currently working at SRF-JRMC's wartime readiness group. This non-public knowledge has not entered any vault content as a citable claim, but its existence may trigger an OCI analysis under FAR Subpart 9.5. CACI legal and contracts should review the OCI question before any pursuit decision or executive engagement with the named commands.</w:t>
      </w:r>
    </w:p>
    <w:p>
      <w:pPr>
        <w:spacing w:after="40"/>
        <w:ind w:left="216"/>
      </w:pPr>
      <w:r>
        <w:t>• HM&amp;E-data bridge schedule risk. If the chosen bridge approach is the GFI path, securing the ATO for a gamified non-system-of-record environment can take 12 to 18 months. Engagement sequencing should account for this lead time.</w:t>
      </w:r>
    </w:p>
    <w:p>
      <w:pPr>
        <w:spacing w:before="100"/>
      </w:pPr>
      <w:r>
        <w:rPr>
          <w:i/>
          <w:sz w:val="16"/>
        </w:rPr>
        <w:t>v0.5 built 2026-05-26. Distilled from the long-form capture brief (v0.4 draft). v0.5 changes from v0.4: tone tightened away from confirmatory framing; every acronym expanded on first appearance; single-author voice (the "operator" and "analyst" labels removed).</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