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8"/>
          <w:szCs w:val="28"/>
        </w:rPr>
        <w:t xml:space="preserve">EXECUTIVE BRIEF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USINDOPACOM PMTEC — CACI fit &amp; recommendation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Investment 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 needed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Identify (G1)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PURSUE — hybrid prime/sub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Capture team for 3 prime plays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[YYYY-MM-DD]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Bottom line</w:t>
      </w:r>
    </w:p>
    <w:p>
      <w:pPr>
        <w:spacing w:after="100"/>
      </w:pPr>
      <w:r>
        <w:rPr>
          <w:sz w:val="20"/>
          <w:szCs w:val="20"/>
        </w:rPr>
        <w:t xml:space="preserve">USINDOPACOM J7's PMTEC enterprise has publicly named eight technology gaps and is actively soliciting industry through quarterly commercial updates. CACI is already embedded (sub on $467M Deloitte INDOPACOM Alpha; prime on $180M PACAF AFBIM) and post-ARKA acquisition has materially stronger space and agentic-AI offerings. Three plays favor CACI as prime — non-kinetic effects simulation, space integration via ARKA, C-UAS-as-adversary-target — with sub/teaming positions on three additional plays.</w:t>
      </w:r>
    </w:p>
    <w:p>
      <w:pPr>
        <w:spacing w:after="60" w:before="80"/>
      </w:pPr>
      <w:r>
        <w:rPr>
          <w:b/>
          <w:bCs/>
          <w:color w:val="1F3864"/>
          <w:sz w:val="22"/>
          <w:szCs w:val="22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 sits inside the Pacific Deterrence Initiative (FY26 PB: $9.9B). Long-tail funding through end of decade.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Department of War acquisition transformation favors OTAs, non-traditionals, and faster prototype-to-fielding — ARKA front-doors CACI as a non-traditional.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Three of the eight named gaps map directly to CACI's existing weapon systems (Spectral, Trojan, SkyTracker) and one to ARKA's just-acquired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manageable: HII/SOSi/Lockheed are dominant on adjacent plays, but those are teaming candidates, not direct competitors on the prime plays.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PURSUE as prime: (1) non-kinetic effects simulation using Spectral/Trojan; (2) space integration via ARKA + SDA PWSA; (3) C-UAS-as-adversary repackaging.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PURSUE as sub/teammate: HII (LVC content), SOSi (coalition mission network), Lockheed (Joint Fires Network), Johns Hopkins APL (AI/digital twin).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MAINTAIN: existing Deloitte INDOPACOM Alpha sub position; push for J7/PMTEC-flavored task work.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Top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ARKA integration not yet proven; premature ARKA-led pitching could backfire. Mitigation: Q3 2026 milestone gate before activating space 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Coopetition firewall required between EW/SIGINT pulls (vs L3Harris, Northrop, Raytheon) and broader teaming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PMTEC's stated push toward DIU/non-traditionals may disadvantage CACI as a Tier 1 prime. Mitigation: route via DIU OnRamp Hub: Hawaii.</w:t>
      </w:r>
    </w:p>
    <w:p>
      <w:pPr>
        <w:spacing w:after="60" w:before="120"/>
      </w:pPr>
      <w:r>
        <w:rPr>
          <w:b/>
          <w:bCs/>
          <w:color w:val="1F3864"/>
          <w:sz w:val="22"/>
          <w:szCs w:val="22"/>
        </w:rPr>
        <w:t xml:space="preserve">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capture team activation for prime plays 1 and 3 immediately; play 2 pending ARKA milestone.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Approve non-binding teaming outreach to HII, SOSi, Lockheed, APL.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Allocate analyst time for monthly SAM.gov / DIU / DVIDS opportunity scan.</w:t>
      </w:r>
    </w:p>
    <w:p>
      <w:pPr>
        <w:pBdr>
          <w:top w:val="single" w:color="1F3864" w:sz="6" w:space="4"/>
        </w:pBdr>
        <w:spacing w:after="0" w:before="240"/>
      </w:pPr>
      <w:r>
        <w:rPr>
          <w:b/>
          <w:bCs/>
          <w:i/>
          <w:iCs/>
          <w:color w:val="8B6914"/>
          <w:sz w:val="16"/>
          <w:szCs w:val="16"/>
        </w:rPr>
        <w:t xml:space="preserve">AI PROMPT — </w:t>
      </w:r>
      <w:r>
        <w:rPr>
          <w:i/>
          <w:iCs/>
          <w:color w:val="8B6914"/>
          <w:sz w:val="16"/>
          <w:szCs w:val="16"/>
        </w:rPr>
        <w:t xml:space="preserve">After completing the capture brief, ask Claude or Gemini: "Distill this brief into a 1-page executive summary for a defense pure-play exec who reads on a phone. BLUF up front. Recommendation, top 3 risks, asks. No methodology section. Prose-with-bullets. Cut anything not decision-relevant."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808080"/>
        <w:sz w:val="14"/>
        <w:szCs w:val="14"/>
      </w:rPr>
      <w:t xml:space="preserve">Full capture brief and source citations available in research repo.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4"/>
        <w:szCs w:val="14"/>
      </w:rPr>
      <w:t xml:space="preserve">INTERNAL — exec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Brief Template</dc:title>
  <dc:creator>Claude</dc:creator>
  <cp:lastModifiedBy>Un-named</cp:lastModifiedBy>
  <cp:revision>1</cp:revision>
  <dcterms:created xsi:type="dcterms:W3CDTF">2026-05-10T12:09:38.384Z</dcterms:created>
  <dcterms:modified xsi:type="dcterms:W3CDTF">2026-05-10T12:09:38.384Z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