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c7a2b9c5a9b83198cc4f06a6d3434f9ca84ff75"/>
    <w:p>
      <w:pPr>
        <w:pStyle w:val="Heading1"/>
      </w:pPr>
      <w:r>
        <w:t xml:space="preserve">CACI Response — Sources Sought / RFI Questionnaire (full worksheet)</w:t>
      </w:r>
    </w:p>
    <w:bookmarkStart w:id="9" w:name="Xe754064dc4ccfeecf6f0e489c8391820fa5d287"/>
    <w:p>
      <w:pPr>
        <w:pStyle w:val="Heading2"/>
      </w:pPr>
      <w:r>
        <w:t xml:space="preserve">Marine Design and Engineering Services — Notice 3059-9900 — PSNS &amp; IMF</w:t>
      </w:r>
    </w:p>
    <w:p>
      <w:pPr>
        <w:pStyle w:val="BlockText"/>
      </w:pPr>
      <w:r>
        <w:t xml:space="preserve">Guesses are wrapped in double asterisks (they render bold). Everything not wrapped is</w:t>
      </w:r>
      <w:r>
        <w:t xml:space="preserve"> </w:t>
      </w:r>
      <w:r>
        <w:t xml:space="preserve">confirmed — CAGE/UEI from SAM.gov; past performance from federal award data.</w:t>
      </w:r>
    </w:p>
    <w:bookmarkEnd w:id="9"/>
    <w:bookmarkStart w:id="10" w:name="company-identification"/>
    <w:p>
      <w:pPr>
        <w:pStyle w:val="Heading2"/>
      </w:pPr>
      <w:r>
        <w:t xml:space="preserve">Company identification</w:t>
      </w:r>
    </w:p>
    <w:p>
      <w:pPr>
        <w:pStyle w:val="Compact"/>
        <w:numPr>
          <w:ilvl w:val="0"/>
          <w:numId w:val="1001"/>
        </w:numPr>
      </w:pPr>
      <w:r>
        <w:t xml:space="preserve">Company Name: CACI, Inc. - Federal</w:t>
      </w:r>
      <w:r>
        <w:t xml:space="preserve"> </w:t>
      </w:r>
      <w:r>
        <w:rPr>
          <w:i/>
          <w:iCs/>
        </w:rPr>
        <w:t xml:space="preserve">(the CACI entity that holds the validated Navy/Portsmouth past performance; confirm this is the intended bidding entity vs. CACI International Inc or another affiliate)</w:t>
      </w:r>
    </w:p>
    <w:p>
      <w:pPr>
        <w:pStyle w:val="Compact"/>
        <w:numPr>
          <w:ilvl w:val="0"/>
          <w:numId w:val="1001"/>
        </w:numPr>
      </w:pPr>
      <w:r>
        <w:t xml:space="preserve">SAM CAGE Code: 1QU78</w:t>
      </w:r>
      <w:r>
        <w:t xml:space="preserve"> </w:t>
      </w:r>
      <w:r>
        <w:rPr>
          <w:i/>
          <w:iCs/>
        </w:rPr>
        <w:t xml:space="preserve">(verified against SAM.gov entity record for CACI, Inc. - Federal; registration Active through 2027-05-21)</w:t>
      </w:r>
    </w:p>
    <w:p>
      <w:pPr>
        <w:pStyle w:val="Compact"/>
        <w:numPr>
          <w:ilvl w:val="0"/>
          <w:numId w:val="1001"/>
        </w:numPr>
      </w:pPr>
      <w:r>
        <w:t xml:space="preserve">SAM Unique Entity ID (UEI): N3PBJAVNKF61</w:t>
      </w:r>
    </w:p>
    <w:p>
      <w:pPr>
        <w:pStyle w:val="Compact"/>
        <w:numPr>
          <w:ilvl w:val="0"/>
          <w:numId w:val="1001"/>
        </w:numPr>
      </w:pPr>
      <w:r>
        <w:t xml:space="preserve">Point of Contact (Name, Position, Email):</w:t>
      </w:r>
      <w:r>
        <w:t xml:space="preserve"> </w:t>
      </w:r>
      <w:r>
        <w:rPr>
          <w:b/>
          <w:bCs/>
        </w:rPr>
        <w:t xml:space="preserve">John Anguiano (or the designated CACI capture/contracts point of contact), [title], [email] — replace with the actual POC for this RFI</w:t>
      </w:r>
    </w:p>
    <w:p>
      <w:pPr>
        <w:pStyle w:val="Compact"/>
        <w:numPr>
          <w:ilvl w:val="0"/>
          <w:numId w:val="1001"/>
        </w:numPr>
      </w:pPr>
      <w:r>
        <w:t xml:space="preserve">Company Mailing Address:</w:t>
      </w:r>
      <w:r>
        <w:t xml:space="preserve"> </w:t>
      </w:r>
      <w:r>
        <w:rPr>
          <w:b/>
          <w:bCs/>
        </w:rPr>
        <w:t xml:space="preserve">CACI International Inc / CACI, Inc. - Federal HQ, 12021 Sunset Hills Road, Reston, VA 20190 — or the CACI office in Silverdale, WA (Kitsap County) if a local address is preferred; confirm which to list</w:t>
      </w:r>
    </w:p>
    <w:p>
      <w:pPr>
        <w:pStyle w:val="Compact"/>
        <w:numPr>
          <w:ilvl w:val="0"/>
          <w:numId w:val="1001"/>
        </w:numPr>
      </w:pPr>
      <w:r>
        <w:t xml:space="preserve">Phone / Fax / E-Mail:</w:t>
      </w:r>
      <w:r>
        <w:t xml:space="preserve"> </w:t>
      </w:r>
      <w:r>
        <w:rPr>
          <w:b/>
          <w:bCs/>
        </w:rPr>
        <w:t xml:space="preserve">[POC phone] / N/A / [POC email] — provide the POC’s actual phone and email</w:t>
      </w:r>
    </w:p>
    <w:bookmarkEnd w:id="10"/>
    <w:bookmarkStart w:id="11" w:name="Xc2e6f485a9ccb05a56d9b22fe6ec91d14cebba5"/>
    <w:p>
      <w:pPr>
        <w:pStyle w:val="Heading2"/>
      </w:pPr>
      <w:r>
        <w:t xml:space="preserve">1. Small business program eligibility under NAICS 541330</w:t>
      </w:r>
    </w:p>
    <w:p>
      <w:pPr>
        <w:pStyle w:val="FirstParagraph"/>
      </w:pPr>
      <w:r>
        <w:t xml:space="preserve">CACI is a publicly traded large business; we do not qualify under any of the small-business programs:</w:t>
      </w:r>
    </w:p>
    <w:p>
      <w:pPr>
        <w:pStyle w:val="Compact"/>
        <w:numPr>
          <w:ilvl w:val="0"/>
          <w:numId w:val="1002"/>
        </w:numPr>
      </w:pPr>
      <w:r>
        <w:t xml:space="preserve">Small Business (SB): No</w:t>
      </w:r>
    </w:p>
    <w:p>
      <w:pPr>
        <w:pStyle w:val="Compact"/>
        <w:numPr>
          <w:ilvl w:val="0"/>
          <w:numId w:val="1002"/>
        </w:numPr>
      </w:pPr>
      <w:r>
        <w:t xml:space="preserve">HubZone: No</w:t>
      </w:r>
    </w:p>
    <w:p>
      <w:pPr>
        <w:pStyle w:val="Compact"/>
        <w:numPr>
          <w:ilvl w:val="0"/>
          <w:numId w:val="1002"/>
        </w:numPr>
      </w:pPr>
      <w:r>
        <w:t xml:space="preserve">8(a): No</w:t>
      </w:r>
    </w:p>
    <w:p>
      <w:pPr>
        <w:pStyle w:val="Compact"/>
        <w:numPr>
          <w:ilvl w:val="0"/>
          <w:numId w:val="1002"/>
        </w:numPr>
      </w:pPr>
      <w:r>
        <w:t xml:space="preserve">Small Disadvantaged Business (SDB): No</w:t>
      </w:r>
    </w:p>
    <w:p>
      <w:pPr>
        <w:pStyle w:val="Compact"/>
        <w:numPr>
          <w:ilvl w:val="0"/>
          <w:numId w:val="1002"/>
        </w:numPr>
      </w:pPr>
      <w:r>
        <w:t xml:space="preserve">Economically-Disadvantaged Women-Owned Small Business (EDWOSB): No</w:t>
      </w:r>
    </w:p>
    <w:p>
      <w:pPr>
        <w:pStyle w:val="Compact"/>
        <w:numPr>
          <w:ilvl w:val="0"/>
          <w:numId w:val="1002"/>
        </w:numPr>
      </w:pPr>
      <w:r>
        <w:t xml:space="preserve">Women-Owned (WO) Small Business: No</w:t>
      </w:r>
    </w:p>
    <w:p>
      <w:pPr>
        <w:pStyle w:val="Compact"/>
        <w:numPr>
          <w:ilvl w:val="0"/>
          <w:numId w:val="1002"/>
        </w:numPr>
      </w:pPr>
      <w:r>
        <w:t xml:space="preserve">Service-Disabled Veteran-Owned Small Business (SDVOSB): No</w:t>
      </w:r>
    </w:p>
    <w:p>
      <w:pPr>
        <w:pStyle w:val="Compact"/>
        <w:numPr>
          <w:ilvl w:val="0"/>
          <w:numId w:val="1002"/>
        </w:numPr>
      </w:pPr>
      <w:r>
        <w:t xml:space="preserve">Veteran-Owned Small Business: No</w:t>
      </w:r>
    </w:p>
    <w:p>
      <w:pPr>
        <w:pStyle w:val="Compact"/>
        <w:numPr>
          <w:ilvl w:val="0"/>
          <w:numId w:val="1002"/>
        </w:numPr>
      </w:pPr>
      <w:r>
        <w:t xml:space="preserve">Other: Large Business</w:t>
      </w:r>
    </w:p>
    <w:bookmarkEnd w:id="11"/>
    <w:bookmarkStart w:id="12" w:name="Xbd8b43ab01cb05aa9ed0bc86ce8107d468732ff"/>
    <w:p>
      <w:pPr>
        <w:pStyle w:val="Heading2"/>
      </w:pPr>
      <w:r>
        <w:t xml:space="preserve">2. Experience with Marine Design and Engineering services</w:t>
      </w:r>
    </w:p>
    <w:p>
      <w:pPr>
        <w:pStyle w:val="FirstParagraph"/>
      </w:pPr>
      <w:r>
        <w:t xml:space="preserve">We provide marine design and engineering support to the U.S. Navy across the ship and submarine lifecycle. Since 2017 we have held the engineering-support contract at Portsmouth Naval Shipyard — the Navy’s East Coast submarine overhaul shipyard — supporting the Ships Availability Planning and Engineering Center (SHAPEC) and the Deep Submergence Systems Program, on the SeaPort Next Generation (SeaPort-NxG) contract vehicle and under the same engineering-services classification (NAICS 541330) as this requirement, with a current task order extending through 2030. We also perform ship design to Navy standards and maintain a naval-architecture and marine-engineering practice spanning hull, mechanical, and electrical systems.</w:t>
      </w:r>
    </w:p>
    <w:bookmarkEnd w:id="12"/>
    <w:bookmarkStart w:id="13" w:name="X097c0fcc609926ac1738b81c24e360fe8ca2130"/>
    <w:p>
      <w:pPr>
        <w:pStyle w:val="Heading2"/>
      </w:pPr>
      <w:r>
        <w:t xml:space="preserve">3. Primary business specialty and dedicated capability</w:t>
      </w:r>
    </w:p>
    <w:p>
      <w:pPr>
        <w:pStyle w:val="FirstParagraph"/>
      </w:pPr>
      <w:r>
        <w:t xml:space="preserve">We are an engineering and technology company serving the Department of Defense, with an established naval and marine-engineering practice supporting ship and submarine design, maintenance planning, and modernization — including the standing Portsmouth Naval Shipyard engineering-support contract noted above.</w:t>
      </w:r>
      <w:r>
        <w:t xml:space="preserve"> </w:t>
      </w:r>
      <w:r>
        <w:rPr>
          <w:b/>
          <w:bCs/>
        </w:rPr>
        <w:t xml:space="preserve">We deliver this work through our naval/marine engineering organization; whether a division is dedicated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exclusively</w:t>
      </w:r>
      <w:r>
        <w:rPr>
          <w:b/>
          <w:bCs/>
        </w:rPr>
        <w:t xml:space="preserve"> </w:t>
      </w:r>
      <w:r>
        <w:rPr>
          <w:b/>
          <w:bCs/>
        </w:rPr>
        <w:t xml:space="preserve">to Marine Design and Engineering, and that division’s name, should be confirmed against CACI’s current organizational structure.</w:t>
      </w:r>
    </w:p>
    <w:bookmarkEnd w:id="13"/>
    <w:bookmarkStart w:id="14" w:name="X337fda0fe45b7321ae4a9fdb761dbae3d36c727"/>
    <w:p>
      <w:pPr>
        <w:pStyle w:val="Heading2"/>
      </w:pPr>
      <w:r>
        <w:t xml:space="preserve">4. Usual requirements and qualifications our customers ask of us</w:t>
      </w:r>
    </w:p>
    <w:p>
      <w:pPr>
        <w:pStyle w:val="FirstParagraph"/>
      </w:pPr>
      <w:r>
        <w:t xml:space="preserve">Customers for this work typically require a security-cleared engineering workforce, an on-site or nearby presence at the shipyard, demonstrated submarine and surface-ship experience, adherence to the Navy’s general overhaul specifications (GSO for surface ships, DDGOS for SSN/SSBN submarines) and applicable industry standards, and the ability to surge staffing to meet availability schedules without sacrificing quality.</w:t>
      </w:r>
      <w:r>
        <w:t xml:space="preserve"> </w:t>
      </w:r>
      <w:r>
        <w:rPr>
          <w:b/>
          <w:bCs/>
        </w:rPr>
        <w:t xml:space="preserve">Confirm/extend this list against CACI’s actual customer requirements on the Portsmouth and related contracts.</w:t>
      </w:r>
    </w:p>
    <w:bookmarkEnd w:id="14"/>
    <w:bookmarkStart w:id="15" w:name="Xece0143dac7fd350f90f933ddb75f42d3000d1e"/>
    <w:p>
      <w:pPr>
        <w:pStyle w:val="Heading2"/>
      </w:pPr>
      <w:r>
        <w:t xml:space="preserve">5. Department of Labor Wage Determination labor categories</w:t>
      </w:r>
    </w:p>
    <w:p>
      <w:pPr>
        <w:pStyle w:val="FirstParagraph"/>
      </w:pPr>
      <w:r>
        <w:rPr>
          <w:b/>
          <w:bCs/>
        </w:rPr>
        <w:t xml:space="preserve">Most positions in marine design and engineering (naval architects; marine, mechanical, electrical, and structural engineers; senior designers) are professional/exempt and fall outside the Service Contract Act. Non-exempt support positions, where used, would map to SCA occupation categories such as Engineering Technician, CAD/Drafting Technician, and General Clerk. Provide the actual DOL Wage Determination occupation codes and titles CACI uses for this service.</w:t>
      </w:r>
    </w:p>
    <w:bookmarkEnd w:id="15"/>
    <w:bookmarkStart w:id="16" w:name="major-cost-drivers"/>
    <w:p>
      <w:pPr>
        <w:pStyle w:val="Heading2"/>
      </w:pPr>
      <w:r>
        <w:t xml:space="preserve">6. Major cost drivers</w:t>
      </w:r>
    </w:p>
    <w:p>
      <w:pPr>
        <w:pStyle w:val="FirstParagraph"/>
      </w:pPr>
      <w:r>
        <w:rPr>
          <w:b/>
          <w:bCs/>
        </w:rPr>
        <w:t xml:space="preserve">The major cost drivers are: availability and labor rates for cleared, experienced marine engineers in the Kitsap County market; security-clearance processing lead time; the required local full-service office and facilities; engineering/CAD software, modeling tools, and technical-data systems; and surge staffing to meet fluctuating availability workload. Confirm against CACI’s actual cost structure for this work.</w:t>
      </w:r>
    </w:p>
    <w:bookmarkEnd w:id="16"/>
    <w:bookmarkStart w:id="17" w:name="standards-cost-estimation-method"/>
    <w:p>
      <w:pPr>
        <w:pStyle w:val="Heading2"/>
      </w:pPr>
      <w:r>
        <w:t xml:space="preserve">7. Standards / cost-estimation method</w:t>
      </w:r>
    </w:p>
    <w:p>
      <w:pPr>
        <w:pStyle w:val="FirstParagraph"/>
      </w:pPr>
      <w:r>
        <w:rPr>
          <w:b/>
          <w:bCs/>
        </w:rPr>
        <w:t xml:space="preserve">We estimate by labor-hour basis-of-estimate built from historical actuals and a standard labor-rate structure, scoped per task-order statement of work — not RS Means or NCEF resource lists (those are construction-cost references, not a fit for engineering-services labor). Confirm CACI’s actual estimating method and any tools.</w:t>
      </w:r>
    </w:p>
    <w:bookmarkEnd w:id="17"/>
    <w:bookmarkStart w:id="18" w:name="pricing-unit-of-measure"/>
    <w:p>
      <w:pPr>
        <w:pStyle w:val="Heading2"/>
      </w:pPr>
      <w:r>
        <w:t xml:space="preserve">8. Pricing — unit of measure</w:t>
      </w:r>
    </w:p>
    <w:p>
      <w:pPr>
        <w:pStyle w:val="FirstParagraph"/>
      </w:pPr>
      <w:r>
        <w:rPr>
          <w:b/>
          <w:bCs/>
        </w:rPr>
        <w:t xml:space="preserve">Priced by labor hour for level-of-effort task orders, and firm-fixed-price per task or per deliverable where the scope is well defined — matching the task-order type the Government issues. Confirm CACI’s standard unit of measure for this service.</w:t>
      </w:r>
    </w:p>
    <w:bookmarkEnd w:id="18"/>
    <w:bookmarkStart w:id="19" w:name="X6f9d240b9c56d5cfc0228c09eeca1a02ea3bee8"/>
    <w:p>
      <w:pPr>
        <w:pStyle w:val="Heading2"/>
      </w:pPr>
      <w:r>
        <w:t xml:space="preserve">9. Calendar days after award before we can provide services</w:t>
      </w:r>
    </w:p>
    <w:p>
      <w:pPr>
        <w:pStyle w:val="FirstParagraph"/>
      </w:pPr>
      <w:r>
        <w:rPr>
          <w:b/>
          <w:bCs/>
        </w:rPr>
        <w:t xml:space="preserve">30 days. We already operate an office in Silverdale, WA (Kitsap County), so the PWS-required full-service local office can be in place within the 30-day window and existing cleared staff can begin near-immediately; CACI should select the value it will commit to (</w:t>
      </w:r>
      <w:r>
        <w:rPr>
          <w:b/>
          <w:bCs/>
        </w:rPr>
        <w:t xml:space="preserve">“Immediately”</w:t>
      </w:r>
      <w:r>
        <w:rPr>
          <w:b/>
          <w:bCs/>
        </w:rPr>
        <w:t xml:space="preserve"> </w:t>
      </w:r>
      <w:r>
        <w:rPr>
          <w:b/>
          <w:bCs/>
        </w:rPr>
        <w:t xml:space="preserve">vs. </w:t>
      </w:r>
      <w:r>
        <w:rPr>
          <w:b/>
          <w:bCs/>
        </w:rPr>
        <w:t xml:space="preserve">“30 days”</w:t>
      </w:r>
      <w:r>
        <w:rPr>
          <w:b/>
          <w:bCs/>
        </w:rPr>
        <w:t xml:space="preserve">).</w:t>
      </w:r>
    </w:p>
    <w:bookmarkEnd w:id="19"/>
    <w:bookmarkStart w:id="20" w:name="X075f2688028c713b633d92d14486c68328c6783"/>
    <w:p>
      <w:pPr>
        <w:pStyle w:val="Heading2"/>
      </w:pPr>
      <w:r>
        <w:t xml:space="preserve">10. Special qualifications that make our service superior</w:t>
      </w:r>
    </w:p>
    <w:p>
      <w:pPr>
        <w:pStyle w:val="FirstParagraph"/>
      </w:pPr>
      <w:r>
        <w:t xml:space="preserve">Two points distinguish us, both demonstrated rather than aspirational. First, we already perform the analogous mission at the Navy’s other submarine overhaul shipyard — submarine availability planning and engineering for SHAPEC and the Deep Submergence Systems Program at Portsmouth Naval Shipyard — so the submarine experience this contract calls for is current and proven. Second, we already operate an office in Silverdale, within Kitsap County, so the required local full-service presence is in place today rather than something to establish after award. That Portsmouth work is the same engineering-services classification (NAICS 541330) as this requirement.</w:t>
      </w:r>
      <w:r>
        <w:t xml:space="preserve"> </w:t>
      </w:r>
      <w:r>
        <w:rPr>
          <w:b/>
          <w:bCs/>
        </w:rPr>
        <w:t xml:space="preserve">CACI may add specific quality certifications, tools (e.g., the SHAPEC planning tools we have developed), or workforce metrics.</w:t>
      </w:r>
    </w:p>
    <w:bookmarkEnd w:id="20"/>
    <w:bookmarkStart w:id="21" w:name="X6767c57dd46de2e273ebe0618bd5dc9c1caa006"/>
    <w:p>
      <w:pPr>
        <w:pStyle w:val="Heading2"/>
      </w:pPr>
      <w:r>
        <w:t xml:space="preserve">11. Risks and feedback on the draft Performance Work Statement</w:t>
      </w:r>
    </w:p>
    <w:p>
      <w:pPr>
        <w:pStyle w:val="FirstParagraph"/>
      </w:pPr>
      <w:r>
        <w:t xml:space="preserve">The principal execution risks on work of this type are the local availability of cleared, experienced marine engineers; the lead time to onboard and clear new staff against a surging availability schedule; and reliance on timely Government access to reference drawings, technical manuals, and data files. Each is manageable with an established local workforce and early access to Government-furnished information.</w:t>
      </w:r>
      <w:r>
        <w:t xml:space="preserve"> </w:t>
      </w:r>
      <w:r>
        <w:rPr>
          <w:b/>
          <w:bCs/>
        </w:rPr>
        <w:t xml:space="preserve">CACI may add specific feedback on the draft PWS scope, the surface-vs-submarine labor mix, or the up-to-five-award contract structure.</w:t>
      </w:r>
    </w:p>
    <w:bookmarkEnd w:id="21"/>
    <w:bookmarkStart w:id="22" w:name="Xa527b9f426af671342124ee20b7fdf64ba4a6d0"/>
    <w:p>
      <w:pPr>
        <w:pStyle w:val="Heading2"/>
      </w:pPr>
      <w:r>
        <w:t xml:space="preserve">12. Experience performing navy-modernization shipchecks — years</w:t>
      </w:r>
    </w:p>
    <w:p>
      <w:pPr>
        <w:pStyle w:val="FirstParagraph"/>
      </w:pPr>
      <w:r>
        <w:rPr>
          <w:b/>
          <w:bCs/>
        </w:rPr>
        <w:t xml:space="preserve">Yes. Predicted from our Portsmouth Naval Shipyard / SHAPEC engineering and availability-planning support (held since 2017, ~9 years), which plausibly includes navy-modernization shipcheck work. The specific shipcheck experience and exact years are not confirmed in the public record — verify against CACI’s internal past performance before stating a number.</w:t>
      </w:r>
    </w:p>
    <w:bookmarkEnd w:id="22"/>
    <w:bookmarkStart w:id="23" w:name="Xa23de7118732a502ce5645a89ac239152b6b7d3"/>
    <w:p>
      <w:pPr>
        <w:pStyle w:val="Heading2"/>
      </w:pPr>
      <w:r>
        <w:t xml:space="preserve">13. Experience developing Navy-modernization Ship Installation/Removal Drawings (SIDs) — years</w:t>
      </w:r>
    </w:p>
    <w:p>
      <w:pPr>
        <w:pStyle w:val="FirstParagraph"/>
      </w:pPr>
      <w:r>
        <w:rPr>
          <w:b/>
          <w:bCs/>
        </w:rPr>
        <w:t xml:space="preserve">Yes. Drawing development falls within our naval-engineering and SHAPEC scope at Portsmouth (since 2017, ~9 years). Specific Ship Installation/Removal Drawing experience and exact years are unverified publicly — confirm internally.</w:t>
      </w:r>
    </w:p>
    <w:bookmarkEnd w:id="23"/>
    <w:bookmarkStart w:id="24" w:name="Xbd42e77442a38ca16be19a71e0758e96bb00cba"/>
    <w:p>
      <w:pPr>
        <w:pStyle w:val="Heading2"/>
      </w:pPr>
      <w:r>
        <w:t xml:space="preserve">14. Experience developing Technical Work Documents (TWDs) — years</w:t>
      </w:r>
    </w:p>
    <w:p>
      <w:pPr>
        <w:pStyle w:val="FirstParagraph"/>
      </w:pPr>
      <w:r>
        <w:rPr>
          <w:b/>
          <w:bCs/>
        </w:rPr>
        <w:t xml:space="preserve">Yes. Technical document preparation is within our engineering-support scope at Portsmouth (since 2017, ~9 years). Specific Technical Work Document experience and exact years are unverified publicly — confirm internally.</w:t>
      </w:r>
    </w:p>
    <w:bookmarkEnd w:id="24"/>
    <w:bookmarkStart w:id="25" w:name="Xacd512ec5deefe2d2cce5b4fd86bb228fce6576"/>
    <w:p>
      <w:pPr>
        <w:pStyle w:val="Heading2"/>
      </w:pPr>
      <w:r>
        <w:t xml:space="preserve">15. Experience assembling work packages for navy-modernization production, maintenance, and repair — years</w:t>
      </w:r>
    </w:p>
    <w:p>
      <w:pPr>
        <w:pStyle w:val="FirstParagraph"/>
      </w:pPr>
      <w:r>
        <w:rPr>
          <w:b/>
          <w:bCs/>
        </w:rPr>
        <w:t xml:space="preserve">Yes. Availability and work planning is core to our SHAPEC support at Portsmouth (since 2017, ~9 years). Specific modernization work-package experience and exact years are unverified publicly — confirm internally.</w:t>
      </w:r>
    </w:p>
    <w:bookmarkEnd w:id="25"/>
    <w:bookmarkStart w:id="26" w:name="Xaa23a1d883ad1dc2b52cc5d677b065ed56bd29c"/>
    <w:p>
      <w:pPr>
        <w:pStyle w:val="Heading2"/>
      </w:pPr>
      <w:r>
        <w:t xml:space="preserve">16. Experience performing shipchecks and/or updating records for Ship Selected Record Drawings (SSRDs) — years</w:t>
      </w:r>
    </w:p>
    <w:p>
      <w:pPr>
        <w:pStyle w:val="FirstParagraph"/>
      </w:pPr>
      <w:r>
        <w:rPr>
          <w:b/>
          <w:bCs/>
        </w:rPr>
        <w:t xml:space="preserve">Yes. Record-drawing upkeep is within our planning-yard engineering scope at Portsmouth (since 2017, ~9 years). Specific Ship Selected Record Drawing experience and exact years are unverified publicly — confirm internally.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2026-06-12T06:28:33Z</dcterms:created>
  <dcterms:modified xsi:type="dcterms:W3CDTF">2026-06-12T06:28:33Z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