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Draft SRF-JRMC Instruction 5239.1 — askSage Governance (Working-Group Review)</w:t>
      </w:r>
    </w:p>
    <w:bookmarkStart w:id="13" w:name="Xb91ce9d960160a53a30a8bbf5f43869b74a961b"/>
    <w:p>
      <w:pPr>
        <w:pStyle w:val="Heading1"/>
      </w:pPr>
      <w:r>
        <w:t xml:space="preserve">SRF-JRMC askSage Governance Instruction — Working-Group Routing &amp; Comment Sheet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Draft SRF-JRMC Instruction 5239.1,</w:t>
      </w:r>
      <w:r>
        <w:t xml:space="preserve"> </w:t>
      </w:r>
      <w:r>
        <w:rPr>
          <w:i/>
          <w:iCs/>
        </w:rPr>
        <w:t xml:space="preserve">Governance, Security, and Use of the</w:t>
      </w:r>
      <w:r>
        <w:rPr>
          <w:i/>
          <w:iCs/>
        </w:rPr>
        <w:t xml:space="preserve"> </w:t>
      </w:r>
      <w:r>
        <w:rPr>
          <w:i/>
          <w:iCs/>
        </w:rPr>
        <w:t xml:space="preserve">askSage Artificial Intelligence Platform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[Originator] ·</w:t>
      </w:r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AI Governance Working Group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 ·</w:t>
      </w:r>
      <w:r>
        <w:t xml:space="preserve"> </w:t>
      </w:r>
      <w:r>
        <w:rPr>
          <w:b/>
          <w:bCs/>
        </w:rPr>
        <w:t xml:space="preserve">Comments due:</w:t>
      </w:r>
      <w:r>
        <w:t xml:space="preserve"> </w:t>
      </w:r>
      <w:r>
        <w:t xml:space="preserve">______</w:t>
      </w:r>
    </w:p>
    <w:p>
      <w:r>
        <w:pict>
          <v:rect style="width:0;height:1.5pt" o:hralign="center" o:hrstd="t" o:hr="t"/>
        </w:pic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A working draft of the command instruction governing how SRF-JRMC uses askSage. It is</w:t>
      </w:r>
      <w:r>
        <w:t xml:space="preserve"> </w:t>
      </w:r>
      <w:r>
        <w:rPr>
          <w:b/>
          <w:bCs/>
        </w:rPr>
        <w:t xml:space="preserve">for review and markup</w:t>
      </w:r>
      <w:r>
        <w:t xml:space="preserve">, not yet for signature. Please read the attached draft, mark it</w:t>
      </w:r>
      <w:r>
        <w:t xml:space="preserve"> </w:t>
      </w:r>
      <w:r>
        <w:t xml:space="preserve">with track-changes and comments, and return by the date above. The draft is built to a</w:t>
      </w:r>
      <w:r>
        <w:t xml:space="preserve"> </w:t>
      </w:r>
      <w:r>
        <w:rPr>
          <w:b/>
          <w:bCs/>
        </w:rPr>
        <w:t xml:space="preserve">best-in-class</w:t>
      </w:r>
      <w:r>
        <w:t xml:space="preserve"> </w:t>
      </w:r>
      <w:r>
        <w:t xml:space="preserve">posture and maps to the DoD AI Ethical Principles and the NIST AI Risk</w:t>
      </w:r>
      <w:r>
        <w:t xml:space="preserve"> </w:t>
      </w:r>
      <w:r>
        <w:t xml:space="preserve">Management Framework so it is defensible on its face.</w:t>
      </w:r>
    </w:p>
    <w:bookmarkEnd w:id="9"/>
    <w:bookmarkStart w:id="10" w:name="X8aec413d3fb92b2b497912617b04fe73bea4e1a"/>
    <w:p>
      <w:pPr>
        <w:pStyle w:val="Heading2"/>
      </w:pPr>
      <w:r>
        <w:t xml:space="preserve">What is already decided (please do not relitigate without a substantive reason)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Platform:</w:t>
      </w:r>
      <w:r>
        <w:t xml:space="preserve"> </w:t>
      </w:r>
      <w:r>
        <w:t xml:space="preserve">command-standalone</w:t>
      </w:r>
      <w:r>
        <w:t xml:space="preserve"> </w:t>
      </w:r>
      <w:r>
        <w:rPr>
          <w:b/>
          <w:bCs/>
        </w:rPr>
        <w:t xml:space="preserve">askSage</w:t>
      </w:r>
      <w:r>
        <w:t xml:space="preserve"> </w:t>
      </w:r>
      <w:r>
        <w:t xml:space="preserve">(not GenAI.mil); askSage is ATO’d at IL5</w:t>
      </w:r>
      <w:r>
        <w:t xml:space="preserve"> </w:t>
      </w:r>
      <w:r>
        <w:t xml:space="preserve">and connects to Flank Speed. Convergence to GenAI.mil stays a future option.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Data:</w:t>
      </w:r>
      <w:r>
        <w:t xml:space="preserve"> </w:t>
      </w:r>
      <w:r>
        <w:rPr>
          <w:b/>
          <w:bCs/>
        </w:rPr>
        <w:t xml:space="preserve">CUI authorized up to IL5; PII and PHI prohibited</w:t>
      </w:r>
      <w:r>
        <w:t xml:space="preserve"> </w:t>
      </w:r>
      <w:r>
        <w:t xml:space="preserve">(carved out), as are</w:t>
      </w:r>
      <w:r>
        <w:t xml:space="preserve"> </w:t>
      </w:r>
      <w:r>
        <w:t xml:space="preserve">classified and NNPI.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is decision support, not authority:</w:t>
      </w:r>
      <w:r>
        <w:t xml:space="preserve"> </w:t>
      </w:r>
      <w:r>
        <w:t xml:space="preserve">technical adjudication stays with the</w:t>
      </w:r>
      <w:r>
        <w:t xml:space="preserve"> </w:t>
      </w:r>
      <w:r>
        <w:rPr>
          <w:b/>
          <w:bCs/>
        </w:rPr>
        <w:t xml:space="preserve">CHENG</w:t>
      </w:r>
      <w:r>
        <w:rPr>
          <w:b/>
          <w:bCs/>
        </w:rPr>
        <w:t xml:space="preserve"> </w:t>
      </w:r>
      <w:r>
        <w:rPr>
          <w:b/>
          <w:bCs/>
        </w:rPr>
        <w:t xml:space="preserve">chain</w:t>
      </w:r>
      <w:r>
        <w:t xml:space="preserve">; AI output is always a non-authoritative draft.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Governance is run through existing structures:</w:t>
      </w:r>
      <w:r>
        <w:t xml:space="preserve"> </w:t>
      </w:r>
      <w:r>
        <w:t xml:space="preserve">CIO/ISSM own IT and security; CHENG</w:t>
      </w:r>
      <w:r>
        <w:t xml:space="preserve"> </w:t>
      </w:r>
      <w:r>
        <w:t xml:space="preserve">chain owns technical use; Legal concurs on records;</w:t>
      </w:r>
      <w:r>
        <w:t xml:space="preserve"> </w:t>
      </w:r>
      <w:r>
        <w:rPr>
          <w:b/>
          <w:bCs/>
        </w:rPr>
        <w:t xml:space="preserve">Department Heads are the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forum, reviewing the use-case inventory quarterly.</w:t>
      </w:r>
      <w:r>
        <w:t xml:space="preserve"> </w:t>
      </w:r>
      <w:r>
        <w:t xml:space="preserve">No new board.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 of scope:</w:t>
      </w:r>
      <w:r>
        <w:t xml:space="preserve"> </w:t>
      </w:r>
      <w:r>
        <w:t xml:space="preserve">digital supervision of any person; final technical/quality/contractual</w:t>
      </w:r>
      <w:r>
        <w:t xml:space="preserve"> </w:t>
      </w:r>
      <w:r>
        <w:t xml:space="preserve">authority.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Other settled calls:</w:t>
      </w:r>
      <w:r>
        <w:t xml:space="preserve"> </w:t>
      </w:r>
      <w:r>
        <w:t xml:space="preserve">immediate manual fallback (DDIL); token/compute control demoted</w:t>
      </w:r>
      <w:r>
        <w:t xml:space="preserve"> </w:t>
      </w:r>
      <w:r>
        <w:t xml:space="preserve">to an administrative annex with a mission-critical override; aggregation handled through</w:t>
      </w:r>
      <w:r>
        <w:t xml:space="preserve"> </w:t>
      </w:r>
      <w:r>
        <w:t xml:space="preserve">the existing Security Classification Guide and spillage procedures.</w:t>
      </w:r>
    </w:p>
    <w:bookmarkEnd w:id="10"/>
    <w:bookmarkStart w:id="11" w:name="what-we-need-from-the-working-group"/>
    <w:p>
      <w:pPr>
        <w:pStyle w:val="Heading2"/>
      </w:pPr>
      <w:r>
        <w:t xml:space="preserve">What we need from the working group</w:t>
      </w:r>
    </w:p>
    <w:p>
      <w:pPr>
        <w:pStyle w:val="FirstParagraph"/>
      </w:pPr>
      <w:r>
        <w:t xml:space="preserve">Substantive review on feasibility and correctness, and resolution of the items the draft</w:t>
      </w:r>
      <w:r>
        <w:t xml:space="preserve"> </w:t>
      </w:r>
      <w:r>
        <w:t xml:space="preserve">flags inline as</w:t>
      </w:r>
      <w:r>
        <w:t xml:space="preserve"> </w:t>
      </w:r>
      <w:r>
        <w:rPr>
          <w:b/>
          <w:bCs/>
        </w:rPr>
        <w:t xml:space="preserve">“Working group to resolve”</w:t>
      </w:r>
      <w:r>
        <w:t xml:space="preserve"> </w:t>
      </w:r>
      <w:r>
        <w:t xml:space="preserve">(also listed here):</w:t>
      </w:r>
    </w:p>
    <w:p>
      <w:pPr>
        <w:pStyle w:val="Compact"/>
        <w:numPr>
          <w:ilvl w:val="0"/>
          <w:numId w:val="1002"/>
        </w:numPr>
      </w:pPr>
      <w:r>
        <w:t xml:space="preserve">Verify the reference identifiers (refs e, f, g, j) and add the command’s cognizant</w:t>
      </w:r>
      <w:r>
        <w:t xml:space="preserve"> </w:t>
      </w:r>
      <w:r>
        <w:t xml:space="preserve">cybersecurity, records-management, and security-spillage references.</w:t>
      </w:r>
    </w:p>
    <w:p>
      <w:pPr>
        <w:pStyle w:val="Compact"/>
        <w:numPr>
          <w:ilvl w:val="0"/>
          <w:numId w:val="1002"/>
        </w:numPr>
      </w:pPr>
      <w:r>
        <w:t xml:space="preserve">Record the specific askSage ATO reference and the Flank Speed connection authority (§2).</w:t>
      </w:r>
    </w:p>
    <w:p>
      <w:pPr>
        <w:pStyle w:val="Compact"/>
        <w:numPr>
          <w:ilvl w:val="0"/>
          <w:numId w:val="1002"/>
        </w:numPr>
      </w:pPr>
      <w:r>
        <w:t xml:space="preserve">Name the cognizant Security Classification Guide(s) (§4.e).</w:t>
      </w:r>
    </w:p>
    <w:p>
      <w:pPr>
        <w:pStyle w:val="Compact"/>
        <w:numPr>
          <w:ilvl w:val="0"/>
          <w:numId w:val="1002"/>
        </w:numPr>
      </w:pPr>
      <w:r>
        <w:t xml:space="preserve">Assign the knowledge-base recertification owner and cadence (§5.b).</w:t>
      </w:r>
    </w:p>
    <w:p>
      <w:pPr>
        <w:pStyle w:val="Compact"/>
        <w:numPr>
          <w:ilvl w:val="0"/>
          <w:numId w:val="1002"/>
        </w:numPr>
      </w:pPr>
      <w:r>
        <w:t xml:space="preserve">Confirm the derivative-classifier screening process and name the screened</w:t>
      </w:r>
      <w:r>
        <w:t xml:space="preserve"> </w:t>
      </w:r>
      <w:r>
        <w:t xml:space="preserve">authoritative-corpus source the AI indexes from (§5.c).</w:t>
      </w:r>
    </w:p>
    <w:p>
      <w:pPr>
        <w:pStyle w:val="Compact"/>
        <w:numPr>
          <w:ilvl w:val="0"/>
          <w:numId w:val="1002"/>
        </w:numPr>
      </w:pPr>
      <w:r>
        <w:t xml:space="preserve">Confirm the engineering and quality-assurance codes and the Technical Warrant Holder</w:t>
      </w:r>
      <w:r>
        <w:t xml:space="preserve"> </w:t>
      </w:r>
      <w:r>
        <w:t xml:space="preserve">assignments for the CHENG chain (§6.a).</w:t>
      </w:r>
    </w:p>
    <w:p>
      <w:pPr>
        <w:pStyle w:val="Compact"/>
        <w:numPr>
          <w:ilvl w:val="0"/>
          <w:numId w:val="1002"/>
        </w:numPr>
      </w:pPr>
      <w:r>
        <w:t xml:space="preserve">Name the authoritative source-of-record system used for out-of-band verification (§6.c).</w:t>
      </w:r>
    </w:p>
    <w:p>
      <w:pPr>
        <w:pStyle w:val="Compact"/>
        <w:numPr>
          <w:ilvl w:val="0"/>
          <w:numId w:val="1002"/>
        </w:numPr>
      </w:pPr>
      <w:r>
        <w:t xml:space="preserve">Name the halt/revoke authority for a rogue agent (§7.e).</w:t>
      </w:r>
    </w:p>
    <w:p>
      <w:pPr>
        <w:pStyle w:val="Compact"/>
        <w:numPr>
          <w:ilvl w:val="0"/>
          <w:numId w:val="1002"/>
        </w:numPr>
      </w:pPr>
      <w:r>
        <w:t xml:space="preserve">Confirm any delegation of accountability (e.g., to the Executive Director) (§8.a).</w:t>
      </w:r>
    </w:p>
    <w:p>
      <w:pPr>
        <w:pStyle w:val="Compact"/>
        <w:numPr>
          <w:ilvl w:val="0"/>
          <w:numId w:val="1002"/>
        </w:numPr>
      </w:pPr>
      <w:r>
        <w:t xml:space="preserve">Align the spillage flow with the command’s actual spillage and records-destruction</w:t>
      </w:r>
      <w:r>
        <w:t xml:space="preserve"> </w:t>
      </w:r>
      <w:r>
        <w:t xml:space="preserve">procedures (§11.a).</w:t>
      </w:r>
    </w:p>
    <w:p>
      <w:pPr>
        <w:pStyle w:val="Compact"/>
        <w:numPr>
          <w:ilvl w:val="0"/>
          <w:numId w:val="1002"/>
        </w:numPr>
      </w:pPr>
      <w:r>
        <w:t xml:space="preserve">Verify the data-residency and encryption posture with the cognizant authority (§14.d).</w:t>
      </w:r>
    </w:p>
    <w:p>
      <w:pPr>
        <w:pStyle w:val="FirstParagraph"/>
      </w:pPr>
      <w:r>
        <w:t xml:space="preserve">Beyond these, flag anything that conflicts with existing command process, is not feasible</w:t>
      </w:r>
      <w:r>
        <w:t xml:space="preserve"> </w:t>
      </w:r>
      <w:r>
        <w:t xml:space="preserve">as written, or is missing.</w:t>
      </w:r>
    </w:p>
    <w:bookmarkEnd w:id="11"/>
    <w:bookmarkStart w:id="12" w:name="comment-resolution-working-group-use"/>
    <w:p>
      <w:pPr>
        <w:pStyle w:val="Heading2"/>
      </w:pPr>
      <w:r>
        <w:t xml:space="preserve">Comment resolution (working group use)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Attachment: Draft SRF-JRMC Instruction 5239.1 (for working-group review).</w:t>
      </w:r>
    </w:p>
    <w:p>
      <w:r>
        <w:br w:type="page"/>
      </w:r>
    </w:p>
    <w:bookmarkEnd w:id="12"/>
    <w:bookmarkEnd w:id="13"/>
    <w:bookmarkStart w:id="29" w:name="department-of-the-navy"/>
    <w:p>
      <w:pPr>
        <w:pStyle w:val="Heading1"/>
      </w:pPr>
      <w:r>
        <w:t xml:space="preserve">DEPARTMENT OF THE NAVY</w:t>
      </w:r>
    </w:p>
    <w:p>
      <w:pPr>
        <w:pStyle w:val="FirstParagraph"/>
      </w:pPr>
      <w:r>
        <w:rPr>
          <w:b/>
          <w:bCs/>
        </w:rPr>
        <w:t xml:space="preserve">U.S. NAVAL SHIP REPAIR FACILITY AND JAPAN REGIONAL MAINTENANCE CENTER</w:t>
      </w:r>
      <w:r>
        <w:t xml:space="preserve"> </w:t>
      </w:r>
      <w:r>
        <w:rPr>
          <w:b/>
          <w:bCs/>
        </w:rPr>
        <w:t xml:space="preserve">PSC 473 BOX 8</w:t>
      </w:r>
      <w:r>
        <w:t xml:space="preserve"> </w:t>
      </w:r>
      <w:r>
        <w:rPr>
          <w:b/>
          <w:bCs/>
        </w:rPr>
        <w:t xml:space="preserve">FPO AP 96349-0008</w:t>
      </w:r>
    </w:p>
    <w:p>
      <w:pPr>
        <w:pStyle w:val="BodyText"/>
      </w:pPr>
      <w:r>
        <w:rPr>
          <w:b/>
          <w:bCs/>
        </w:rPr>
        <w:t xml:space="preserve">SRF-JRMC INSTRUCTION 5239.1 [DRAFT — FOR WORKING-GROUP REVIEW]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Commanding Officer, U.S. Naval Ship Repair Facility and Japan Regional Maintenance Center</w:t>
      </w:r>
      <w:r>
        <w:t xml:space="preserve"> </w:t>
      </w:r>
      <w:r>
        <w:rPr>
          <w:b/>
          <w:bCs/>
        </w:rPr>
        <w:t xml:space="preserve">Subj:</w:t>
      </w:r>
      <w:r>
        <w:t xml:space="preserve"> </w:t>
      </w:r>
      <w:r>
        <w:t xml:space="preserve">GOVERNANCE, SECURITY, AND USE OF THE ASKSAGE ARTIFICIAL INTELLIGENCE PLATFORM</w:t>
      </w:r>
    </w:p>
    <w:p>
      <w:pPr>
        <w:pStyle w:val="BodyText"/>
      </w:pPr>
      <w:r>
        <w:rPr>
          <w:b/>
          <w:bCs/>
        </w:rPr>
        <w:t xml:space="preserve">Ref:</w:t>
      </w:r>
      <w:r>
        <w:t xml:space="preserve"> </w:t>
      </w:r>
      <w:r>
        <w:t xml:space="preserve">- (a) DoDI 5200.48, Controlled Unclassified Information</w:t>
      </w:r>
      <w:r>
        <w:t xml:space="preserve"> </w:t>
      </w:r>
      <w:r>
        <w:t xml:space="preserve">- (b) SECNAVINST 5239.3C, Department of the Navy Cybersecurity Policy</w:t>
      </w:r>
      <w:r>
        <w:t xml:space="preserve"> </w:t>
      </w:r>
      <w:r>
        <w:t xml:space="preserve">- (c) COMUSFLTFORCOMINST 4790.3 (Joint Fleet Maintenance Manual, JFMM)</w:t>
      </w:r>
      <w:r>
        <w:t xml:space="preserve"> </w:t>
      </w:r>
      <w:r>
        <w:t xml:space="preserve">- (d) DoD Responsible Artificial Intelligence Strategy and Implementation Pathway (2022)</w:t>
      </w:r>
      <w:r>
        <w:t xml:space="preserve"> </w:t>
      </w:r>
      <w:r>
        <w:t xml:space="preserve">- (e) DoDI 5400.19, Public Affairs Use of Artificial Intelligence (2025)</w:t>
      </w:r>
      <w:r>
        <w:t xml:space="preserve"> </w:t>
      </w:r>
      <w:r>
        <w:rPr>
          <w:b/>
          <w:bCs/>
        </w:rPr>
        <w:t xml:space="preserve">[WG: verify identifier]</w:t>
      </w:r>
      <w:r>
        <w:t xml:space="preserve"> </w:t>
      </w:r>
      <w:r>
        <w:t xml:space="preserve">- (f) DoD CDAO Memorandum, Guidelines and Guardrails to Inform Governance of Generative Artificial Intelligence (12 July 2024)</w:t>
      </w:r>
      <w:r>
        <w:t xml:space="preserve"> </w:t>
      </w:r>
      <w:r>
        <w:rPr>
          <w:b/>
          <w:bCs/>
        </w:rPr>
        <w:t xml:space="preserve">[WG: verify identifier]</w:t>
      </w:r>
      <w:r>
        <w:t xml:space="preserve"> </w:t>
      </w:r>
      <w:r>
        <w:t xml:space="preserve">- (g) DON CIO generative-AI / GenAI.mil guidance</w:t>
      </w:r>
      <w:r>
        <w:t xml:space="preserve"> </w:t>
      </w:r>
      <w:r>
        <w:rPr>
          <w:b/>
          <w:bCs/>
        </w:rPr>
        <w:t xml:space="preserve">[WG: insert exact memo identifiers]</w:t>
      </w:r>
      <w:r>
        <w:t xml:space="preserve"> </w:t>
      </w:r>
      <w:r>
        <w:t xml:space="preserve">- (h) NIST AI Risk Management Framework 1.0 and Generative AI Profile</w:t>
      </w:r>
      <w:r>
        <w:t xml:space="preserve"> </w:t>
      </w:r>
      <w:r>
        <w:t xml:space="preserve">- (i) The Privacy Act of 1974; HIPAA (PII/PHI prohibition)</w:t>
      </w:r>
      <w:r>
        <w:t xml:space="preserve"> </w:t>
      </w:r>
      <w:r>
        <w:t xml:space="preserve">- (j) 36 CFR 1229, Emergency authorization to destroy records</w:t>
      </w:r>
      <w:r>
        <w:t xml:space="preserve"> </w:t>
      </w:r>
      <w:r>
        <w:rPr>
          <w:b/>
          <w:bCs/>
        </w:rPr>
        <w:t xml:space="preserve">[WG: verify citation; supports the spillage cleanup in para 11.a]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verify reference identifiers (e), (f), (g), (j) against the actual issuances, and add the command’s cognizant cybersecurity, records-management, and security-spillage references.</w:t>
      </w:r>
    </w:p>
    <w:p>
      <w:r>
        <w:pict>
          <v:rect style="width:0;height:1.5pt" o:hralign="center" o:hrstd="t" o:hr="t"/>
        </w:pict>
      </w:r>
    </w:p>
    <w:bookmarkStart w:id="14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To establish command policy, responsibilities, and controls for the secure, safe, and</w:t>
      </w:r>
      <w:r>
        <w:t xml:space="preserve"> </w:t>
      </w:r>
      <w:r>
        <w:t xml:space="preserve">effective use of the askSage artificial intelligence (AI) platform across SRF-JRMC.</w:t>
      </w:r>
      <w:r>
        <w:t xml:space="preserve"> </w:t>
      </w:r>
      <w:r>
        <w:t xml:space="preserve">askSage is an</w:t>
      </w:r>
      <w:r>
        <w:t xml:space="preserve"> </w:t>
      </w:r>
      <w:r>
        <w:rPr>
          <w:i/>
          <w:iCs/>
        </w:rPr>
        <w:t xml:space="preserve">agentic</w:t>
      </w:r>
      <w:r>
        <w:t xml:space="preserve"> </w:t>
      </w:r>
      <w:r>
        <w:t xml:space="preserve">AI capability: it can reason over multiple steps, retrieve data</w:t>
      </w:r>
      <w:r>
        <w:t xml:space="preserve"> </w:t>
      </w:r>
      <w:r>
        <w:t xml:space="preserve">across command processes, and take actions. This instruction governs how the command</w:t>
      </w:r>
      <w:r>
        <w:t xml:space="preserve"> </w:t>
      </w:r>
      <w:r>
        <w:t xml:space="preserve">uses that capability so that it strengthens maintenance and administrative work while</w:t>
      </w:r>
      <w:r>
        <w:t xml:space="preserve"> </w:t>
      </w:r>
      <w:r>
        <w:t xml:space="preserve">protecting information security, the authority of the command’s technical chain, safety</w:t>
      </w:r>
      <w:r>
        <w:t xml:space="preserve"> </w:t>
      </w:r>
      <w:r>
        <w:t xml:space="preserve">of life and seaworthiness, and compliance with U.S. and host-nation law.</w:t>
      </w:r>
    </w:p>
    <w:p>
      <w:pPr>
        <w:pStyle w:val="BodyText"/>
      </w:pPr>
      <w:r>
        <w:t xml:space="preserve">AI is decision</w:t>
      </w:r>
      <w:r>
        <w:t xml:space="preserve"> </w:t>
      </w:r>
      <w:r>
        <w:rPr>
          <w:b/>
          <w:bCs/>
        </w:rPr>
        <w:t xml:space="preserve">support</w:t>
      </w:r>
      <w:r>
        <w:t xml:space="preserve">. It transfers no technical, quality, contractual, or</w:t>
      </w:r>
      <w:r>
        <w:t xml:space="preserve"> </w:t>
      </w:r>
      <w:r>
        <w:t xml:space="preserve">supervisory authority to a machine. Accountability remains with people.</w:t>
      </w:r>
    </w:p>
    <w:bookmarkEnd w:id="14"/>
    <w:bookmarkStart w:id="15" w:name="scope-and-applicability"/>
    <w:p>
      <w:pPr>
        <w:pStyle w:val="Heading2"/>
      </w:pPr>
      <w:r>
        <w:t xml:space="preserve">2. Scope and applicability</w:t>
      </w:r>
    </w:p>
    <w:p>
      <w:pPr>
        <w:pStyle w:val="FirstParagraph"/>
      </w:pPr>
      <w:r>
        <w:t xml:space="preserve">This instruction applies to all military, U.S. civilian, Local National (Master Labor</w:t>
      </w:r>
      <w:r>
        <w:t xml:space="preserve"> </w:t>
      </w:r>
      <w:r>
        <w:t xml:space="preserve">Agreement, MLA, and Indirect Hire Agreement, IHA), and authorized contractor personnel</w:t>
      </w:r>
      <w:r>
        <w:t xml:space="preserve"> </w:t>
      </w:r>
      <w:r>
        <w:t xml:space="preserve">at SRF-JRMC and its detachments (Yokosuka and Sasebo) who use askSage.</w:t>
      </w:r>
    </w:p>
    <w:p>
      <w:pPr>
        <w:pStyle w:val="BodyText"/>
      </w:pPr>
      <w:r>
        <w:rPr>
          <w:b/>
          <w:bCs/>
        </w:rPr>
        <w:t xml:space="preserve">Explicitly out of scope (the command will not use askSage for these):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supervision.</w:t>
      </w:r>
      <w:r>
        <w:t xml:space="preserve"> </w:t>
      </w:r>
      <w:r>
        <w:t xml:space="preserve">askSage will not act as a supervisory or evaluative authority</w:t>
      </w:r>
      <w:r>
        <w:t xml:space="preserve"> </w:t>
      </w:r>
      <w:r>
        <w:t xml:space="preserve">over any person. This also keeps the command clear of Master Labor Agreement and</w:t>
      </w:r>
      <w:r>
        <w:t xml:space="preserve"> </w:t>
      </w:r>
      <w:r>
        <w:t xml:space="preserve">Status of Forces Agreement labor concerns.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Prohibited data</w:t>
      </w:r>
      <w:r>
        <w:t xml:space="preserve"> </w:t>
      </w:r>
      <w:r>
        <w:t xml:space="preserve">(Section 4): classified information, Naval Nuclear Propulsion</w:t>
      </w:r>
      <w:r>
        <w:t xml:space="preserve"> </w:t>
      </w:r>
      <w:r>
        <w:t xml:space="preserve">Information, Personally Identifiable Information, Protected Health Information.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Final technical, quality, contractual, or disbursement authority.</w:t>
      </w:r>
      <w:r>
        <w:t xml:space="preserve"> </w:t>
      </w:r>
      <w:r>
        <w:t xml:space="preserve">AI output is</w:t>
      </w:r>
      <w:r>
        <w:t xml:space="preserve"> </w:t>
      </w:r>
      <w:r>
        <w:t xml:space="preserve">always a draft for a qualified human to adjudicate (Sections 6 and 7).</w:t>
      </w:r>
    </w:p>
    <w:p>
      <w:pPr>
        <w:pStyle w:val="BodyText"/>
      </w:pPr>
      <w:r>
        <w:rPr>
          <w:b/>
          <w:bCs/>
        </w:rPr>
        <w:t xml:space="preserve">Instance basis: the command uses askSage, not the DoD enterprise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(GenAI.mil).</w:t>
      </w:r>
      <w:r>
        <w:t xml:space="preserve"> </w:t>
      </w:r>
      <w:r>
        <w:t xml:space="preserve">askSage already provides Authority-to-Operate (ATO) functionality at</w:t>
      </w:r>
      <w:r>
        <w:t xml:space="preserve"> </w:t>
      </w:r>
      <w:r>
        <w:t xml:space="preserve">Impact Level 5 (IL5) and connects to the Navy’s Flank Speed shares, so it delivers an</w:t>
      </w:r>
      <w:r>
        <w:t xml:space="preserve"> </w:t>
      </w:r>
      <w:r>
        <w:t xml:space="preserve">accredited, integrated capability today; GenAI.mil is not yet mature enough to merit</w:t>
      </w:r>
      <w:r>
        <w:t xml:space="preserve"> </w:t>
      </w:r>
      <w:r>
        <w:t xml:space="preserve">convergence. Convergence to GenAI.mil remains a future option, and any process built in</w:t>
      </w:r>
      <w:r>
        <w:t xml:space="preserve"> </w:t>
      </w:r>
      <w:r>
        <w:t xml:space="preserve">askSage is intended to be transferable to GenAI.mil when that is warranted. The command</w:t>
      </w:r>
      <w:r>
        <w:t xml:space="preserve"> </w:t>
      </w:r>
      <w:r>
        <w:t xml:space="preserve">operates</w:t>
      </w:r>
      <w:r>
        <w:t xml:space="preserve"> </w:t>
      </w:r>
      <w:r>
        <w:rPr>
          <w:b/>
          <w:bCs/>
        </w:rPr>
        <w:t xml:space="preserve">under askSage’s IL5 ATO</w:t>
      </w:r>
      <w:r>
        <w:t xml:space="preserve"> </w:t>
      </w:r>
      <w:r>
        <w:t xml:space="preserve">and owns the governance layer — use-case approval,</w:t>
      </w:r>
      <w:r>
        <w:t xml:space="preserve"> </w:t>
      </w:r>
      <w:r>
        <w:t xml:space="preserve">data controls, monitoring configuration, and the controls in this instruction — within</w:t>
      </w:r>
      <w:r>
        <w:t xml:space="preserve"> </w:t>
      </w:r>
      <w:r>
        <w:t xml:space="preserve">the platform’s accredited capabilities.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record the specific askSage ATO reference and the Flank Speed connection authority.</w:t>
      </w:r>
    </w:p>
    <w:bookmarkEnd w:id="15"/>
    <w:bookmarkStart w:id="16" w:name="policy"/>
    <w:p>
      <w:pPr>
        <w:pStyle w:val="Heading2"/>
      </w:pPr>
      <w:r>
        <w:t xml:space="preserve">3. Policy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AI is a clerical and analytic aid, not a technical authority.</w:t>
      </w:r>
      <w:r>
        <w:t xml:space="preserve"> </w:t>
      </w:r>
      <w:r>
        <w:t xml:space="preserve">No AI output is</w:t>
      </w:r>
      <w:r>
        <w:t xml:space="preserve"> </w:t>
      </w:r>
      <w:r>
        <w:t xml:space="preserve">authoritative. Any AI product bearing on a technical requirement, a quality outcome, a</w:t>
      </w:r>
      <w:r>
        <w:t xml:space="preserve"> </w:t>
      </w:r>
      <w:r>
        <w:t xml:space="preserve">contractual obligation, seaworthiness, or safety of life is a non-authoritative draft</w:t>
      </w:r>
      <w:r>
        <w:t xml:space="preserve"> </w:t>
      </w:r>
      <w:r>
        <w:t xml:space="preserve">until a qualified human in the cognizant authority chain adjudicates it (Section 6).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Accountability stays with people.</w:t>
      </w:r>
      <w:r>
        <w:t xml:space="preserve"> </w:t>
      </w:r>
      <w:r>
        <w:t xml:space="preserve">The human who initiates an AI task owns the</w:t>
      </w:r>
      <w:r>
        <w:t xml:space="preserve"> </w:t>
      </w:r>
      <w:r>
        <w:t xml:space="preserve">accuracy, safety, legality, and compliance of the result.</w:t>
      </w:r>
      <w:r>
        <w:t xml:space="preserve"> </w:t>
      </w:r>
      <w:r>
        <w:t xml:space="preserve">“The AI produced it”</w:t>
      </w:r>
      <w:r>
        <w:t xml:space="preserve"> </w:t>
      </w:r>
      <w:r>
        <w:t xml:space="preserve">is never</w:t>
      </w:r>
      <w:r>
        <w:t xml:space="preserve"> </w:t>
      </w:r>
      <w:r>
        <w:t xml:space="preserve">a justification for an error, a deviation, or a disclosure.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Use is bounded</w:t>
      </w:r>
      <w:r>
        <w:t xml:space="preserve"> </w:t>
      </w:r>
      <w:r>
        <w:t xml:space="preserve">by data sensitivity (Section 4), the authoritative knowledge base</w:t>
      </w:r>
      <w:r>
        <w:t xml:space="preserve"> </w:t>
      </w:r>
      <w:r>
        <w:t xml:space="preserve">(Section 5), technical authority (Section 6), least privilege (Section 7), and U.S. and</w:t>
      </w:r>
      <w:r>
        <w:t xml:space="preserve"> </w:t>
      </w:r>
      <w:r>
        <w:t xml:space="preserve">host-nation law.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Governance uses existing command structures and roles</w:t>
      </w:r>
      <w:r>
        <w:t xml:space="preserve"> </w:t>
      </w:r>
      <w:r>
        <w:t xml:space="preserve">rather than new boards</w:t>
      </w:r>
      <w:r>
        <w:t xml:space="preserve"> </w:t>
      </w:r>
      <w:r>
        <w:t xml:space="preserve">(Section 8).</w:t>
      </w:r>
    </w:p>
    <w:bookmarkEnd w:id="16"/>
    <w:bookmarkStart w:id="17" w:name="authorized-and-prohibited-information"/>
    <w:p>
      <w:pPr>
        <w:pStyle w:val="Heading2"/>
      </w:pPr>
      <w:r>
        <w:t xml:space="preserve">4. Authorized and prohibited information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Authorized.</w:t>
      </w:r>
      <w:r>
        <w:t xml:space="preserve"> </w:t>
      </w:r>
      <w:r>
        <w:t xml:space="preserve">askSage is authorized for Controlled Unclassified Information (CUI)</w:t>
      </w:r>
      <w:r>
        <w:t xml:space="preserve"> </w:t>
      </w:r>
      <w:r>
        <w:t xml:space="preserve">up to DoD Impact Level 5 (IL5), including routine CUI and Controlled Technical</w:t>
      </w:r>
      <w:r>
        <w:t xml:space="preserve"> </w:t>
      </w:r>
      <w:r>
        <w:t xml:space="preserve">Information (CTI, marked CUI//SP-CTI). This covers most of the command’s maintenance,</w:t>
      </w:r>
      <w:r>
        <w:t xml:space="preserve"> </w:t>
      </w:r>
      <w:r>
        <w:t xml:space="preserve">engineering, and administrative work.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Prohibited — shall not be entered into askSage under any circumstances:</w:t>
      </w:r>
    </w:p>
    <w:p>
      <w:pPr>
        <w:pStyle w:val="Compact"/>
        <w:numPr>
          <w:ilvl w:val="1"/>
          <w:numId w:val="1005"/>
        </w:numPr>
      </w:pPr>
      <w:r>
        <w:t xml:space="preserve">Classified National Security Information (CONFIDENTIAL, SECRET, TOP SECRET).</w:t>
      </w:r>
    </w:p>
    <w:p>
      <w:pPr>
        <w:pStyle w:val="Compact"/>
        <w:numPr>
          <w:ilvl w:val="1"/>
          <w:numId w:val="1005"/>
        </w:numPr>
      </w:pPr>
      <w:r>
        <w:t xml:space="preserve">Naval Nuclear Propulsion Information (NNPI).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Personally Identifiable Information (PII).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Protected Health Information (PHI).</w:t>
      </w:r>
    </w:p>
    <w:p>
      <w:pPr>
        <w:numPr>
          <w:ilvl w:val="0"/>
          <w:numId w:val="1000"/>
        </w:numPr>
      </w:pPr>
      <w:r>
        <w:t xml:space="preserve">PII and PHI are categories of CUI, but they carry independent legal regimes (the</w:t>
      </w:r>
      <w:r>
        <w:t xml:space="preserve"> </w:t>
      </w:r>
      <w:r>
        <w:t xml:space="preserve">Privacy Act for PII, HIPAA for PHI) and are the worst case for the aggregation risk</w:t>
      </w:r>
      <w:r>
        <w:t xml:space="preserve"> </w:t>
      </w:r>
      <w:r>
        <w:t xml:space="preserve">in paragraph (e). They are carved out of the otherwise-authorized CUI, matching the</w:t>
      </w:r>
      <w:r>
        <w:t xml:space="preserve"> </w:t>
      </w:r>
      <w:r>
        <w:t xml:space="preserve">DoD enterprise (GenAI.mil) line. Personnel, manpower, and medical-readiness workflows</w:t>
      </w:r>
      <w:r>
        <w:t xml:space="preserve"> </w:t>
      </w:r>
      <w:r>
        <w:t xml:space="preserve">are not askSage use cases.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Enforcement of the data boundary is architectural, not honor-based.</w:t>
      </w:r>
      <w:r>
        <w:t xml:space="preserve"> </w:t>
      </w:r>
      <w:r>
        <w:t xml:space="preserve">A stated</w:t>
      </w:r>
      <w:r>
        <w:t xml:space="preserve"> </w:t>
      </w:r>
      <w:r>
        <w:t xml:space="preserve">“do not enter”</w:t>
      </w:r>
      <w:r>
        <w:t xml:space="preserve"> </w:t>
      </w:r>
      <w:r>
        <w:t xml:space="preserve">rule is necessary but not sufficient. The CIO is responsible for</w:t>
      </w:r>
      <w:r>
        <w:t xml:space="preserve"> </w:t>
      </w:r>
      <w:r>
        <w:t xml:space="preserve">configuring, within askSage’s capabilities, Data Loss Prevention (DLP) or</w:t>
      </w:r>
      <w:r>
        <w:t xml:space="preserve"> </w:t>
      </w:r>
      <w:r>
        <w:t xml:space="preserve">sensitive-pattern interception at the prompt-ingress layer to intercept PII, PHI, and</w:t>
      </w:r>
      <w:r>
        <w:t xml:space="preserve"> </w:t>
      </w:r>
      <w:r>
        <w:t xml:space="preserve">prohibited-data patterns before they reach the model. Detection of what gets through is</w:t>
      </w:r>
      <w:r>
        <w:t xml:space="preserve"> </w:t>
      </w:r>
      <w:r>
        <w:t xml:space="preserve">covered by Continuous Monitoring (Section 9).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Commercial / non-DoD AI tools</w:t>
      </w:r>
      <w:r>
        <w:t xml:space="preserve"> </w:t>
      </w:r>
      <w:r>
        <w:t xml:space="preserve">remain unauthorized for any non-public command</w:t>
      </w:r>
      <w:r>
        <w:t xml:space="preserve"> </w:t>
      </w:r>
      <w:r>
        <w:t xml:space="preserve">information, consistent with reference (e).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Aggregation / classification by compilation.</w:t>
      </w:r>
      <w:r>
        <w:t xml:space="preserve"> </w:t>
      </w:r>
      <w:r>
        <w:t xml:space="preserve">Aggregating many individually-</w:t>
      </w:r>
      <w:r>
        <w:t xml:space="preserve"> </w:t>
      </w:r>
      <w:r>
        <w:t xml:space="preserve">releasable CUI items (maintenance schedules, casualty reports (CASREPs), material</w:t>
      </w:r>
      <w:r>
        <w:t xml:space="preserve"> </w:t>
      </w:r>
      <w:r>
        <w:t xml:space="preserve">deficiencies, manpower data) can produce a fleet-readiness picture that is classified by</w:t>
      </w:r>
      <w:r>
        <w:t xml:space="preserve"> </w:t>
      </w:r>
      <w:r>
        <w:t xml:space="preserve">compilation.</w:t>
      </w:r>
      <w:r>
        <w:t xml:space="preserve"> </w:t>
      </w:r>
      <w:r>
        <w:rPr>
          <w:b/>
          <w:bCs/>
        </w:rPr>
        <w:t xml:space="preserve">This risk is not new and is not created by askSage.</w:t>
      </w:r>
      <w:r>
        <w:t xml:space="preserve"> </w:t>
      </w:r>
      <w:r>
        <w:t xml:space="preserve">Any person with the</w:t>
      </w:r>
      <w:r>
        <w:t xml:space="preserve"> </w:t>
      </w:r>
      <w:r>
        <w:t xml:space="preserve">same share access can compile the same picture by hand, and it is already governed by the</w:t>
      </w:r>
      <w:r>
        <w:t xml:space="preserve"> </w:t>
      </w:r>
      <w:r>
        <w:t xml:space="preserve">applicable Security Classification Guide (SCG) and the command’s classification and</w:t>
      </w:r>
      <w:r>
        <w:t xml:space="preserve"> </w:t>
      </w:r>
      <w:r>
        <w:t xml:space="preserve">spillage procedures, which apply to AI-assisted work exactly as to manual analysis. What</w:t>
      </w:r>
      <w:r>
        <w:t xml:space="preserve"> </w:t>
      </w:r>
      <w:r>
        <w:t xml:space="preserve">askSage changes is</w:t>
      </w:r>
      <w:r>
        <w:t xml:space="preserve"> </w:t>
      </w:r>
      <w:r>
        <w:rPr>
          <w:b/>
          <w:bCs/>
        </w:rPr>
        <w:t xml:space="preserve">likelihood, not the rule</w:t>
      </w:r>
      <w:r>
        <w:t xml:space="preserve">: it can compile across many sources in one</w:t>
      </w:r>
      <w:r>
        <w:t xml:space="preserve"> </w:t>
      </w:r>
      <w:r>
        <w:t xml:space="preserve">step, so a user may produce a compiled-classified result quickly and without realizing it.</w:t>
      </w:r>
      <w:r>
        <w:t xml:space="preserve"> </w:t>
      </w:r>
      <w:r>
        <w:t xml:space="preserve">The controls are therefore: (1)</w:t>
      </w:r>
      <w:r>
        <w:t xml:space="preserve"> </w:t>
      </w:r>
      <w:r>
        <w:rPr>
          <w:b/>
          <w:bCs/>
        </w:rPr>
        <w:t xml:space="preserve">user recognition</w:t>
      </w:r>
      <w:r>
        <w:t xml:space="preserve"> </w:t>
      </w:r>
      <w:r>
        <w:t xml:space="preserve">— personnel apply the same compilation</w:t>
      </w:r>
      <w:r>
        <w:t xml:space="preserve"> </w:t>
      </w:r>
      <w:r>
        <w:t xml:space="preserve">judgment to AI output that they apply to their own analysis, per the SCG; (2)</w:t>
      </w:r>
      <w:r>
        <w:t xml:space="preserve"> </w:t>
      </w:r>
      <w:r>
        <w:rPr>
          <w:b/>
          <w:bCs/>
        </w:rPr>
        <w:t xml:space="preserve">training</w:t>
      </w:r>
      <w:r>
        <w:t xml:space="preserve"> </w:t>
      </w:r>
      <w:r>
        <w:t xml:space="preserve">(Section 13) covers classification by compilation in an AI context; and (3) a</w:t>
      </w:r>
      <w:r>
        <w:t xml:space="preserve"> </w:t>
      </w:r>
      <w:r>
        <w:t xml:space="preserve">compiled-classified output is handled under the existing</w:t>
      </w:r>
      <w:r>
        <w:t xml:space="preserve"> </w:t>
      </w:r>
      <w:r>
        <w:rPr>
          <w:b/>
          <w:bCs/>
        </w:rPr>
        <w:t xml:space="preserve">spillage procedure</w:t>
      </w:r>
      <w:r>
        <w:t xml:space="preserve"> </w:t>
      </w:r>
      <w:r>
        <w:t xml:space="preserve">(Section 11.a).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cognizant Security Classification Guide(s).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Marking.</w:t>
      </w:r>
      <w:r>
        <w:t xml:space="preserve"> </w:t>
      </w:r>
      <w:r>
        <w:t xml:space="preserve">AI does not reliably apply CUI markings. Personnel portion-mark any</w:t>
      </w:r>
      <w:r>
        <w:t xml:space="preserve"> </w:t>
      </w:r>
      <w:r>
        <w:t xml:space="preserve">AI-generated product containing CUI per reference (a) before storing or transmitting it.</w:t>
      </w:r>
    </w:p>
    <w:bookmarkEnd w:id="17"/>
    <w:bookmarkStart w:id="18" w:name="authoritative-knowledge-base"/>
    <w:p>
      <w:pPr>
        <w:pStyle w:val="Heading2"/>
      </w:pPr>
      <w:r>
        <w:t xml:space="preserve">5. Authoritative knowledge base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Centralized, version-controlled sources.</w:t>
      </w:r>
      <w:r>
        <w:t xml:space="preserve"> </w:t>
      </w:r>
      <w:r>
        <w:t xml:space="preserve">Authoritative references the command</w:t>
      </w:r>
      <w:r>
        <w:t xml:space="preserve"> </w:t>
      </w:r>
      <w:r>
        <w:t xml:space="preserve">preloads for askSage (the JFMM, NAVSEA Standard Items, technical manuals) are centrally</w:t>
      </w:r>
      <w:r>
        <w:t xml:space="preserve"> </w:t>
      </w:r>
      <w:r>
        <w:t xml:space="preserve">indexed by the CIO/ISSM, not uploaded ad hoc by individual users. This protects accuracy</w:t>
      </w:r>
      <w:r>
        <w:t xml:space="preserve"> </w:t>
      </w:r>
      <w:r>
        <w:t xml:space="preserve">and conserves compute (Annex A).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Recertification.</w:t>
      </w:r>
      <w:r>
        <w:t xml:space="preserve"> </w:t>
      </w:r>
      <w:r>
        <w:t xml:space="preserve">A stale authoritative source is a safety hazard, not merely an</w:t>
      </w:r>
      <w:r>
        <w:t xml:space="preserve"> </w:t>
      </w:r>
      <w:r>
        <w:t xml:space="preserve">error. Indexed references are recertified on a defined cycle and upon change transmittal,</w:t>
      </w:r>
      <w:r>
        <w:t xml:space="preserve"> </w:t>
      </w:r>
      <w:r>
        <w:t xml:space="preserve">with a named owner, so the AI never reasons from a superseded version.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assign the recertification owner and cadence.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Releasability rests on the command’s existing screening, not a new AI mechanism.</w:t>
      </w:r>
      <w:r>
        <w:t xml:space="preserve"> </w:t>
      </w:r>
      <w:r>
        <w:t xml:space="preserve">SRF-JRMC already bars NOFORN material from its network share and screens all technical</w:t>
      </w:r>
      <w:r>
        <w:t xml:space="preserve"> </w:t>
      </w:r>
      <w:r>
        <w:t xml:space="preserve">direction (drawings, policy, manuals) through a derivative classifier, who redacts or</w:t>
      </w:r>
      <w:r>
        <w:t xml:space="preserve"> </w:t>
      </w:r>
      <w:r>
        <w:t xml:space="preserve">denies any unreleasable information before it reaches the share. The askSage knowledge</w:t>
      </w:r>
      <w:r>
        <w:t xml:space="preserve"> </w:t>
      </w:r>
      <w:r>
        <w:t xml:space="preserve">base</w:t>
      </w:r>
      <w:r>
        <w:t xml:space="preserve"> </w:t>
      </w:r>
      <w:r>
        <w:rPr>
          <w:b/>
          <w:bCs/>
        </w:rPr>
        <w:t xml:space="preserve">inherits</w:t>
      </w:r>
      <w:r>
        <w:t xml:space="preserve"> </w:t>
      </w:r>
      <w:r>
        <w:t xml:space="preserve">that control: it shall index only from the command’s already-screened</w:t>
      </w:r>
      <w:r>
        <w:t xml:space="preserve"> </w:t>
      </w:r>
      <w:r>
        <w:t xml:space="preserve">authoritative corpus. The AI is neither a new releasability authority nor a substitute</w:t>
      </w:r>
      <w:r>
        <w:t xml:space="preserve"> </w:t>
      </w:r>
      <w:r>
        <w:t xml:space="preserve">for the derivative classifier. The one new risk is that the AI could become a</w:t>
      </w:r>
      <w:r>
        <w:t xml:space="preserve"> </w:t>
      </w:r>
      <w:r>
        <w:rPr>
          <w:i/>
          <w:iCs/>
        </w:rPr>
        <w:t xml:space="preserve">bypass</w:t>
      </w:r>
      <w:r>
        <w:t xml:space="preserve"> </w:t>
      </w:r>
      <w:r>
        <w:t xml:space="preserve">of</w:t>
      </w:r>
      <w:r>
        <w:t xml:space="preserve"> </w:t>
      </w:r>
      <w:r>
        <w:t xml:space="preserve">that screening, so</w:t>
      </w:r>
      <w:r>
        <w:t xml:space="preserve"> </w:t>
      </w:r>
      <w:r>
        <w:rPr>
          <w:b/>
          <w:bCs/>
        </w:rPr>
        <w:t xml:space="preserve">ad hoc ingestion of un-screened source documents into askSage is</w:t>
      </w:r>
      <w:r>
        <w:rPr>
          <w:b/>
          <w:bCs/>
        </w:rPr>
        <w:t xml:space="preserve"> </w:t>
      </w:r>
      <w:r>
        <w:rPr>
          <w:b/>
          <w:bCs/>
        </w:rPr>
        <w:t xml:space="preserve">prohibited</w:t>
      </w:r>
      <w:r>
        <w:t xml:space="preserve"> </w:t>
      </w:r>
      <w:r>
        <w:t xml:space="preserve">— source material enters the knowledge base only after the existing</w:t>
      </w:r>
      <w:r>
        <w:t xml:space="preserve"> </w:t>
      </w:r>
      <w:r>
        <w:t xml:space="preserve">screening, through the centralized index (5.a).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confirm the screening process and name the screened authoritative-corpus source.</w:t>
      </w:r>
    </w:p>
    <w:bookmarkEnd w:id="18"/>
    <w:bookmarkStart w:id="19" w:name="X0022217766359b71491f82438f8ce3c076b2bd7"/>
    <w:p>
      <w:pPr>
        <w:pStyle w:val="Heading2"/>
      </w:pPr>
      <w:r>
        <w:t xml:space="preserve">6. Technical authority and the human-in-the-loop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Technical adjudication belongs to the Chief Engineer (CHENG) and the CHENG’s chain.</w:t>
      </w:r>
      <w:r>
        <w:t xml:space="preserve"> </w:t>
      </w:r>
      <w:r>
        <w:t xml:space="preserve">Any AI output bearing on a technical requirement — a weld specification, a torque value,</w:t>
      </w:r>
      <w:r>
        <w:t xml:space="preserve"> </w:t>
      </w:r>
      <w:r>
        <w:t xml:space="preserve">a tag-out, a NAVSEA Standard Item interpretation, a repair procedure — is a</w:t>
      </w:r>
      <w:r>
        <w:t xml:space="preserve"> </w:t>
      </w:r>
      <w:r>
        <w:t xml:space="preserve">non-authoritative clerical draft. The technical human-in-the-loop adjudication is</w:t>
      </w:r>
      <w:r>
        <w:t xml:space="preserve"> </w:t>
      </w:r>
      <w:r>
        <w:t xml:space="preserve">performed by a qualified person in the CHENG’s chain, not by the general end user and not</w:t>
      </w:r>
      <w:r>
        <w:t xml:space="preserve"> </w:t>
      </w:r>
      <w:r>
        <w:t xml:space="preserve">by the Command Information Officer (CIO).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confirm the engineering and quality-assurance codes and the Technical Warrant Holder assignments.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Departures from specification.</w:t>
      </w:r>
      <w:r>
        <w:t xml:space="preserve"> </w:t>
      </w:r>
      <w:r>
        <w:t xml:space="preserve">Any AI suggestion that would depart from a</w:t>
      </w:r>
      <w:r>
        <w:t xml:space="preserve"> </w:t>
      </w:r>
      <w:r>
        <w:t xml:space="preserve">controlling specification (JFMM, NAVSEA Standard Item, technical manual) is processed</w:t>
      </w:r>
      <w:r>
        <w:t xml:space="preserve"> </w:t>
      </w:r>
      <w:r>
        <w:t xml:space="preserve">through the command’s existing Departure-from-Specification (DFS) process. AI does not</w:t>
      </w:r>
      <w:r>
        <w:t xml:space="preserve"> </w:t>
      </w:r>
      <w:r>
        <w:t xml:space="preserve">create a path around the technical authority chain.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Out-of-band verification.</w:t>
      </w:r>
      <w:r>
        <w:t xml:space="preserve"> </w:t>
      </w:r>
      <w:r>
        <w:t xml:space="preserve">AI output that cites a technical requirement is verified</w:t>
      </w:r>
      <w:r>
        <w:t xml:space="preserve"> </w:t>
      </w:r>
      <w:r>
        <w:t xml:space="preserve">against the controlling document through a non-AI authoritative source (the official</w:t>
      </w:r>
      <w:r>
        <w:t xml:space="preserve"> </w:t>
      </w:r>
      <w:r>
        <w:t xml:space="preserve">technical library / source of record), confirming the specific paragraph wording and</w:t>
      </w:r>
      <w:r>
        <w:t xml:space="preserve"> </w:t>
      </w:r>
      <w:r>
        <w:t xml:space="preserve">current change number.</w:t>
      </w:r>
      <w:r>
        <w:t xml:space="preserve"> </w:t>
      </w:r>
      <w:r>
        <w:rPr>
          <w:b/>
          <w:bCs/>
        </w:rPr>
        <w:t xml:space="preserve">The AI’s own retrieved snippet is not a sufficient verification</w:t>
      </w:r>
      <w:r>
        <w:rPr>
          <w:b/>
          <w:bCs/>
        </w:rP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— relying on it re-introduces the hallucination it is meant to catch.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authoritative source-of-record system (the non-AI technical library used for verification).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Structured approval (fight confirmation fatigue).</w:t>
      </w:r>
      <w:r>
        <w:t xml:space="preserve"> </w:t>
      </w:r>
      <w:r>
        <w:t xml:space="preserve">Where a human approval is required</w:t>
      </w:r>
      <w:r>
        <w:t xml:space="preserve"> </w:t>
      </w:r>
      <w:r>
        <w:t xml:space="preserve">(this section and Section 7), the approval presents what is being approved — intent, the</w:t>
      </w:r>
      <w:r>
        <w:t xml:space="preserve"> </w:t>
      </w:r>
      <w:r>
        <w:t xml:space="preserve">source(s) relied on, the scope of the action, and how it is reversed — not a bare</w:t>
      </w:r>
      <w:r>
        <w:t xml:space="preserve"> </w:t>
      </w:r>
      <w:r>
        <w:t xml:space="preserve">“Approve.”</w:t>
      </w:r>
      <w:r>
        <w:t xml:space="preserve"> </w:t>
      </w:r>
      <w:r>
        <w:t xml:space="preserve">The risk under click-to-approve is a tired human rubber-stamping agent steps;</w:t>
      </w:r>
      <w:r>
        <w:t xml:space="preserve"> </w:t>
      </w:r>
      <w:r>
        <w:t xml:space="preserve">the structured prompt, plus the requirement that the</w:t>
      </w:r>
      <w:r>
        <w:t xml:space="preserve"> </w:t>
      </w:r>
      <w:r>
        <w:rPr>
          <w:b/>
          <w:bCs/>
        </w:rPr>
        <w:t xml:space="preserve">right qualified person</w:t>
      </w:r>
      <w:r>
        <w:t xml:space="preserve"> </w:t>
      </w:r>
      <w:r>
        <w:t xml:space="preserve">approve,</w:t>
      </w:r>
      <w:r>
        <w:t xml:space="preserve"> </w:t>
      </w:r>
      <w:r>
        <w:t xml:space="preserve">are the mitigations.</w:t>
      </w:r>
    </w:p>
    <w:bookmarkEnd w:id="19"/>
    <w:bookmarkStart w:id="20" w:name="agentic-autonomy-controls"/>
    <w:p>
      <w:pPr>
        <w:pStyle w:val="Heading2"/>
      </w:pPr>
      <w:r>
        <w:t xml:space="preserve">7. Agentic autonomy controls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Read-only by default.</w:t>
      </w:r>
      <w:r>
        <w:t xml:space="preserve"> </w:t>
      </w:r>
      <w:r>
        <w:t xml:space="preserve">Agents operate read-only unless a write capability is</w:t>
      </w:r>
      <w:r>
        <w:t xml:space="preserve"> </w:t>
      </w:r>
      <w:r>
        <w:t xml:space="preserve">specifically approved for a use case.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Write-action gating.</w:t>
      </w:r>
      <w:r>
        <w:t xml:space="preserve"> </w:t>
      </w:r>
      <w:r>
        <w:t xml:space="preserve">Any agent action that changes a record, sends official</w:t>
      </w:r>
      <w:r>
        <w:t xml:space="preserve"> </w:t>
      </w:r>
      <w:r>
        <w:t xml:space="preserve">correspondence, modifies a schedule, or otherwise changes the state of a command system</w:t>
      </w:r>
      <w:r>
        <w:t xml:space="preserve"> </w:t>
      </w:r>
      <w:r>
        <w:t xml:space="preserve">requires a structured human approval (Section 6.d) before execution. The AI does not</w:t>
      </w:r>
      <w:r>
        <w:t xml:space="preserve"> </w:t>
      </w:r>
      <w:r>
        <w:t xml:space="preserve">take a final, state-changing action autonomously.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Least privilege and permission inheritance.</w:t>
      </w:r>
      <w:r>
        <w:t xml:space="preserve"> </w:t>
      </w:r>
      <w:r>
        <w:t xml:space="preserve">An agent receives only the data and</w:t>
      </w:r>
      <w:r>
        <w:t xml:space="preserve"> </w:t>
      </w:r>
      <w:r>
        <w:t xml:space="preserve">tools its approved use case requires, and an agent acting on a user’s behalf inherits that</w:t>
      </w:r>
      <w:r>
        <w:t xml:space="preserve"> </w:t>
      </w:r>
      <w:r>
        <w:t xml:space="preserve">user’s access and no more. For the Local National workforce this rests on an existing</w:t>
      </w:r>
      <w:r>
        <w:t xml:space="preserve"> </w:t>
      </w:r>
      <w:r>
        <w:t xml:space="preserve">control: the command’s network share is already releasability-screened and NOFORN is</w:t>
      </w:r>
      <w:r>
        <w:t xml:space="preserve"> </w:t>
      </w:r>
      <w:r>
        <w:t xml:space="preserve">excluded from it (Section 5.c), so an agent drawing on the screened corpus for a Local</w:t>
      </w:r>
      <w:r>
        <w:t xml:space="preserve"> </w:t>
      </w:r>
      <w:r>
        <w:t xml:space="preserve">National user is bounded by that user’s already-screened access. The residual control is</w:t>
      </w:r>
      <w:r>
        <w:t xml:space="preserve"> </w:t>
      </w:r>
      <w:r>
        <w:t xml:space="preserve">simply to keep askSage inside that screened corpus and prevent un-screened side-channel</w:t>
      </w:r>
      <w:r>
        <w:t xml:space="preserve"> </w:t>
      </w:r>
      <w:r>
        <w:t xml:space="preserve">uploads (Section 5.c), not to re-adjudicate releasability at the AI layer.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Autonomy tiered to existing risk categories.</w:t>
      </w:r>
      <w:r>
        <w:t xml:space="preserve"> </w:t>
      </w:r>
      <w:r>
        <w:t xml:space="preserve">Human-oversight intensity scales with</w:t>
      </w:r>
      <w:r>
        <w:t xml:space="preserve"> </w:t>
      </w:r>
      <w:r>
        <w:t xml:space="preserve">the risk of the use case, mapped to the command’s existing controlled-work risk categories</w:t>
      </w:r>
      <w:r>
        <w:t xml:space="preserve"> </w:t>
      </w:r>
      <w:r>
        <w:t xml:space="preserve">(for example Level I / critical versus non-critical) rather than a new scheme. Higher-risk</w:t>
      </w:r>
      <w:r>
        <w:t xml:space="preserve"> </w:t>
      </w:r>
      <w:r>
        <w:t xml:space="preserve">use cases require closer human control and CHENG-chain concurrence (Section 8).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Separation and containment.</w:t>
      </w:r>
      <w:r>
        <w:t xml:space="preserve"> </w:t>
      </w:r>
      <w:r>
        <w:t xml:space="preserve">Where an agent generates and then executes work,</w:t>
      </w:r>
      <w:r>
        <w:t xml:space="preserve"> </w:t>
      </w:r>
      <w:r>
        <w:t xml:space="preserve">generation and execution are separated by an approval gate. A means to halt an agent and</w:t>
      </w:r>
      <w:r>
        <w:t xml:space="preserve"> </w:t>
      </w:r>
      <w:r>
        <w:t xml:space="preserve">revoke its access exists and is exercisable by a designated authority.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name the halt/revoke authority (for example the ISSM or the command duty IT watch).</w:t>
      </w:r>
    </w:p>
    <w:bookmarkEnd w:id="20"/>
    <w:bookmarkStart w:id="21" w:name="roles-responsibilities-and-governance"/>
    <w:p>
      <w:pPr>
        <w:pStyle w:val="Heading2"/>
      </w:pPr>
      <w:r>
        <w:t xml:space="preserve">8. Roles, responsibilities, and governance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Accountability.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Commanding Officer</w:t>
      </w:r>
      <w:r>
        <w:t xml:space="preserve"> </w:t>
      </w:r>
      <w:r>
        <w:t xml:space="preserve">retains overall accountability for</w:t>
      </w:r>
      <w:r>
        <w:t xml:space="preserve"> </w:t>
      </w:r>
      <w:r>
        <w:t xml:space="preserve">AI-augmented command outcomes, as for all command activity. Responsibilities are</w:t>
      </w:r>
      <w:r>
        <w:t xml:space="preserve"> </w:t>
      </w:r>
      <w:r>
        <w:t xml:space="preserve">distributed across the existing roles below; this is a deliberate combination of</w:t>
      </w:r>
      <w:r>
        <w:t xml:space="preserve"> </w:t>
      </w:r>
      <w:r>
        <w:t xml:space="preserve">authorities, not a single new owner and not a new board.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delegate accountability as appropriate (for example to the Executive Director).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Command Information Officer (CIO) and Information System Security Manager (ISSM).</w:t>
      </w:r>
      <w:r>
        <w:t xml:space="preserve"> </w:t>
      </w:r>
      <w:r>
        <w:t xml:space="preserve">Own the information-technology and information-security side: platform administration,</w:t>
      </w:r>
      <w:r>
        <w:t xml:space="preserve"> </w:t>
      </w:r>
      <w:r>
        <w:t xml:space="preserve">access and identity management, the model/instance and use-case inventory, the central</w:t>
      </w:r>
      <w:r>
        <w:t xml:space="preserve"> </w:t>
      </w:r>
      <w:r>
        <w:t xml:space="preserve">knowledge-base index (Section 5), the Continuous Monitoring program (Section 9), the</w:t>
      </w:r>
      <w:r>
        <w:t xml:space="preserve"> </w:t>
      </w:r>
      <w:r>
        <w:t xml:space="preserve">ingress data-loss controls (Section 4.c), and first response to AI security incidents</w:t>
      </w:r>
      <w:r>
        <w:t xml:space="preserve"> </w:t>
      </w:r>
      <w:r>
        <w:t xml:space="preserve">(Section 11). The CIO validates platform and security suitability of proposed use cases.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Chief Engineer (CHENG) and chain.</w:t>
      </w:r>
      <w:r>
        <w:t xml:space="preserve"> </w:t>
      </w:r>
      <w:r>
        <w:t xml:space="preserve">Own technical and functional adjudication. The</w:t>
      </w:r>
      <w:r>
        <w:t xml:space="preserve"> </w:t>
      </w:r>
      <w:r>
        <w:t xml:space="preserve">CHENG</w:t>
      </w:r>
      <w:r>
        <w:t xml:space="preserve"> </w:t>
      </w:r>
      <w:r>
        <w:rPr>
          <w:b/>
          <w:bCs/>
        </w:rPr>
        <w:t xml:space="preserve">concurs</w:t>
      </w:r>
      <w:r>
        <w:t xml:space="preserve"> </w:t>
      </w:r>
      <w:r>
        <w:t xml:space="preserve">on any use case that touches technical specifications, tag-outs, work</w:t>
      </w:r>
      <w:r>
        <w:t xml:space="preserve"> </w:t>
      </w:r>
      <w:r>
        <w:t xml:space="preserve">authorization, quality outcomes, or shipboard systems, and owns the technical</w:t>
      </w:r>
      <w:r>
        <w:t xml:space="preserve"> </w:t>
      </w:r>
      <w:r>
        <w:t xml:space="preserve">human-in-the-loop call (Section 6). A use case is not approved over a CHENG non-concurrence</w:t>
      </w:r>
      <w:r>
        <w:t xml:space="preserve"> </w:t>
      </w:r>
      <w:r>
        <w:t xml:space="preserve">on technical grounds.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Staff Judge Advocate / Office of Counsel (Legal).</w:t>
      </w:r>
      <w:r>
        <w:t xml:space="preserve"> </w:t>
      </w:r>
      <w:r>
        <w:t xml:space="preserve">Concurs on records retention,</w:t>
      </w:r>
      <w:r>
        <w:t xml:space="preserve"> </w:t>
      </w:r>
      <w:r>
        <w:t xml:space="preserve">legal hold, spillage records-disposition (Section 11), and host-nation labor and</w:t>
      </w:r>
      <w:r>
        <w:t xml:space="preserve"> </w:t>
      </w:r>
      <w:r>
        <w:t xml:space="preserve">export-control questions before the related provisions take effect.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Department Heads.</w:t>
      </w:r>
      <w:r>
        <w:t xml:space="preserve"> </w:t>
      </w:r>
      <w:r>
        <w:rPr>
          <w:b/>
          <w:bCs/>
        </w:rPr>
        <w:t xml:space="preserve">Propose</w:t>
      </w:r>
      <w:r>
        <w:t xml:space="preserve"> </w:t>
      </w:r>
      <w:r>
        <w:t xml:space="preserve">use cases for their departments (CHENG concurs on</w:t>
      </w:r>
      <w:r>
        <w:t xml:space="preserve"> </w:t>
      </w:r>
      <w:r>
        <w:t xml:space="preserve">technical scope per 8.c; CIO validates platform/security), enforce the human-in-the-loop</w:t>
      </w:r>
      <w:r>
        <w:t xml:space="preserve"> </w:t>
      </w:r>
      <w:r>
        <w:t xml:space="preserve">and least-privilege requirements, and submit their use cases to the inventory.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End Users.</w:t>
      </w:r>
      <w:r>
        <w:t xml:space="preserve"> </w:t>
      </w:r>
      <w:r>
        <w:t xml:space="preserve">Verify every AI output against authoritative sources (Section 6.c),</w:t>
      </w:r>
      <w:r>
        <w:t xml:space="preserve"> </w:t>
      </w:r>
      <w:r>
        <w:t xml:space="preserve">apply CUI markings, use only authorized data, and report anomalies and incidents.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AI use-case inventory and governance forum.</w:t>
      </w:r>
      <w:r>
        <w:t xml:space="preserve"> </w:t>
      </w:r>
      <w:r>
        <w:t xml:space="preserve">The command maintains an AI use-case</w:t>
      </w:r>
      <w:r>
        <w:t xml:space="preserve"> </w:t>
      </w:r>
      <w:r>
        <w:t xml:space="preserve">inventory, each use case classified by risk (7.d). The</w:t>
      </w:r>
      <w:r>
        <w:t xml:space="preserve"> </w:t>
      </w:r>
      <w:r>
        <w:rPr>
          <w:b/>
          <w:bCs/>
        </w:rPr>
        <w:t xml:space="preserve">Department Heads review the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 for continuance of approval quarterly</w:t>
      </w:r>
      <w:r>
        <w:t xml:space="preserve">, as the command’s AI governance forum;</w:t>
      </w:r>
      <w:r>
        <w:t xml:space="preserve"> </w:t>
      </w:r>
      <w:r>
        <w:t xml:space="preserve">no new committee is created.</w:t>
      </w:r>
    </w:p>
    <w:bookmarkEnd w:id="21"/>
    <w:bookmarkStart w:id="22" w:name="monitoring-and-oversight"/>
    <w:p>
      <w:pPr>
        <w:pStyle w:val="Heading2"/>
      </w:pPr>
      <w:r>
        <w:t xml:space="preserve">9. Monitoring and oversight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Continuous Monitoring (ConMon).</w:t>
      </w:r>
      <w:r>
        <w:t xml:space="preserve"> </w:t>
      </w:r>
      <w:r>
        <w:t xml:space="preserve">The ISSM extends the command’s continuous-monitoring</w:t>
      </w:r>
      <w:r>
        <w:t xml:space="preserve"> </w:t>
      </w:r>
      <w:r>
        <w:t xml:space="preserve">program to AI-specific signals: CUI/PII/PHI leakage, prompt injection, model drift,</w:t>
      </w:r>
      <w:r>
        <w:t xml:space="preserve"> </w:t>
      </w:r>
      <w:r>
        <w:t xml:space="preserve">anomalous or unexpected outputs, and shadow (unapproved) AI use. This is independent</w:t>
      </w:r>
      <w:r>
        <w:t xml:space="preserve"> </w:t>
      </w:r>
      <w:r>
        <w:t xml:space="preserve">oversight of AI</w:t>
      </w:r>
      <w:r>
        <w:t xml:space="preserve"> </w:t>
      </w:r>
      <w:r>
        <w:rPr>
          <w:b/>
          <w:bCs/>
        </w:rPr>
        <w:t xml:space="preserve">system use</w:t>
      </w:r>
      <w:r>
        <w:t xml:space="preserve">, distinct from verifying a work product, and it is the</w:t>
      </w:r>
      <w:r>
        <w:t xml:space="preserve"> </w:t>
      </w:r>
      <w:r>
        <w:t xml:space="preserve">detection layer behind the ingress controls in Section 4.c.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Work-product verification stays in Quality Assurance.</w:t>
      </w:r>
      <w:r>
        <w:t xml:space="preserve"> </w:t>
      </w:r>
      <w:r>
        <w:t xml:space="preserve">Verifying an AI-influenced</w:t>
      </w:r>
      <w:r>
        <w:t xml:space="preserve"> </w:t>
      </w:r>
      <w:r>
        <w:t xml:space="preserve">work product is performed through the command’s existing Quality Assurance checkpoint</w:t>
      </w:r>
      <w:r>
        <w:t xml:space="preserve"> </w:t>
      </w:r>
      <w:r>
        <w:t xml:space="preserve">system and the CHENG chain. The command does not stand up a separate AI audit shop.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Quality and drift.</w:t>
      </w:r>
      <w:r>
        <w:t xml:space="preserve"> </w:t>
      </w:r>
      <w:r>
        <w:t xml:space="preserve">Monitoring covers output quality and model drift, not only cost</w:t>
      </w:r>
      <w:r>
        <w:t xml:space="preserve"> </w:t>
      </w:r>
      <w:r>
        <w:t xml:space="preserve">(Annex A). Repeated or unexpected outputs, and the prompts that produced them, are reported</w:t>
      </w:r>
      <w:r>
        <w:t xml:space="preserve"> </w:t>
      </w:r>
      <w:r>
        <w:t xml:space="preserve">to the ISSM as possible model or security indicators.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Program metrics.</w:t>
      </w:r>
      <w:r>
        <w:t xml:space="preserve"> </w:t>
      </w:r>
      <w:r>
        <w:t xml:space="preserve">The command tracks whether the governance is working — user</w:t>
      </w:r>
      <w:r>
        <w:t xml:space="preserve"> </w:t>
      </w:r>
      <w:r>
        <w:t xml:space="preserve">awareness, compliance, and incident trend — not only platform usage.</w:t>
      </w:r>
    </w:p>
    <w:bookmarkEnd w:id="22"/>
    <w:bookmarkStart w:id="23" w:name="records-management-and-legal-hold"/>
    <w:p>
      <w:pPr>
        <w:pStyle w:val="Heading2"/>
      </w:pPr>
      <w:r>
        <w:t xml:space="preserve">10. Records management and legal hold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Agentic logs are Federal Records.</w:t>
      </w:r>
      <w:r>
        <w:t xml:space="preserve"> </w:t>
      </w:r>
      <w:r>
        <w:t xml:space="preserve">An agent’s prompts and chain-of-thought are</w:t>
      </w:r>
      <w:r>
        <w:t xml:space="preserve"> </w:t>
      </w:r>
      <w:r>
        <w:t xml:space="preserve">decision-support artifacts and potential evidence in a Judge Advocate General Manual</w:t>
      </w:r>
      <w:r>
        <w:t xml:space="preserve"> </w:t>
      </w:r>
      <w:r>
        <w:t xml:space="preserve">(JAGMAN) safety or mishap investigation, subject to Freedom of Information Act (FOIA) and</w:t>
      </w:r>
      <w:r>
        <w:t xml:space="preserve"> </w:t>
      </w:r>
      <w:r>
        <w:t xml:space="preserve">records obligations. They are not ephemeral chat.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Retention and hold.</w:t>
      </w:r>
      <w:r>
        <w:t xml:space="preserve"> </w:t>
      </w:r>
      <w:r>
        <w:t xml:space="preserve">AI interaction logs are retained per the applicable records</w:t>
      </w:r>
      <w:r>
        <w:t xml:space="preserve"> </w:t>
      </w:r>
      <w:r>
        <w:t xml:space="preserve">schedule, with a legal-hold capability. Using AI does not waive any records, FOIA, or</w:t>
      </w:r>
      <w:r>
        <w:t xml:space="preserve"> </w:t>
      </w:r>
      <w:r>
        <w:t xml:space="preserve">privacy obligation.</w:t>
      </w:r>
      <w:r>
        <w:t xml:space="preserve"> </w:t>
      </w:r>
      <w:r>
        <w:rPr>
          <w:b/>
          <w:bCs/>
        </w:rPr>
        <w:t xml:space="preserve">Legal concurs</w:t>
      </w:r>
      <w:r>
        <w:t xml:space="preserve"> </w:t>
      </w:r>
      <w:r>
        <w:t xml:space="preserve">on retention and hold. (For the spillage exception</w:t>
      </w:r>
      <w:r>
        <w:t xml:space="preserve"> </w:t>
      </w:r>
      <w:r>
        <w:t xml:space="preserve">to ordinary retention, see Section 11.a.)</w:t>
      </w:r>
    </w:p>
    <w:bookmarkEnd w:id="23"/>
    <w:bookmarkStart w:id="24" w:name="incident-reporting"/>
    <w:p>
      <w:pPr>
        <w:pStyle w:val="Heading2"/>
      </w:pPr>
      <w:r>
        <w:t xml:space="preserve">11. Incident reporting</w:t>
      </w:r>
    </w:p>
    <w:p>
      <w:pPr>
        <w:pStyle w:val="FirstParagraph"/>
      </w:pPr>
      <w:r>
        <w:t xml:space="preserve">The reporting chain depends on the type of incident: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Spillage (security).</w:t>
      </w:r>
      <w:r>
        <w:t xml:space="preserve"> </w:t>
      </w:r>
      <w:r>
        <w:t xml:space="preserve">If classified information or NNPI is entered into askSage, or</w:t>
      </w:r>
      <w:r>
        <w:t xml:space="preserve"> </w:t>
      </w:r>
      <w:r>
        <w:t xml:space="preserve">the AI outputs apparent classified material through aggregation, the user immediately</w:t>
      </w:r>
      <w:r>
        <w:t xml:space="preserve"> </w:t>
      </w:r>
      <w:r>
        <w:t xml:space="preserve">stops the session and</w:t>
      </w:r>
      <w:r>
        <w:t xml:space="preserve"> </w:t>
      </w:r>
      <w:r>
        <w:rPr>
          <w:b/>
          <w:bCs/>
        </w:rPr>
        <w:t xml:space="preserve">does not delete the prompt</w:t>
      </w:r>
      <w:r>
        <w:t xml:space="preserve"> </w:t>
      </w:r>
      <w:r>
        <w:t xml:space="preserve">(preserve it for forensics), and</w:t>
      </w:r>
      <w:r>
        <w:t xml:space="preserve"> </w:t>
      </w:r>
      <w:r>
        <w:t xml:space="preserve">notifies the Security Manager and ISSM. The spilled material is then</w:t>
      </w:r>
      <w:r>
        <w:t xml:space="preserve"> </w:t>
      </w:r>
      <w:r>
        <w:rPr>
          <w:b/>
          <w:bCs/>
        </w:rPr>
        <w:t xml:space="preserve">isolated and routed</w:t>
      </w:r>
      <w:r>
        <w:rPr>
          <w:b/>
          <w:bCs/>
        </w:rPr>
        <w:t xml:space="preserve"> </w:t>
      </w:r>
      <w:r>
        <w:rPr>
          <w:b/>
          <w:bCs/>
        </w:rPr>
        <w:t xml:space="preserve">to the formal security spillage-cleanup and records-disposition process</w:t>
      </w:r>
      <w:r>
        <w:t xml:space="preserve"> </w:t>
      </w:r>
      <w:r>
        <w:t xml:space="preserve">— including</w:t>
      </w:r>
      <w:r>
        <w:t xml:space="preserve"> </w:t>
      </w:r>
      <w:r>
        <w:t xml:space="preserve">emergency destruction of the affected records where authorized —</w:t>
      </w:r>
      <w:r>
        <w:t xml:space="preserve"> </w:t>
      </w:r>
      <w:r>
        <w:rPr>
          <w:b/>
          <w:bCs/>
        </w:rPr>
        <w:t xml:space="preserve">only after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Manager and Legal adjudication.</w:t>
      </w:r>
      <w:r>
        <w:t xml:space="preserve"> </w:t>
      </w:r>
      <w:r>
        <w:t xml:space="preserve">This is the deliberate exception to ordinary records</w:t>
      </w:r>
      <w:r>
        <w:t xml:space="preserve"> </w:t>
      </w:r>
      <w:r>
        <w:t xml:space="preserve">retention (Section 10): a spilled classified record is not preserved as a permanent record</w:t>
      </w:r>
      <w:r>
        <w:t xml:space="preserve"> </w:t>
      </w:r>
      <w:r>
        <w:t xml:space="preserve">inside the CUI/IL5 store. Report through security channels, including the Naval Criminal</w:t>
      </w:r>
      <w:r>
        <w:t xml:space="preserve"> </w:t>
      </w:r>
      <w:r>
        <w:t xml:space="preserve">Investigative Service (NCIS) as required.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align this flow with the command’s security spillage procedures and records-destruction authority (ref (j)).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Safety mishap (hallucination-driven).</w:t>
      </w:r>
      <w:r>
        <w:t xml:space="preserve"> </w:t>
      </w:r>
      <w:r>
        <w:t xml:space="preserve">If an AI error contributes to a safety or</w:t>
      </w:r>
      <w:r>
        <w:t xml:space="preserve"> </w:t>
      </w:r>
      <w:r>
        <w:t xml:space="preserve">quality mishap, it is reported and investigated through the command’s safety and JAGMAN</w:t>
      </w:r>
      <w:r>
        <w:t xml:space="preserve"> </w:t>
      </w:r>
      <w:r>
        <w:t xml:space="preserve">channels.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Rogue or anomalous agent behavior.</w:t>
      </w:r>
      <w:r>
        <w:t xml:space="preserve"> </w:t>
      </w:r>
      <w:r>
        <w:t xml:space="preserve">If an agent loops, behaves erratically, or</w:t>
      </w:r>
      <w:r>
        <w:t xml:space="preserve"> </w:t>
      </w:r>
      <w:r>
        <w:t xml:space="preserve">attempts unauthorized access, the user halts it (Section 7.e) and reports to the IT help</w:t>
      </w:r>
      <w:r>
        <w:t xml:space="preserve"> </w:t>
      </w:r>
      <w:r>
        <w:t xml:space="preserve">desk and ISSM.</w:t>
      </w:r>
    </w:p>
    <w:bookmarkEnd w:id="24"/>
    <w:bookmarkStart w:id="25" w:name="operational-resiliency-ddil"/>
    <w:p>
      <w:pPr>
        <w:pStyle w:val="Heading2"/>
      </w:pPr>
      <w:r>
        <w:t xml:space="preserve">12. Operational resiliency (DDIL)</w:t>
      </w:r>
    </w:p>
    <w:p>
      <w:pPr>
        <w:numPr>
          <w:ilvl w:val="0"/>
          <w:numId w:val="1019"/>
        </w:numPr>
      </w:pPr>
      <w:r>
        <w:t xml:space="preserve">Ship repair occurs in connectivity-degraded spaces (Disconnected, Degraded,</w:t>
      </w:r>
      <w:r>
        <w:t xml:space="preserve"> </w:t>
      </w:r>
      <w:r>
        <w:t xml:space="preserve">Intermittent, Low-bandwidth, DDIL). No work center shall adopt an askSage-dependent</w:t>
      </w:r>
      <w:r>
        <w:t xml:space="preserve"> </w:t>
      </w:r>
      <w:r>
        <w:t xml:space="preserve">workflow that cannot be reverted to a manual procedure</w:t>
      </w:r>
      <w:r>
        <w:t xml:space="preserve"> </w:t>
      </w:r>
      <w:r>
        <w:rPr>
          <w:b/>
          <w:bCs/>
        </w:rPr>
        <w:t xml:space="preserve">immediately</w:t>
      </w:r>
      <w:r>
        <w:t xml:space="preserve">. Every AI-enabled</w:t>
      </w:r>
      <w:r>
        <w:t xml:space="preserve"> </w:t>
      </w:r>
      <w:r>
        <w:t xml:space="preserve">workflow must have an immediately-available manual fallback; production never depends on</w:t>
      </w:r>
      <w:r>
        <w:t xml:space="preserve"> </w:t>
      </w:r>
      <w:r>
        <w:t xml:space="preserve">AI-system availability.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Manual-reversion certification.</w:t>
      </w:r>
      <w:r>
        <w:t xml:space="preserve"> </w:t>
      </w:r>
      <w:r>
        <w:t xml:space="preserve">On a set cadence (recommend quarterly), Department</w:t>
      </w:r>
      <w:r>
        <w:t xml:space="preserve"> </w:t>
      </w:r>
      <w:r>
        <w:t xml:space="preserve">Heads certify that each AI-enhanced workflow in their department can be executed on the</w:t>
      </w:r>
      <w:r>
        <w:t xml:space="preserve"> </w:t>
      </w:r>
      <w:r>
        <w:t xml:space="preserve">minimum baseline (manual or legacy IT) if the platform or off-island connectivity is lost.</w:t>
      </w:r>
      <w:r>
        <w:t xml:space="preserve"> </w:t>
      </w:r>
      <w:r>
        <w:t xml:space="preserve">AI-generated templates and scripts must be maintainable by human staff offline.</w:t>
      </w:r>
    </w:p>
    <w:bookmarkEnd w:id="25"/>
    <w:bookmarkStart w:id="26" w:name="training"/>
    <w:p>
      <w:pPr>
        <w:pStyle w:val="Heading2"/>
      </w:pPr>
      <w:r>
        <w:t xml:space="preserve">13. Training</w:t>
      </w:r>
    </w:p>
    <w:p>
      <w:pPr>
        <w:numPr>
          <w:ilvl w:val="0"/>
          <w:numId w:val="1020"/>
        </w:numPr>
      </w:pPr>
      <w:r>
        <w:t xml:space="preserve">No account is issued before the user completes the command</w:t>
      </w:r>
      <w:r>
        <w:t xml:space="preserve"> </w:t>
      </w:r>
      <w:r>
        <w:t xml:space="preserve">“Responsible AI and Use”</w:t>
      </w:r>
      <w:r>
        <w:t xml:space="preserve"> </w:t>
      </w:r>
      <w:r>
        <w:t xml:space="preserve">training: authorized vs. prohibited data (Section 4), recognizing classification by</w:t>
      </w:r>
      <w:r>
        <w:t xml:space="preserve"> </w:t>
      </w:r>
      <w:r>
        <w:t xml:space="preserve">compilation in AI output (Section 4.e), the human-in-the-loop and technical-authority</w:t>
      </w:r>
      <w:r>
        <w:t xml:space="preserve"> </w:t>
      </w:r>
      <w:r>
        <w:t xml:space="preserve">rules (Section 6), recognizing AI errors (hallucinations), incident reporting</w:t>
      </w:r>
      <w:r>
        <w:t xml:space="preserve"> </w:t>
      </w:r>
      <w:r>
        <w:t xml:space="preserve">(Section 11), and efficient use.</w:t>
      </w:r>
    </w:p>
    <w:p>
      <w:pPr>
        <w:numPr>
          <w:ilvl w:val="0"/>
          <w:numId w:val="1020"/>
        </w:numPr>
      </w:pPr>
      <w:r>
        <w:t xml:space="preserve">Training is role-aware and not limited to end users. The oversight roles (CIO/ISSM,</w:t>
      </w:r>
      <w:r>
        <w:t xml:space="preserve"> </w:t>
      </w:r>
      <w:r>
        <w:t xml:space="preserve">CHENG-chain approvers, Department Heads) are trained for their governance</w:t>
      </w:r>
      <w:r>
        <w:t xml:space="preserve"> </w:t>
      </w:r>
      <w:r>
        <w:t xml:space="preserve">responsibilities. Training recurs; it is not one-and-done.</w:t>
      </w:r>
    </w:p>
    <w:p>
      <w:pPr>
        <w:numPr>
          <w:ilvl w:val="0"/>
          <w:numId w:val="1020"/>
        </w:numPr>
      </w:pPr>
      <w:r>
        <w:t xml:space="preserve">Recommended technique: demonstrate a real AI error (for example a fabricated torque</w:t>
      </w:r>
      <w:r>
        <w:t xml:space="preserve"> </w:t>
      </w:r>
      <w:r>
        <w:t xml:space="preserve">value or a non-existent reference) during onboarding to inoculate against automation bias.</w:t>
      </w:r>
    </w:p>
    <w:bookmarkEnd w:id="26"/>
    <w:bookmarkStart w:id="27" w:name="implementation"/>
    <w:p>
      <w:pPr>
        <w:pStyle w:val="Heading2"/>
      </w:pPr>
      <w:r>
        <w:t xml:space="preserve">14. Implementation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Design first, then phase.</w:t>
      </w:r>
      <w:r>
        <w:t xml:space="preserve"> </w:t>
      </w:r>
      <w:r>
        <w:t xml:space="preserve">This instruction is the full design. Roll it out in</w:t>
      </w:r>
      <w:r>
        <w:t xml:space="preserve"> </w:t>
      </w:r>
      <w:r>
        <w:t xml:space="preserve">phases by use case and department, not by shipping a partial policy and adding controls</w:t>
      </w:r>
      <w:r>
        <w:t xml:space="preserve"> </w:t>
      </w:r>
      <w:r>
        <w:t xml:space="preserve">later.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Pilot.</w:t>
      </w:r>
      <w:r>
        <w:t xml:space="preserve"> </w:t>
      </w:r>
      <w:r>
        <w:t xml:space="preserve">Begin with a small set of low-risk, high-value, read-only use cases to</w:t>
      </w:r>
      <w:r>
        <w:t xml:space="preserve"> </w:t>
      </w:r>
      <w:r>
        <w:t xml:space="preserve">exercise the governance before extending to write-enabled or higher-risk uses.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Maturity target: best-in-class.</w:t>
      </w:r>
      <w:r>
        <w:t xml:space="preserve"> </w:t>
      </w:r>
      <w:r>
        <w:t xml:space="preserve">The command’s intent is a best-in-class posture,</w:t>
      </w:r>
      <w:r>
        <w:t xml:space="preserve"> </w:t>
      </w:r>
      <w:r>
        <w:t xml:space="preserve">not a compliance minimum. Accordingly this instruction is mapped to recognized frameworks</w:t>
      </w:r>
      <w:r>
        <w:t xml:space="preserve"> </w:t>
      </w:r>
      <w:r>
        <w:t xml:space="preserve">for defensibility — the DoD AI Ethical Principles and the NIST AI Risk Management</w:t>
      </w:r>
      <w:r>
        <w:t xml:space="preserve"> </w:t>
      </w:r>
      <w:r>
        <w:t xml:space="preserve">Framework functions (Govern, Map, Measure, Manage) — and it is reviewed and updated at</w:t>
      </w:r>
      <w:r>
        <w:t xml:space="preserve"> </w:t>
      </w:r>
      <w:r>
        <w:t xml:space="preserve">least annually and upon any significant change (a new use-case class, a platform change,</w:t>
      </w:r>
      <w:r>
        <w:t xml:space="preserve"> </w:t>
      </w:r>
      <w:r>
        <w:t xml:space="preserve">or a change in governing policy). The CIO, with the CHENG and Legal, owns the review.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Data residency.</w:t>
      </w:r>
      <w:r>
        <w:t xml:space="preserve"> </w:t>
      </w:r>
      <w:r>
        <w:t xml:space="preserve">Source data resides in the Navy’s Flank Speed environment, which</w:t>
      </w:r>
      <w:r>
        <w:t xml:space="preserve"> </w:t>
      </w:r>
      <w:r>
        <w:t xml:space="preserve">askSage connects to, and AI processing occurs within askSage’s IL5 ATO boundary — both</w:t>
      </w:r>
      <w:r>
        <w:t xml:space="preserve"> </w:t>
      </w:r>
      <w:r>
        <w:t xml:space="preserve">accredited — so residency and host-nation cryptographic requirements are expected to be</w:t>
      </w:r>
      <w:r>
        <w:t xml:space="preserve"> </w:t>
      </w:r>
      <w:r>
        <w:t xml:space="preserve">covered by those existing accreditations.</w:t>
      </w:r>
    </w:p>
    <w:p>
      <w:pPr>
        <w:pStyle w:val="BlockText"/>
      </w:pPr>
      <w:r>
        <w:rPr>
          <w:b/>
          <w:bCs/>
        </w:rPr>
        <w:t xml:space="preserve">Working group to resolve:</w:t>
      </w:r>
      <w:r>
        <w:t xml:space="preserve"> </w:t>
      </w:r>
      <w:r>
        <w:t xml:space="preserve">verify with the cognizant authority that the askSage ATO boundary and the Flank Speed connection satisfy the command’s data-residency and encryption posture.</w:t>
      </w:r>
    </w:p>
    <w:p>
      <w:r>
        <w:pict>
          <v:rect style="width:0;height:1.5pt" o:hralign="center" o:hrstd="t" o:hr="t"/>
        </w:pict>
      </w:r>
    </w:p>
    <w:bookmarkEnd w:id="27"/>
    <w:bookmarkStart w:id="28" w:name="Xd40d045629625ce263b52cca08926d0495efa12"/>
    <w:p>
      <w:pPr>
        <w:pStyle w:val="Heading2"/>
      </w:pPr>
      <w:r>
        <w:t xml:space="preserve">Annex A — Token and compute management (administrative)</w:t>
      </w:r>
    </w:p>
    <w:p>
      <w:pPr>
        <w:pStyle w:val="FirstParagraph"/>
      </w:pPr>
      <w:r>
        <w:t xml:space="preserve">Cost control is a guardrail, not a governance pillar, administered as an IT standard</w:t>
      </w:r>
      <w:r>
        <w:t xml:space="preserve"> </w:t>
      </w:r>
      <w:r>
        <w:t xml:space="preserve">operating procedure. In a command where a missed undocking date costs far more than any</w:t>
      </w:r>
      <w:r>
        <w:t xml:space="preserve"> </w:t>
      </w:r>
      <w:r>
        <w:t xml:space="preserve">plausible compute spend, these controls exist to prevent runaway agents and waste, not to</w:t>
      </w:r>
      <w:r>
        <w:t xml:space="preserve"> </w:t>
      </w:r>
      <w:r>
        <w:t xml:space="preserve">ration mission work.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Runaway protection.</w:t>
      </w:r>
      <w:r>
        <w:t xml:space="preserve"> </w:t>
      </w:r>
      <w:r>
        <w:t xml:space="preserve">Autonomous agent workflows run with a maximum-step (iteration)</w:t>
      </w:r>
      <w:r>
        <w:t xml:space="preserve"> </w:t>
      </w:r>
      <w:r>
        <w:t xml:space="preserve">cap and an absolute time limit, so a stuck agent halts itself.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Budgets and alerts.</w:t>
      </w:r>
      <w:r>
        <w:t xml:space="preserve"> </w:t>
      </w:r>
      <w:r>
        <w:t xml:space="preserve">The CIO sets departmental compute budgets; usage alerts fire as</w:t>
      </w:r>
      <w:r>
        <w:t xml:space="preserve"> </w:t>
      </w:r>
      <w:r>
        <w:t xml:space="preserve">a department approaches its allocation.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Mission-critical override.</w:t>
      </w:r>
      <w:r>
        <w:t xml:space="preserve"> </w:t>
      </w:r>
      <w:r>
        <w:t xml:space="preserve">Departmental compute caps are for fiscal planning, not</w:t>
      </w:r>
      <w:r>
        <w:t xml:space="preserve"> </w:t>
      </w:r>
      <w:r>
        <w:t xml:space="preserve">operational denial. During emergent repairs or surge periods, the CIO is authorized to</w:t>
      </w:r>
      <w:r>
        <w:t xml:space="preserve"> </w:t>
      </w:r>
      <w:r>
        <w:t xml:space="preserve">reallocate compute to high-priority work (for example Level I components) regardless of</w:t>
      </w:r>
      <w:r>
        <w:t xml:space="preserve"> </w:t>
      </w:r>
      <w:r>
        <w:t xml:space="preserve">the initial departmental budget. Caps shall never stop mission-essential repair work.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Efficiency.</w:t>
      </w:r>
      <w:r>
        <w:t xml:space="preserve"> </w:t>
      </w:r>
      <w:r>
        <w:t xml:space="preserve">Centralized indexing of large references (Section 5) and a shared, vetted</w:t>
      </w:r>
      <w:r>
        <w:t xml:space="preserve"> </w:t>
      </w:r>
      <w:r>
        <w:t xml:space="preserve">prompt library reduce waste.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6">
    <w:nsid w:val="00A99716"/>
    <w:multiLevelType w:val="multilevel"/>
    <w:lvl w:ilvl="0">
      <w:start w:val="6"/>
      <w:numFmt w:val="lowerLetter"/>
      <w:lvlText w:val="%1."/>
      <w:lvlJc w:val="left"/>
      <w:pPr>
        <w:ind w:left="720" w:hanging="360"/>
      </w:pPr>
    </w:lvl>
    <w:lvl w:ilvl="1">
      <w:start w:val="6"/>
      <w:numFmt w:val="lowerLetter"/>
      <w:lvlText w:val="%2."/>
      <w:lvlJc w:val="left"/>
      <w:pPr>
        <w:ind w:left="1440" w:hanging="360"/>
      </w:pPr>
    </w:lvl>
    <w:lvl w:ilvl="2">
      <w:start w:val="6"/>
      <w:numFmt w:val="lowerLetter"/>
      <w:lvlText w:val="%3."/>
      <w:lvlJc w:val="left"/>
      <w:pPr>
        <w:ind w:left="2160" w:hanging="360"/>
      </w:pPr>
    </w:lvl>
    <w:lvl w:ilvl="3">
      <w:start w:val="6"/>
      <w:numFmt w:val="lowerLetter"/>
      <w:lvlText w:val="%4."/>
      <w:lvlJc w:val="left"/>
      <w:pPr>
        <w:ind w:left="2880" w:hanging="360"/>
      </w:pPr>
    </w:lvl>
    <w:lvl w:ilvl="4">
      <w:start w:val="6"/>
      <w:numFmt w:val="lowerLetter"/>
      <w:lvlText w:val="%5."/>
      <w:lvlJc w:val="left"/>
      <w:pPr>
        <w:ind w:left="3600" w:hanging="360"/>
      </w:pPr>
    </w:lvl>
    <w:lvl w:ilvl="5">
      <w:start w:val="6"/>
      <w:numFmt w:val="lowerLetter"/>
      <w:lvlText w:val="%6."/>
      <w:lvlJc w:val="left"/>
      <w:pPr>
        <w:ind w:left="4320" w:hanging="360"/>
      </w:pPr>
    </w:lvl>
    <w:lvl w:ilvl="6">
      <w:start w:val="6"/>
      <w:numFmt w:val="lowerLetter"/>
      <w:lvlText w:val="%7."/>
      <w:lvlJc w:val="left"/>
      <w:pPr>
        <w:ind w:left="5040" w:hanging="360"/>
      </w:pPr>
    </w:lvl>
    <w:lvl w:ilvl="7">
      <w:start w:val="6"/>
      <w:numFmt w:val="lowerLetter"/>
      <w:lvlText w:val="%8."/>
      <w:lvlJc w:val="left"/>
      <w:pPr>
        <w:ind w:left="5760" w:hanging="360"/>
      </w:pPr>
    </w:lvl>
    <w:lvl w:ilvl="8">
      <w:start w:val="6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4">
    <w:nsid w:val="00A99714"/>
    <w:multiLevelType w:val="multilevel"/>
    <w:lvl w:ilvl="0">
      <w:start w:val="4"/>
      <w:numFmt w:val="lowerLetter"/>
      <w:lvlText w:val="%1."/>
      <w:lvlJc w:val="left"/>
      <w:pPr>
        <w:ind w:left="720" w:hanging="360"/>
      </w:pPr>
    </w:lvl>
    <w:lvl w:ilvl="1">
      <w:start w:val="4"/>
      <w:numFmt w:val="lowerLetter"/>
      <w:lvlText w:val="%2."/>
      <w:lvlJc w:val="left"/>
      <w:pPr>
        <w:ind w:left="1440" w:hanging="360"/>
      </w:pPr>
    </w:lvl>
    <w:lvl w:ilvl="2">
      <w:start w:val="4"/>
      <w:numFmt w:val="lowerLetter"/>
      <w:lvlText w:val="%3."/>
      <w:lvlJc w:val="left"/>
      <w:pPr>
        <w:ind w:left="2160" w:hanging="360"/>
      </w:pPr>
    </w:lvl>
    <w:lvl w:ilvl="3">
      <w:start w:val="4"/>
      <w:numFmt w:val="lowerLetter"/>
      <w:lvlText w:val="%4."/>
      <w:lvlJc w:val="left"/>
      <w:pPr>
        <w:ind w:left="2880" w:hanging="360"/>
      </w:pPr>
    </w:lvl>
    <w:lvl w:ilvl="4">
      <w:start w:val="4"/>
      <w:numFmt w:val="lowerLetter"/>
      <w:lvlText w:val="%5."/>
      <w:lvlJc w:val="left"/>
      <w:pPr>
        <w:ind w:left="3600" w:hanging="360"/>
      </w:pPr>
    </w:lvl>
    <w:lvl w:ilvl="5">
      <w:start w:val="4"/>
      <w:numFmt w:val="lowerLetter"/>
      <w:lvlText w:val="%6."/>
      <w:lvlJc w:val="left"/>
      <w:pPr>
        <w:ind w:left="4320" w:hanging="360"/>
      </w:pPr>
    </w:lvl>
    <w:lvl w:ilvl="6">
      <w:start w:val="4"/>
      <w:numFmt w:val="lowerLetter"/>
      <w:lvlText w:val="%7."/>
      <w:lvlJc w:val="left"/>
      <w:pPr>
        <w:ind w:left="5040" w:hanging="360"/>
      </w:pPr>
    </w:lvl>
    <w:lvl w:ilvl="7">
      <w:start w:val="4"/>
      <w:numFmt w:val="lowerLetter"/>
      <w:lvlText w:val="%8."/>
      <w:lvlJc w:val="left"/>
      <w:pPr>
        <w:ind w:left="5760" w:hanging="360"/>
      </w:pPr>
    </w:lvl>
    <w:lvl w:ilvl="8">
      <w:start w:val="4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Draft SRF-JRMC Instruction 5239.1 — askSage Governance (Working-Group Review)</dc:title>
  <dc:creator/>
  <cp:keywords/>
  <dcterms:created xsi:type="dcterms:W3CDTF">2026-06-19T05:24:43Z</dcterms:created>
  <dcterms:modified xsi:type="dcterms:W3CDTF">2026-06-19T05:24:43Z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