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the command uses</w:t>
      </w:r>
      <w:r>
        <w:t xml:space="preserve"> </w:t>
      </w:r>
      <w:r>
        <w:rPr>
          <w:b/>
          <w:bCs/>
        </w:rPr>
        <w:t xml:space="preserve">both askSage and GenAI.mil</w:t>
      </w:r>
      <w:r>
        <w:t xml:space="preserve">. Recommended split:</w:t>
      </w:r>
      <w:r>
        <w:t xml:space="preserve"> </w:t>
      </w:r>
      <w:r>
        <w:t xml:space="preserve">GenAI.mil for general questions,</w:t>
      </w:r>
      <w:r>
        <w:t xml:space="preserve"> </w:t>
      </w:r>
      <w:r>
        <w:rPr>
          <w:b/>
          <w:bCs/>
        </w:rPr>
        <w:t xml:space="preserve">askSage for agentic work</w:t>
      </w:r>
      <w:r>
        <w:t xml:space="preserve"> </w:t>
      </w:r>
      <w:r>
        <w:t xml:space="preserve">(prototype agents/prompts on</w:t>
      </w:r>
      <w:r>
        <w:t xml:space="preserve"> </w:t>
      </w:r>
      <w:r>
        <w:t xml:space="preserve">GenAI.mil first to save askSage tokens). askSage is ATO’d at IL5 and connects to Flank</w:t>
      </w:r>
      <w:r>
        <w:t xml:space="preserve"> </w:t>
      </w:r>
      <w:r>
        <w:t xml:space="preserve">Speed; this instruction governs askSage, GenAI.mil runs under its DoD enterprise governance.</w:t>
      </w:r>
      <w:r>
        <w:t xml:space="preserve"> </w:t>
      </w:r>
      <w:r>
        <w:t xml:space="preserve">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 — askSage is separately</w:t>
      </w:r>
      <w:r>
        <w:t xml:space="preserve"> </w:t>
      </w:r>
      <w:r>
        <w:t xml:space="preserve">authorized at IL5 and acquired through a Department contract vehicle for askSage (e.g., the</w:t>
      </w:r>
      <w:r>
        <w:t xml:space="preserve"> </w:t>
      </w:r>
      <w:r>
        <w:t xml:space="preserve">Army-managed Ask Sage IDIQ that NSWC Corona and NRL already use). The specific ATO and</w:t>
      </w:r>
      <w:r>
        <w:t xml:space="preserve"> </w:t>
      </w:r>
      <w:r>
        <w:t xml:space="preserve">contract are held in command records, not in the instruction (which stays stable as contracts</w:t>
      </w:r>
      <w:r>
        <w:t xml:space="preserve"> </w:t>
      </w:r>
      <w:r>
        <w:t xml:space="preserve">renew).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AI changes no existing process.</w:t>
      </w:r>
      <w:r>
        <w:t xml:space="preserve"> </w:t>
      </w:r>
      <w:r>
        <w:t xml:space="preserve">It governs askSage use within the command’s</w:t>
      </w:r>
      <w:r>
        <w:t xml:space="preserve"> </w:t>
      </w:r>
      <w:r>
        <w:t xml:space="preserve">established authorities, quality, security, and records processes. Where it names who is</w:t>
      </w:r>
      <w:r>
        <w:t xml:space="preserve"> </w:t>
      </w:r>
      <w:r>
        <w:t xml:space="preserve">responsible, it restates the established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AI output is authoritatively evaluated by the</w:t>
      </w:r>
      <w:r>
        <w:t xml:space="preserve"> </w:t>
      </w:r>
      <w:r>
        <w:t xml:space="preserve">cognizant authority</w:t>
      </w:r>
      <w:r>
        <w:t xml:space="preserve"> </w:t>
      </w:r>
      <w:r>
        <w:rPr>
          <w:b/>
          <w:bCs/>
        </w:rPr>
        <w:t xml:space="preserve">along existing lines of responsibility</w:t>
      </w:r>
      <w:r>
        <w:t xml:space="preserve"> </w:t>
      </w:r>
      <w:r>
        <w:t xml:space="preserve">— the department that owns</w:t>
      </w:r>
      <w:r>
        <w:t xml:space="preserve"> </w:t>
      </w:r>
      <w:r>
        <w:t xml:space="preserve">that subject matter (the Code 100–1200 map is embedded in §6.a) — and</w:t>
      </w:r>
      <w:r>
        <w:t xml:space="preserve"> </w:t>
      </w:r>
      <w:r>
        <w:rPr>
          <w:b/>
          <w:bCs/>
        </w:rPr>
        <w:t xml:space="preserve">each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designates an authoritative AI content evaluator</w:t>
      </w:r>
      <w:r>
        <w:t xml:space="preserve">. AI output is always a non-authoritative</w:t>
      </w:r>
      <w:r>
        <w:t xml:space="preserve"> </w:t>
      </w:r>
      <w:r>
        <w:t xml:space="preserve">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base is federated:</w:t>
      </w:r>
      <w:r>
        <w:t xml:space="preserve"> </w:t>
      </w:r>
      <w:r>
        <w:t xml:space="preserve">each department owns, feeds, and controls access to its</w:t>
      </w:r>
      <w:r>
        <w:t xml:space="preserve"> </w:t>
      </w:r>
      <w:r>
        <w:t xml:space="preserve">own repository; Code 200 owns the technical library and the derivative-classifier</w:t>
      </w:r>
      <w:r>
        <w:t xml:space="preserve"> </w:t>
      </w:r>
      <w:r>
        <w:t xml:space="preserve">screening; the CIO/ISSM is custodian of the platform (connection registry, access,</w:t>
      </w:r>
      <w:r>
        <w:t xml:space="preserve"> </w:t>
      </w:r>
      <w:r>
        <w:t xml:space="preserve">monitoring), not the content.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Legal concurs on records;</w:t>
      </w:r>
      <w:r>
        <w:t xml:space="preserve"> </w:t>
      </w:r>
      <w:r>
        <w:rPr>
          <w:b/>
          <w:bCs/>
        </w:rPr>
        <w:t xml:space="preserve">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Heads are the governance forum, reviewing the use-case inventory quarterly.</w:t>
      </w:r>
      <w:r>
        <w:t xml:space="preserve"> </w:t>
      </w:r>
      <w:r>
        <w:t xml:space="preserve">No new board.</w:t>
      </w:r>
      <w:r>
        <w:t xml:space="preserve"> </w:t>
      </w:r>
      <w:r>
        <w:t xml:space="preserve">Records and directives are managed per the command SORM.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department stands up its own information-governance plan before askSage access</w:t>
      </w:r>
      <w:r>
        <w:t xml:space="preserve"> </w:t>
      </w:r>
      <w:r>
        <w:t xml:space="preserve">(§15)</w:t>
      </w:r>
      <w:r>
        <w:t xml:space="preserve"> </w:t>
      </w:r>
      <w:r>
        <w:t xml:space="preserve">— common high-level expectations (grounded in the NIST AI RMF + the DoD AI Ethical Principles),</w:t>
      </w:r>
      <w:r>
        <w:t xml:space="preserve"> </w:t>
      </w:r>
      <w:r>
        <w:t xml:space="preserve">tailored by each code; a department-level access gate alongside individual training.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Verify the reference identifiers (refs e, f, g, j) and add the command’s cognizant</w:t>
      </w:r>
      <w:r>
        <w:t xml:space="preserve"> </w:t>
      </w:r>
      <w:r>
        <w:t xml:space="preserve">cybersecurity, records-management, and security-spillage references.</w:t>
      </w:r>
    </w:p>
    <w:p>
      <w:pPr>
        <w:pStyle w:val="Compact"/>
        <w:numPr>
          <w:ilvl w:val="0"/>
          <w:numId w:val="1002"/>
        </w:numPr>
      </w:pPr>
      <w:r>
        <w:t xml:space="preserve">Confirm askSage’s IL5 authorization (ATO) and the command’s acquisition instrument are</w:t>
      </w:r>
      <w:r>
        <w:t xml:space="preserve"> </w:t>
      </w:r>
      <w:r>
        <w:t xml:space="preserve">current and valid — held in the command’s cybersecurity and contracting records, not in the</w:t>
      </w:r>
      <w:r>
        <w:t xml:space="preserve"> </w:t>
      </w:r>
      <w:r>
        <w:t xml:space="preserve">instruction — and confirm the Flank Speed 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governing SORM / records-management reference (§5.a) and the cognizant Security</w:t>
      </w:r>
      <w:r>
        <w:t xml:space="preserve"> </w:t>
      </w:r>
      <w:r>
        <w:t xml:space="preserve">Classification Guide(s) (§4.e).</w:t>
      </w:r>
    </w:p>
    <w:p>
      <w:pPr>
        <w:pStyle w:val="Compact"/>
        <w:numPr>
          <w:ilvl w:val="0"/>
          <w:numId w:val="1002"/>
        </w:numPr>
      </w:pPr>
      <w:r>
        <w:t xml:space="preserve">Each department names its authoritative AI content evaluator; confirm the Technical</w:t>
      </w:r>
      <w:r>
        <w:t xml:space="preserve"> </w:t>
      </w:r>
      <w:r>
        <w:t xml:space="preserve">Warrant Holder billets within Code 200 (§6).</w:t>
      </w:r>
      <w:r>
        <w:t xml:space="preserve"> </w:t>
      </w:r>
      <w:r>
        <w:rPr>
          <w:i/>
          <w:iCs/>
        </w:rPr>
        <w:t xml:space="preserve">(The Code 100–1200 structure is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embedded in §6.a.)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(§6.d).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t xml:space="preserve">Confirm any delegation of accountability (e.g., to the Executive Director) (§8.a).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actual spillage and records-destruction</w:t>
      </w:r>
      <w:r>
        <w:t xml:space="preserve"> </w:t>
      </w:r>
      <w:r>
        <w:t xml:space="preserve">procedures (§11.a).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Compact"/>
        <w:numPr>
          <w:ilvl w:val="0"/>
          <w:numId w:val="1002"/>
        </w:numPr>
      </w:pPr>
      <w:r>
        <w:t xml:space="preserve">Adopt/finalize the one-page departmental information-governance plan template (§15.c).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draft template is provided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Departmental-AI-Governance-Plan-TEMPLATE.docx</w:t>
      </w:r>
      <w:r>
        <w:t xml:space="preserve">); the working</w:t>
      </w:r>
      <w:r>
        <w:t xml:space="preserve"> </w:t>
      </w:r>
      <w:r>
        <w:t xml:space="preserve">group reviews and adopts it so the codes’ plans are consistent.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30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(2025)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(g) DON CIO generative-AI / GenAI.mil guidance</w:t>
      </w:r>
      <w:r>
        <w:t xml:space="preserve"> </w:t>
      </w:r>
      <w:r>
        <w:rPr>
          <w:b/>
          <w:bCs/>
        </w:rPr>
        <w:t xml:space="preserve">[WG: insert exact memo identifiers]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1229, Emergency authorization to destroy records</w:t>
      </w:r>
      <w:r>
        <w:t xml:space="preserve"> </w:t>
      </w:r>
      <w:r>
        <w:rPr>
          <w:b/>
          <w:bCs/>
        </w:rPr>
        <w:t xml:space="preserve">[WG: verify citation; supports the spillage cleanup in para 11.a]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reference identifiers (e), (f), (g), (j) against the actual issuances, and add the command’s cognizant cybersecurity, records-management, and security-spillage references.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Two platforms, with a recommended division of labor.</w:t>
      </w:r>
      <w:r>
        <w:t xml:space="preserve"> </w:t>
      </w:r>
      <w:r>
        <w:t xml:space="preserve">The command uses both askSage and</w:t>
      </w:r>
      <w:r>
        <w:t xml:space="preserve"> </w:t>
      </w:r>
      <w:r>
        <w:t xml:space="preserve">the DoD enterprise platform</w:t>
      </w:r>
      <w:r>
        <w:t xml:space="preserve"> </w:t>
      </w:r>
      <w:r>
        <w:rPr>
          <w:b/>
          <w:bCs/>
        </w:rPr>
        <w:t xml:space="preserve">GenAI.mil</w:t>
      </w:r>
      <w:r>
        <w:t xml:space="preserve">. Recommended use:</w:t>
      </w:r>
      <w:r>
        <w:t xml:space="preserve"> </w:t>
      </w:r>
      <w:r>
        <w:rPr>
          <w:b/>
          <w:bCs/>
        </w:rPr>
        <w:t xml:space="preserve">GenAI.mil for general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questions; askSage for agentic work</w:t>
      </w:r>
      <w:r>
        <w:t xml:space="preserve"> </w:t>
      </w:r>
      <w:r>
        <w:t xml:space="preserve">(its agentic capability is why this instruction</w:t>
      </w:r>
      <w:r>
        <w:t xml:space="preserve"> </w:t>
      </w:r>
      <w:r>
        <w:t xml:space="preserve">exists). GenAI.mil may also be used to develop and refine agents and agentic-workflow</w:t>
      </w:r>
      <w:r>
        <w:t xml:space="preserve"> </w:t>
      </w:r>
      <w:r>
        <w:t xml:space="preserve">prompts before expending askSage tokens. GenAI.mil is not yet mature enough to host the</w:t>
      </w:r>
      <w:r>
        <w:t xml:space="preserve"> </w:t>
      </w:r>
      <w:r>
        <w:t xml:space="preserve">command’s agentic work, so askSage carries that load for now; the command intends to</w:t>
      </w:r>
      <w:r>
        <w:t xml:space="preserve"> </w:t>
      </w:r>
      <w:r>
        <w:t xml:space="preserve">transfer agentic work to GenAI.mil when it can support it.</w:t>
      </w:r>
      <w:r>
        <w:t xml:space="preserve"> </w:t>
      </w:r>
      <w:r>
        <w:rPr>
          <w:b/>
          <w:bCs/>
        </w:rPr>
        <w:t xml:space="preserve">This instruction governs the</w:t>
      </w:r>
      <w:r>
        <w:rPr>
          <w:b/>
          <w:bCs/>
        </w:rPr>
        <w:t xml:space="preserve"> </w:t>
      </w:r>
      <w:r>
        <w:rPr>
          <w:b/>
          <w:bCs/>
        </w:rPr>
        <w:t xml:space="preserve">command’s use of askSage</w:t>
      </w:r>
      <w:r>
        <w:t xml:space="preserve">; GenAI.mil is used under its DoD enterprise governance. askSage</w:t>
      </w:r>
      <w:r>
        <w:t xml:space="preserve"> </w:t>
      </w:r>
      <w:r>
        <w:t xml:space="preserve">operates under its Authority-to-Operate (ATO) at Impact Level 5 (IL5), connected to the</w:t>
      </w:r>
      <w:r>
        <w:t xml:space="preserve"> </w:t>
      </w:r>
      <w:r>
        <w:t xml:space="preserve">Navy’s Flank Speed shares, and the command owns the askSage governance layer — use-case</w:t>
      </w:r>
      <w:r>
        <w:t xml:space="preserve"> </w:t>
      </w:r>
      <w:r>
        <w:t xml:space="preserve">approval, data controls, monitoring configuration, and the controls in this instruction —</w:t>
      </w:r>
      <w:r>
        <w:t xml:space="preserve"> </w:t>
      </w:r>
      <w:r>
        <w:t xml:space="preserve">within the platform’s accredited capabilities.</w:t>
      </w:r>
    </w:p>
    <w:p>
      <w:pPr>
        <w:pStyle w:val="BodyText"/>
      </w:pPr>
      <w:r>
        <w:rPr>
          <w:b/>
          <w:bCs/>
        </w:rPr>
        <w:t xml:space="preserve">Authority and acquisition basis.</w:t>
      </w:r>
      <w:r>
        <w:t xml:space="preserve"> </w:t>
      </w:r>
      <w:r>
        <w:t xml:space="preserve">Running askSage alongside GenAI.mil is consistent with</w:t>
      </w:r>
      <w:r>
        <w:t xml:space="preserve"> </w:t>
      </w:r>
      <w:r>
        <w:t xml:space="preserve">Department direction: 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bar, and service</w:t>
      </w:r>
      <w:r>
        <w:t xml:space="preserve"> </w:t>
      </w:r>
      <w:r>
        <w:t xml:space="preserve">guidance permits separately-authorized tools. askSage is separately authorized at IL5 and is</w:t>
      </w:r>
      <w:r>
        <w:t xml:space="preserve"> </w:t>
      </w:r>
      <w:r>
        <w:t xml:space="preserve">acquired through a Department contract vehicle for askSage — for example, decentralized task</w:t>
      </w:r>
      <w:r>
        <w:t xml:space="preserve"> </w:t>
      </w:r>
      <w:r>
        <w:t xml:space="preserve">orders against the Army-managed Ask Sage Indefinite-Delivery/Indefinite-Quantity (IDIQ) vehicle</w:t>
      </w:r>
      <w:r>
        <w:t xml:space="preserve"> </w:t>
      </w:r>
      <w:r>
        <w:t xml:space="preserve">that other Navy activities already use. The specific current authorization (the IL5 ATO) and</w:t>
      </w:r>
      <w:r>
        <w:t xml:space="preserve"> </w:t>
      </w:r>
      <w:r>
        <w:t xml:space="preserve">acquisition instrument are kept in the command’s cybersecurity and contracting records, not</w:t>
      </w:r>
      <w:r>
        <w:t xml:space="preserve"> </w:t>
      </w:r>
      <w:r>
        <w:t xml:space="preserve">restated in this instruction, so a contract renewal or replacement does not require changing</w:t>
      </w:r>
      <w:r>
        <w:t xml:space="preserve"> </w:t>
      </w:r>
      <w:r>
        <w:t xml:space="preserve">this instruction.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the cognizant cybersecurity and contracting authorities confirm askSage’s IL5 authorization and the command’s acquisition instrument are current and valid (held in command records, not in this instruction).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This instruction changes no existing process.</w:t>
      </w:r>
      <w:r>
        <w:t xml:space="preserve"> </w:t>
      </w:r>
      <w:r>
        <w:t xml:space="preserve">It does not alter the command’s</w:t>
      </w:r>
      <w:r>
        <w:t xml:space="preserve"> </w:t>
      </w:r>
      <w:r>
        <w:t xml:space="preserve">existing authorities, responsibilities, technical authority, quality, security, or records</w:t>
      </w:r>
      <w:r>
        <w:t xml:space="preserve"> </w:t>
      </w:r>
      <w:r>
        <w:t xml:space="preserve">processes, or its lines of responsibility. It governs the use of askSage within them. Where</w:t>
      </w:r>
      <w:r>
        <w:t xml:space="preserve"> </w:t>
      </w:r>
      <w:r>
        <w:t xml:space="preserve">this instruction names who is responsible for something, it restates the established line,</w:t>
      </w:r>
      <w:r>
        <w:t xml:space="preserve"> </w:t>
      </w:r>
      <w:r>
        <w:t xml:space="preserve">it does not create a new one.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Departments own their repositories; the command owns the platform.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owns, feeds, and controls access to its own document repository (its SharePoint or</w:t>
      </w:r>
      <w:r>
        <w:t xml:space="preserve"> </w:t>
      </w:r>
      <w:r>
        <w:t xml:space="preserve">equivalent) and is responsible for the content and releasability of what it places there.</w:t>
      </w:r>
      <w:r>
        <w:t xml:space="preserve"> </w:t>
      </w:r>
      <w:r>
        <w:t xml:space="preserve">askSage draws on those repositories under each user’s existing access. The Command</w:t>
      </w:r>
      <w:r>
        <w:t xml:space="preserve"> </w:t>
      </w:r>
      <w:r>
        <w:t xml:space="preserve">Information Officer (CIO) and Information System Security Manager (ISSM) are custodians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</w:t>
      </w:r>
      <w:r>
        <w:t xml:space="preserve">: they maintain a registry of the repositories connected to askSage and</w:t>
      </w:r>
      <w:r>
        <w:t xml:space="preserve"> </w:t>
      </w:r>
      <w:r>
        <w:t xml:space="preserve">manage platform access and identity, but they do not own the content. Records, directives,</w:t>
      </w:r>
      <w:r>
        <w:t xml:space="preserve"> </w:t>
      </w:r>
      <w:r>
        <w:t xml:space="preserve">and information are managed in accordance with the command’s Standard Organization and</w:t>
      </w:r>
      <w:r>
        <w:t xml:space="preserve"> </w:t>
      </w:r>
      <w:r>
        <w:t xml:space="preserve">Regulations Manual (SORM) and existing records program.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governing SORM / records-management reference.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Authoritative technical sources and recertification.</w:t>
      </w:r>
      <w:r>
        <w:t xml:space="preserve"> </w:t>
      </w:r>
      <w:r>
        <w:t xml:space="preserve">Code 200 (Engineering and</w:t>
      </w:r>
      <w:r>
        <w:t xml:space="preserve"> </w:t>
      </w:r>
      <w:r>
        <w:t xml:space="preserve">Planning) owns the authoritative technical library — the Joint Fleet Maintenance Manual</w:t>
      </w:r>
      <w:r>
        <w:t xml:space="preserve"> </w:t>
      </w:r>
      <w:r>
        <w:t xml:space="preserve">(JFMM), NAVSEA Standard Items, and technical manuals — and keeps it current. A stale</w:t>
      </w:r>
      <w:r>
        <w:t xml:space="preserve"> </w:t>
      </w:r>
      <w:r>
        <w:t xml:space="preserve">authoritative source is a safety hazard, not merely an error, so each repository owner</w:t>
      </w:r>
      <w:r>
        <w:t xml:space="preserve"> </w:t>
      </w:r>
      <w:r>
        <w:t xml:space="preserve">recertifies its content on a defined cycle and upon change transmittal, so the AI never</w:t>
      </w:r>
      <w:r>
        <w:t xml:space="preserve"> </w:t>
      </w:r>
      <w:r>
        <w:t xml:space="preserve">reasons from a superseded version.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Releasability rests on existing screening, by the owning department.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is responsible for the releasability of its own repository. For technical direction</w:t>
      </w:r>
      <w:r>
        <w:t xml:space="preserve"> </w:t>
      </w:r>
      <w:r>
        <w:t xml:space="preserve">(drawings, policy, manuals), Code 200 already screens content through a derivative</w:t>
      </w:r>
      <w:r>
        <w:t xml:space="preserve"> </w:t>
      </w:r>
      <w:r>
        <w:t xml:space="preserve">classifier, who redacts or denies any unreleasable information, and NOFORN is already barred</w:t>
      </w:r>
      <w:r>
        <w:t xml:space="preserve"> </w:t>
      </w:r>
      <w:r>
        <w:t xml:space="preserve">from the command’s network share. The askSage knowledge 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these controls;</w:t>
      </w:r>
      <w:r>
        <w:t xml:space="preserve"> </w:t>
      </w:r>
      <w:r>
        <w:t xml:space="preserve">the AI is neither a new releasability authority nor a substitute for the derivative</w:t>
      </w:r>
      <w:r>
        <w:t xml:space="preserve"> </w:t>
      </w:r>
      <w:r>
        <w:t xml:space="preserve">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 that screening, so</w:t>
      </w:r>
      <w:r>
        <w:t xml:space="preserve"> </w:t>
      </w:r>
      <w:r>
        <w:rPr>
          <w:b/>
          <w:bCs/>
        </w:rPr>
        <w:t xml:space="preserve">ad hoc ingestion of un-screened documents into askSage is prohibited</w:t>
      </w:r>
      <w:r>
        <w:t xml:space="preserve"> </w:t>
      </w:r>
      <w:r>
        <w:t xml:space="preserve">— material enters a</w:t>
      </w:r>
      <w:r>
        <w:t xml:space="preserve"> </w:t>
      </w:r>
      <w:r>
        <w:t xml:space="preserve">repository only through the owning department’s established feed.</w:t>
      </w:r>
    </w:p>
    <w:bookmarkEnd w:id="18"/>
    <w:bookmarkStart w:id="19" w:name="X202263741ef985fbdc1a728e19fe30f81842b52"/>
    <w:p>
      <w:pPr>
        <w:pStyle w:val="Heading2"/>
      </w:pPr>
      <w:r>
        <w:t xml:space="preserve">6. Authoritative evaluation of AI output (the human-in-the-loop)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output is authoritatively evaluated by the cognizant authority, along the command’s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lines of responsibility.</w:t>
      </w:r>
      <w:r>
        <w:t xml:space="preserve"> </w:t>
      </w:r>
      <w:r>
        <w:t xml:space="preserve">No AI output is authoritative on its own. A qualified</w:t>
      </w:r>
      <w:r>
        <w:t xml:space="preserve"> </w:t>
      </w:r>
      <w:r>
        <w:t xml:space="preserve">person who owns the relevant subject matter evaluates AI-produced content before it is used</w:t>
      </w:r>
      <w:r>
        <w:t xml:space="preserve"> </w:t>
      </w:r>
      <w:r>
        <w:t xml:space="preserve">or released — the same person who would own that work product if a human had produced it.</w:t>
      </w:r>
      <w:r>
        <w:t xml:space="preserve"> </w:t>
      </w:r>
      <w:r>
        <w:t xml:space="preserve">askSage does not change who is responsible; responsibility follows the established command</w:t>
      </w:r>
      <w:r>
        <w:t xml:space="preserve"> </w:t>
      </w:r>
      <w:r>
        <w:t xml:space="preserve">organization: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863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Authoritative for AI content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Command (CO, XO, Executive Director, Legal, Warfighting Readiness)</w:t>
            </w:r>
          </w:p>
        </w:tc>
        <w:tc>
          <w:tcPr/>
          <w:p>
            <w:pPr>
              <w:pStyle w:val="Compact"/>
            </w:pPr>
            <w:r>
              <w:t xml:space="preserve">command, legal, and warfighting-readiness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Engineering and Planning (CHENG; engineers, planners)</w:t>
            </w:r>
          </w:p>
        </w:tc>
        <w:tc>
          <w:tcPr/>
          <w:p>
            <w:pPr>
              <w:pStyle w:val="Compact"/>
            </w:pPr>
            <w:r>
              <w:t xml:space="preserve">technical and engineering matters; owns the technical library and derivative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Waterfront Operations</w:t>
            </w:r>
          </w:p>
        </w:tc>
        <w:tc>
          <w:tcPr/>
          <w:p>
            <w:pPr>
              <w:pStyle w:val="Compact"/>
            </w:pPr>
            <w:r>
              <w:t xml:space="preserve">availability execution, scheduling,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supply and logistics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budget, accounting, cost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Crane and Rigging</w:t>
            </w:r>
          </w:p>
        </w:tc>
        <w:tc>
          <w:tcPr/>
          <w:p>
            <w:pPr>
              <w:pStyle w:val="Compact"/>
            </w:pPr>
            <w:r>
              <w:t xml:space="preserve">crane, rigging, and lift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  <w:tc>
          <w:tcPr/>
          <w:p>
            <w:pPr>
              <w:pStyle w:val="Compact"/>
            </w:pPr>
            <w:r>
              <w:t xml:space="preserve">manpower, training, and industrial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Business and Strategic Planning Office (BSPO)</w:t>
            </w:r>
          </w:p>
        </w:tc>
        <w:tc>
          <w:tcPr/>
          <w:p>
            <w:pPr>
              <w:pStyle w:val="Compact"/>
            </w:pPr>
            <w:r>
              <w:t xml:space="preserve">business, strategic planning, and contracting (requirements packages)</w:t>
            </w:r>
          </w:p>
        </w:tc>
      </w:tr>
    </w:tbl>
    <w:p>
      <w:pPr>
        <w:pStyle w:val="BodyText"/>
      </w:pPr>
      <w:r>
        <w:t xml:space="preserve">There is no Code 400, 800, or 1000. Quality assurance is an existing function and is</w:t>
      </w:r>
      <w:r>
        <w:t xml:space="preserve"> </w:t>
      </w:r>
      <w:r>
        <w:t xml:space="preserve">exercised as such (Section 9.b).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Each department designates an authoritative AI content evaluator.</w:t>
      </w:r>
      <w:r>
        <w:t xml:space="preserve"> </w:t>
      </w:r>
      <w:r>
        <w:t xml:space="preserve">Every department</w:t>
      </w:r>
      <w:r>
        <w:t xml:space="preserve"> </w:t>
      </w:r>
      <w:r>
        <w:t xml:space="preserve">designates, in writing, a qualified person responsible for the authoritative evaluation of</w:t>
      </w:r>
      <w:r>
        <w:t xml:space="preserve"> </w:t>
      </w:r>
      <w:r>
        <w:t xml:space="preserve">AI-produced content used in that department’s area of responsibility. The designated</w:t>
      </w:r>
      <w:r>
        <w:t xml:space="preserve"> </w:t>
      </w:r>
      <w:r>
        <w:t xml:space="preserve">evaluator is recorded with the department’s use cases in the inventory (Section 8).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6.e)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delegate accountability as appropriate (for example to the Executive Director).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Custodians of the platform, not of department content (Section 5): platform administration,</w:t>
      </w:r>
      <w:r>
        <w:t xml:space="preserve"> </w:t>
      </w:r>
      <w:r>
        <w:t xml:space="preserve">access and identity management, the model/instance and use-case inventory, the registry of</w:t>
      </w:r>
      <w:r>
        <w:t xml:space="preserve"> </w:t>
      </w:r>
      <w:r>
        <w:t xml:space="preserve">repositories connected to askSage,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Own, feed, and control access to their department’s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5.a)</w:t>
      </w:r>
      <w:r>
        <w:t xml:space="preserve"> </w:t>
      </w:r>
      <w:r>
        <w:t xml:space="preserve">and are responsible for its content and releasability;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</w:t>
      </w:r>
      <w:r>
        <w:t xml:space="preserve"> </w:t>
      </w:r>
      <w:r>
        <w:t xml:space="preserve">for their departments (CHENG concurs on technical scope per 8.c; CIO validates</w:t>
      </w:r>
      <w:r>
        <w:t xml:space="preserve"> </w:t>
      </w:r>
      <w:r>
        <w:t xml:space="preserve">platform/security);</w:t>
      </w:r>
      <w:r>
        <w:t xml:space="preserve"> </w:t>
      </w:r>
      <w:r>
        <w:rPr>
          <w:b/>
          <w:bCs/>
        </w:rPr>
        <w:t xml:space="preserve">designate the department’s authoritative AI content evaluator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6.b)</w:t>
      </w:r>
      <w:r>
        <w:t xml:space="preserve"> </w:t>
      </w:r>
      <w:r>
        <w:t xml:space="preserve">and own the authoritative evaluation of their department’s AI content;</w:t>
      </w:r>
      <w:r>
        <w:t xml:space="preserve"> </w:t>
      </w:r>
      <w:r>
        <w:t xml:space="preserve">enforce the human-in-the-loop and least-privilege requirements; submit their use cases</w:t>
      </w:r>
      <w:r>
        <w:t xml:space="preserve"> </w:t>
      </w:r>
      <w:r>
        <w:t xml:space="preserve">to the inventory; and</w:t>
      </w:r>
      <w:r>
        <w:t xml:space="preserve"> </w:t>
      </w:r>
      <w:r>
        <w:rPr>
          <w:b/>
          <w:bCs/>
        </w:rPr>
        <w:t xml:space="preserve">develop and maintain the department’s information-governance plan</w:t>
      </w:r>
      <w:r>
        <w:rPr>
          <w:b/>
          <w:bCs/>
        </w:rPr>
        <w:t xml:space="preserve"> </w:t>
      </w:r>
      <w:r>
        <w:rPr>
          <w:b/>
          <w:bCs/>
        </w:rPr>
        <w:t xml:space="preserve">before access (Section 15)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6.d),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capability, and are managed in accordance with the command’s</w:t>
      </w:r>
      <w:r>
        <w:t xml:space="preserve"> </w:t>
      </w:r>
      <w:r>
        <w:t xml:space="preserve">Standard Organization and Regulations Manual (SORM) and records program. Using AI does not</w:t>
      </w:r>
      <w:r>
        <w:t xml:space="preserve"> </w:t>
      </w:r>
      <w:r>
        <w:t xml:space="preserve">waive any records, FOIA, or 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</w:t>
      </w:r>
      <w:r>
        <w:t xml:space="preserve"> </w:t>
      </w:r>
      <w:r>
        <w:t xml:space="preserve">(For the spillage exception to 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This is the deliberate exception to ordinary records</w:t>
      </w:r>
      <w:r>
        <w:t xml:space="preserve"> </w:t>
      </w:r>
      <w:r>
        <w:t xml:space="preserve">retention (Section 10): a spilled classified record is not preserved as a permanent record</w:t>
      </w:r>
      <w:r>
        <w:t xml:space="preserve"> </w:t>
      </w:r>
      <w:r>
        <w:t xml:space="preserve">inside the CUI/IL5 store. Report through security channels, including the Naval Criminal</w:t>
      </w:r>
      <w:r>
        <w:t xml:space="preserve"> </w:t>
      </w:r>
      <w:r>
        <w:t xml:space="preserve">Investigative Service (NCIS) as 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security spillage procedures and records-destruction authority (ref (j)).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19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20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20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20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77895dd4303a196b1e7b47b31465cf66a1a934c"/>
    <w:p>
      <w:pPr>
        <w:pStyle w:val="Heading2"/>
      </w:pPr>
      <w:r>
        <w:t xml:space="preserve">15. Departmental information-governance plans</w:t>
      </w:r>
    </w:p>
    <w:p>
      <w:pPr>
        <w:pStyle w:val="FirstParagraph"/>
      </w:pPr>
      <w:r>
        <w:t xml:space="preserve">Each department stands up its own short information-governance plan for askSage, reflecting</w:t>
      </w:r>
      <w:r>
        <w:t xml:space="preserve"> </w:t>
      </w:r>
      <w:r>
        <w:t xml:space="preserve">common command expectations, before its people receive access. This instruction sets the</w:t>
      </w:r>
      <w:r>
        <w:t xml:space="preserve"> </w:t>
      </w:r>
      <w:r>
        <w:t xml:space="preserve">common floor; each code tailors it to its own work.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Access prerequisite.</w:t>
      </w:r>
      <w:r>
        <w:t xml:space="preserve"> </w:t>
      </w:r>
      <w:r>
        <w:t xml:space="preserve">Before a department’s personnel are granted askSage access, the</w:t>
      </w:r>
      <w:r>
        <w:t xml:space="preserve"> </w:t>
      </w:r>
      <w:r>
        <w:t xml:space="preserve">department develops a departmental information-governance plan for askSage, approved by the</w:t>
      </w:r>
      <w:r>
        <w:t xml:space="preserve"> </w:t>
      </w:r>
      <w:r>
        <w:t xml:space="preserve">Department Head. This complements individual training (Section 13): training qualifies the</w:t>
      </w:r>
      <w:r>
        <w:t xml:space="preserve"> </w:t>
      </w:r>
      <w:r>
        <w:rPr>
          <w:i/>
          <w:iCs/>
        </w:rPr>
        <w:t xml:space="preserve">user</w:t>
      </w:r>
      <w:r>
        <w:t xml:space="preserve">; the plan qualifies the</w:t>
      </w:r>
      <w:r>
        <w:t xml:space="preserve"> </w:t>
      </w:r>
      <w:r>
        <w:rPr>
          <w:i/>
          <w:iCs/>
        </w:rPr>
        <w:t xml:space="preserve">department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High-level expectations the plan reflects.</w:t>
      </w:r>
      <w:r>
        <w:t xml:space="preserve"> </w:t>
      </w:r>
      <w:r>
        <w:t xml:space="preserve">The plan is the department’s local</w:t>
      </w:r>
      <w:r>
        <w:t xml:space="preserve"> </w:t>
      </w:r>
      <w:r>
        <w:t xml:space="preserve">implementation of this instruction, grounded in industry best practice (the NIST AI Risk</w:t>
      </w:r>
      <w:r>
        <w:t xml:space="preserve"> </w:t>
      </w:r>
      <w:r>
        <w:t xml:space="preserve">Management Framework — Govern, Map, Measure, Manage) and Department practice (the DoD AI</w:t>
      </w:r>
      <w:r>
        <w:t xml:space="preserve"> </w:t>
      </w:r>
      <w:r>
        <w:t xml:space="preserve">Ethical Principles). At a minimum it addresses: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Accountability and evaluation</w:t>
      </w:r>
      <w:r>
        <w:t xml:space="preserve"> </w:t>
      </w:r>
      <w:r>
        <w:t xml:space="preserve">— the department’s accountable owner and its designated</w:t>
      </w:r>
      <w:r>
        <w:t xml:space="preserve"> </w:t>
      </w:r>
      <w:r>
        <w:t xml:space="preserve">authoritative AI content evaluator (Section 6.b).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Use cases and risk</w:t>
      </w:r>
      <w:r>
        <w:t xml:space="preserve"> </w:t>
      </w:r>
      <w:r>
        <w:t xml:space="preserve">— the department’s approved askSage use cases, each classified by risk</w:t>
      </w:r>
      <w:r>
        <w:t xml:space="preserve"> </w:t>
      </w:r>
      <w:r>
        <w:t xml:space="preserve">(Section 7.d) and entered in the command inventory (Section 8.g).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boundaries</w:t>
      </w:r>
      <w:r>
        <w:t xml:space="preserve"> </w:t>
      </w:r>
      <w:r>
        <w:t xml:space="preserve">— the authorized data its use cases touch, and the prohibited-data line</w:t>
      </w:r>
      <w:r>
        <w:t xml:space="preserve"> </w:t>
      </w:r>
      <w:r>
        <w:t xml:space="preserve">(Section 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Repository and access</w:t>
      </w:r>
      <w:r>
        <w:t xml:space="preserve"> </w:t>
      </w:r>
      <w:r>
        <w:t xml:space="preserve">— the department’s repository, what it feeds into it, and who may</w:t>
      </w:r>
      <w:r>
        <w:t xml:space="preserve"> </w:t>
      </w:r>
      <w:r>
        <w:t xml:space="preserve">access it (Section 5).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— how the department applies authoritative evaluation and structured</w:t>
      </w:r>
      <w:r>
        <w:t xml:space="preserve"> </w:t>
      </w:r>
      <w:r>
        <w:t xml:space="preserve">approval to its AI output (Section 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Monitoring and records</w:t>
      </w:r>
      <w:r>
        <w:t xml:space="preserve"> </w:t>
      </w:r>
      <w:r>
        <w:t xml:space="preserve">— how the department supports continuous monitoring (Section 9)</w:t>
      </w:r>
      <w:r>
        <w:t xml:space="preserve"> </w:t>
      </w:r>
      <w:r>
        <w:t xml:space="preserve">and meets records and retention obligations (Section 10).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Living document.</w:t>
      </w:r>
      <w:r>
        <w:t xml:space="preserve"> </w:t>
      </w:r>
      <w:r>
        <w:t xml:space="preserve">The plan is maintained as the department’s use cases change and is</w:t>
      </w:r>
      <w:r>
        <w:t xml:space="preserve"> </w:t>
      </w:r>
      <w:r>
        <w:t xml:space="preserve">reviewed alongside the use-case inventory in the governance forum (Section 8.g).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provide a one-page departmental information-governance plan template so the plans are consistent across codes.</w:t>
      </w:r>
    </w:p>
    <w:p>
      <w:r>
        <w:pict>
          <v:rect style="width:0;height:1.5pt" o:hralign="center" o:hrstd="t" o:hr="t"/>
        </w:pict>
      </w:r>
    </w:p>
    <w:bookmarkEnd w:id="28"/>
    <w:bookmarkStart w:id="29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Indexing large references once at the repository level (Section 5) and a</w:t>
      </w:r>
      <w:r>
        <w:t xml:space="preserve"> </w:t>
      </w:r>
      <w:r>
        <w:t xml:space="preserve">shared, vetted prompt library reduce waste. Develop and test agents and agentic-workflow</w:t>
      </w:r>
      <w:r>
        <w:t xml:space="preserve"> </w:t>
      </w:r>
      <w:r>
        <w:t xml:space="preserve">prompts on GenAI.mil first, then run the finished workflow on askSage, to conserve askSage</w:t>
      </w:r>
      <w:r>
        <w:t xml:space="preserve"> </w:t>
      </w:r>
      <w:r>
        <w:t xml:space="preserve">tokens (Section 2).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2026-06-20T11:05:57Z</dcterms:created>
  <dcterms:modified xsi:type="dcterms:W3CDTF">2026-06-20T11:05:57Z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