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Platform:</w:t>
      </w:r>
      <w:r>
        <w:t xml:space="preserve"> </w:t>
      </w:r>
      <w:r>
        <w:t xml:space="preserve">command-standalone</w:t>
      </w:r>
      <w:r>
        <w:t xml:space="preserve"> </w:t>
      </w:r>
      <w:r>
        <w:rPr>
          <w:b/>
          <w:bCs/>
        </w:rPr>
        <w:t xml:space="preserve">askSage</w:t>
      </w:r>
      <w:r>
        <w:t xml:space="preserve"> </w:t>
      </w:r>
      <w:r>
        <w:t xml:space="preserve">(not GenAI.mil); askSage is ATO’d at IL5</w:t>
      </w:r>
      <w:r>
        <w:t xml:space="preserve"> </w:t>
      </w:r>
      <w:r>
        <w:t xml:space="preserve">and connects to Flank Speed. Convergence to GenAI.mil stays a future option.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AI output is authoritatively evaluated by the</w:t>
      </w:r>
      <w:r>
        <w:t xml:space="preserve"> </w:t>
      </w:r>
      <w:r>
        <w:rPr>
          <w:b/>
          <w:bCs/>
        </w:rPr>
        <w:t xml:space="preserve">cognizant domain authority</w:t>
      </w:r>
      <w:r>
        <w:t xml:space="preserve"> </w:t>
      </w:r>
      <w:r>
        <w:t xml:space="preserve">(technical → CHENG chain, IT/security → CIO, business/</w:t>
      </w:r>
      <w:r>
        <w:t xml:space="preserve"> </w:t>
      </w:r>
      <w:r>
        <w:t xml:space="preserve">strategic → BSPO, and so on), and</w:t>
      </w:r>
      <w:r>
        <w:t xml:space="preserve"> </w:t>
      </w:r>
      <w:r>
        <w:rPr>
          <w:b/>
          <w:bCs/>
        </w:rPr>
        <w:t xml:space="preserve">each department designates an authoritative AI content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evaluator</w:t>
      </w:r>
      <w:r>
        <w:t xml:space="preserve">. Anything technical always routes to the CHENG chain. AI output is always a</w:t>
      </w:r>
      <w:r>
        <w:t xml:space="preserve"> </w:t>
      </w:r>
      <w:r>
        <w:t xml:space="preserve">non-authoritative 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CIO/ISSM own IT and security; CHENG</w:t>
      </w:r>
      <w:r>
        <w:t xml:space="preserve"> </w:t>
      </w:r>
      <w:r>
        <w:t xml:space="preserve">chain owns technical use; Legal concurs on records;</w:t>
      </w:r>
      <w:r>
        <w:t xml:space="preserve"> </w:t>
      </w:r>
      <w:r>
        <w:rPr>
          <w:b/>
          <w:bCs/>
        </w:rPr>
        <w:t xml:space="preserve">Department Heads are the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forum, reviewing the use-case inventory quarterly.</w:t>
      </w:r>
      <w:r>
        <w:t xml:space="preserve"> </w:t>
      </w:r>
      <w:r>
        <w:t xml:space="preserve">No new board.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scope:</w:t>
      </w:r>
      <w:r>
        <w:t xml:space="preserve"> </w:t>
      </w:r>
      <w:r>
        <w:t xml:space="preserve">digital supervision of any person; final technical/quality/contractual</w:t>
      </w:r>
      <w:r>
        <w:t xml:space="preserve"> </w:t>
      </w:r>
      <w:r>
        <w:t xml:space="preserve">authority.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Verify the reference identifiers (refs e, f, g, j) and add the command’s cognizant</w:t>
      </w:r>
      <w:r>
        <w:t xml:space="preserve"> </w:t>
      </w:r>
      <w:r>
        <w:t xml:space="preserve">cybersecurity, records-management, and security-spillage references.</w:t>
      </w:r>
    </w:p>
    <w:p>
      <w:pPr>
        <w:pStyle w:val="Compact"/>
        <w:numPr>
          <w:ilvl w:val="0"/>
          <w:numId w:val="1002"/>
        </w:numPr>
      </w:pPr>
      <w:r>
        <w:t xml:space="preserve">Record the specific askSage ATO reference and the Flank Speed 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cognizant Security Classification Guide(s) (§4.e).</w:t>
      </w:r>
    </w:p>
    <w:p>
      <w:pPr>
        <w:pStyle w:val="Compact"/>
        <w:numPr>
          <w:ilvl w:val="0"/>
          <w:numId w:val="1002"/>
        </w:numPr>
      </w:pPr>
      <w:r>
        <w:t xml:space="preserve">Assign the knowledge-base recertification owner and cadence (§5.b).</w:t>
      </w:r>
    </w:p>
    <w:p>
      <w:pPr>
        <w:pStyle w:val="Compact"/>
        <w:numPr>
          <w:ilvl w:val="0"/>
          <w:numId w:val="1002"/>
        </w:numPr>
      </w:pPr>
      <w:r>
        <w:t xml:space="preserve">Confirm the derivative-classifier screening process and name the screened</w:t>
      </w:r>
      <w:r>
        <w:t xml:space="preserve"> </w:t>
      </w:r>
      <w:r>
        <w:t xml:space="preserve">authoritative-corpus source the AI indexes from (§5.c).</w:t>
      </w:r>
    </w:p>
    <w:p>
      <w:pPr>
        <w:pStyle w:val="Compact"/>
        <w:numPr>
          <w:ilvl w:val="0"/>
          <w:numId w:val="1002"/>
        </w:numPr>
      </w:pPr>
      <w:r>
        <w:t xml:space="preserve">Complete the domain-to-authority mapping (technical → CHENG, IT → CIO, business → BSPO,</w:t>
      </w:r>
      <w:r>
        <w:t xml:space="preserve"> </w:t>
      </w:r>
      <w:r>
        <w:t xml:space="preserve">plus the rest of the organization) and confirm the engineering/QA codes and Technical</w:t>
      </w:r>
      <w:r>
        <w:t xml:space="preserve"> </w:t>
      </w:r>
      <w:r>
        <w:t xml:space="preserve">Warrant Holder assignments; each department names its authoritative AI content evaluator</w:t>
      </w:r>
      <w:r>
        <w:t xml:space="preserve"> </w:t>
      </w:r>
      <w:r>
        <w:t xml:space="preserve">(§6.a–b).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(§6.c).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t xml:space="preserve">Confirm any delegation of accountability (e.g., to the Executive Director) (§8.a).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actual spillage and records-destruction</w:t>
      </w:r>
      <w:r>
        <w:t xml:space="preserve"> </w:t>
      </w:r>
      <w:r>
        <w:t xml:space="preserve">procedures (§11.a).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29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(2025)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(g) DON CIO generative-AI / GenAI.mil guidance</w:t>
      </w:r>
      <w:r>
        <w:t xml:space="preserve"> </w:t>
      </w:r>
      <w:r>
        <w:rPr>
          <w:b/>
          <w:bCs/>
        </w:rPr>
        <w:t xml:space="preserve">[WG: insert exact memo identifiers]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1229, Emergency authorization to destroy records</w:t>
      </w:r>
      <w:r>
        <w:t xml:space="preserve"> </w:t>
      </w:r>
      <w:r>
        <w:rPr>
          <w:b/>
          <w:bCs/>
        </w:rPr>
        <w:t xml:space="preserve">[WG: verify citation; supports the spillage cleanup in para 11.a]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reference identifiers (e), (f), (g), (j) against the actual issuances, and add the command’s cognizant cybersecurity, records-management, and security-spillage references.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Explicitly out of scope (the command will not use askSage for these):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supervision.</w:t>
      </w:r>
      <w:r>
        <w:t xml:space="preserve"> </w:t>
      </w:r>
      <w:r>
        <w:t xml:space="preserve">askSage will not act as a supervisory or evaluative authority</w:t>
      </w:r>
      <w:r>
        <w:t xml:space="preserve"> </w:t>
      </w:r>
      <w:r>
        <w:t xml:space="preserve">over any person. This also keeps the command clear of Master Labor Agreement and</w:t>
      </w:r>
      <w:r>
        <w:t xml:space="preserve"> </w:t>
      </w:r>
      <w:r>
        <w:t xml:space="preserve">Status of Forces Agreement labor concerns.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Prohibited data</w:t>
      </w:r>
      <w:r>
        <w:t xml:space="preserve"> </w:t>
      </w:r>
      <w:r>
        <w:t xml:space="preserve">(Section 4): classified information, Naval Nuclear Propulsion</w:t>
      </w:r>
      <w:r>
        <w:t xml:space="preserve"> </w:t>
      </w:r>
      <w:r>
        <w:t xml:space="preserve">Information, Personally Identifiable Information, Protected Health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Final technical, quality, contractual, or disbursement authority.</w:t>
      </w:r>
      <w:r>
        <w:t xml:space="preserve"> </w:t>
      </w:r>
      <w:r>
        <w:t xml:space="preserve">AI output is</w:t>
      </w:r>
      <w:r>
        <w:t xml:space="preserve"> </w:t>
      </w:r>
      <w:r>
        <w:t xml:space="preserve">always a draft for a qualified human to adjudicate (Sections 6 and 7).</w:t>
      </w:r>
    </w:p>
    <w:p>
      <w:pPr>
        <w:pStyle w:val="BodyText"/>
      </w:pPr>
      <w:r>
        <w:rPr>
          <w:b/>
          <w:bCs/>
        </w:rPr>
        <w:t xml:space="preserve">Instance basis: the command uses askSage, not the DoD enterprise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(GenAI.mil).</w:t>
      </w:r>
      <w:r>
        <w:t xml:space="preserve"> </w:t>
      </w:r>
      <w:r>
        <w:t xml:space="preserve">askSage already provides Authority-to-Operate (ATO) functionality at</w:t>
      </w:r>
      <w:r>
        <w:t xml:space="preserve"> </w:t>
      </w:r>
      <w:r>
        <w:t xml:space="preserve">Impact Level 5 (IL5) and connects to the Navy’s Flank Speed shares, so it delivers an</w:t>
      </w:r>
      <w:r>
        <w:t xml:space="preserve"> </w:t>
      </w:r>
      <w:r>
        <w:t xml:space="preserve">accredited, integrated capability today; GenAI.mil is not yet mature enough to merit</w:t>
      </w:r>
      <w:r>
        <w:t xml:space="preserve"> </w:t>
      </w:r>
      <w:r>
        <w:t xml:space="preserve">convergence. Convergence to GenAI.mil remains a future option, and any process built in</w:t>
      </w:r>
      <w:r>
        <w:t xml:space="preserve"> </w:t>
      </w:r>
      <w:r>
        <w:t xml:space="preserve">askSage is intended to be transferable to GenAI.mil when that is warranted. The command</w:t>
      </w:r>
      <w:r>
        <w:t xml:space="preserve"> </w:t>
      </w:r>
      <w:r>
        <w:t xml:space="preserve">operates</w:t>
      </w:r>
      <w:r>
        <w:t xml:space="preserve"> </w:t>
      </w:r>
      <w:r>
        <w:rPr>
          <w:b/>
          <w:bCs/>
        </w:rPr>
        <w:t xml:space="preserve">under askSage’s IL5 ATO</w:t>
      </w:r>
      <w:r>
        <w:t xml:space="preserve"> </w:t>
      </w:r>
      <w:r>
        <w:t xml:space="preserve">and owns the governance layer — use-case approval,</w:t>
      </w:r>
      <w:r>
        <w:t xml:space="preserve"> </w:t>
      </w:r>
      <w:r>
        <w:t xml:space="preserve">data controls, monitoring configuration, and the controls in this instruction — within</w:t>
      </w:r>
      <w:r>
        <w:t xml:space="preserve"> </w:t>
      </w:r>
      <w:r>
        <w:t xml:space="preserve">the platform’s accredited capabilities.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record the specific askSage ATO reference and the Flank Speed connection authority.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Centralized, version-controlled sources.</w:t>
      </w:r>
      <w:r>
        <w:t xml:space="preserve"> </w:t>
      </w:r>
      <w:r>
        <w:t xml:space="preserve">Authoritative references the command</w:t>
      </w:r>
      <w:r>
        <w:t xml:space="preserve"> </w:t>
      </w:r>
      <w:r>
        <w:t xml:space="preserve">preloads for askSage (the JFMM, NAVSEA Standard Items, technical manuals) are centrally</w:t>
      </w:r>
      <w:r>
        <w:t xml:space="preserve"> </w:t>
      </w:r>
      <w:r>
        <w:t xml:space="preserve">indexed by the CIO/ISSM, not uploaded ad hoc by individual users. This protects accuracy</w:t>
      </w:r>
      <w:r>
        <w:t xml:space="preserve"> </w:t>
      </w:r>
      <w:r>
        <w:t xml:space="preserve">and conserves compute (Annex A).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Recertification.</w:t>
      </w:r>
      <w:r>
        <w:t xml:space="preserve"> </w:t>
      </w:r>
      <w:r>
        <w:t xml:space="preserve">A stale authoritative source is a safety hazard, not merely an</w:t>
      </w:r>
      <w:r>
        <w:t xml:space="preserve"> </w:t>
      </w:r>
      <w:r>
        <w:t xml:space="preserve">error. Indexed references are recertified on a defined cycle and upon change transmittal,</w:t>
      </w:r>
      <w:r>
        <w:t xml:space="preserve"> </w:t>
      </w:r>
      <w:r>
        <w:t xml:space="preserve">with a named owner, so the AI never reasons from a superseded version.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assign the recertification owner and cadence.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Releasability rests on the command’s existing screening, not a new AI mechanism.</w:t>
      </w:r>
      <w:r>
        <w:t xml:space="preserve"> </w:t>
      </w:r>
      <w:r>
        <w:t xml:space="preserve">SRF-JRMC already bars NOFORN material from its network share and screens all technical</w:t>
      </w:r>
      <w:r>
        <w:t xml:space="preserve"> </w:t>
      </w:r>
      <w:r>
        <w:t xml:space="preserve">direction (drawings, policy, manuals) through a derivative classifier, who redacts or</w:t>
      </w:r>
      <w:r>
        <w:t xml:space="preserve"> </w:t>
      </w:r>
      <w:r>
        <w:t xml:space="preserve">denies any unreleasable information before it reaches the share. The askSage knowledge</w:t>
      </w:r>
      <w:r>
        <w:t xml:space="preserve"> </w:t>
      </w:r>
      <w:r>
        <w:t xml:space="preserve">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that control: it shall index only from the command’s already-screened</w:t>
      </w:r>
      <w:r>
        <w:t xml:space="preserve"> </w:t>
      </w:r>
      <w:r>
        <w:t xml:space="preserve">authoritative corpus. The AI is neither a new releasability authority nor a substitute</w:t>
      </w:r>
      <w:r>
        <w:t xml:space="preserve"> </w:t>
      </w:r>
      <w:r>
        <w:t xml:space="preserve">for the derivative 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</w:t>
      </w:r>
      <w:r>
        <w:t xml:space="preserve"> </w:t>
      </w:r>
      <w:r>
        <w:t xml:space="preserve">that screening, so</w:t>
      </w:r>
      <w:r>
        <w:t xml:space="preserve"> </w:t>
      </w:r>
      <w:r>
        <w:rPr>
          <w:b/>
          <w:bCs/>
        </w:rPr>
        <w:t xml:space="preserve">ad hoc ingestion of un-screened source documents into askSage is</w:t>
      </w:r>
      <w:r>
        <w:rPr>
          <w:b/>
          <w:bCs/>
        </w:rPr>
        <w:t xml:space="preserve"> </w:t>
      </w:r>
      <w:r>
        <w:rPr>
          <w:b/>
          <w:bCs/>
        </w:rPr>
        <w:t xml:space="preserve">prohibited</w:t>
      </w:r>
      <w:r>
        <w:t xml:space="preserve"> </w:t>
      </w:r>
      <w:r>
        <w:t xml:space="preserve">— source material enters the knowledge base only after the existing</w:t>
      </w:r>
      <w:r>
        <w:t xml:space="preserve"> </w:t>
      </w:r>
      <w:r>
        <w:t xml:space="preserve">screening, through the centralized index (5.a).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confirm the screening process and name the screened authoritative-corpus source.</w:t>
      </w:r>
    </w:p>
    <w:bookmarkEnd w:id="18"/>
    <w:bookmarkStart w:id="19" w:name="X202263741ef985fbdc1a728e19fe30f81842b52"/>
    <w:p>
      <w:pPr>
        <w:pStyle w:val="Heading2"/>
      </w:pPr>
      <w:r>
        <w:t xml:space="preserve">6. Authoritative evaluation of AI output (the human-in-the-loop)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output is authoritatively evaluated by the cognizant domain authority.</w:t>
      </w:r>
      <w:r>
        <w:t xml:space="preserve"> </w:t>
      </w:r>
      <w:r>
        <w:t xml:space="preserve">No AI</w:t>
      </w:r>
      <w:r>
        <w:t xml:space="preserve"> </w:t>
      </w:r>
      <w:r>
        <w:t xml:space="preserve">output is authoritative on its own. A qualified human who owns the relevant subject matter</w:t>
      </w:r>
      <w:r>
        <w:t xml:space="preserve"> </w:t>
      </w:r>
      <w:r>
        <w:t xml:space="preserve">must evaluate AI-produced content before it is used or released, and the cognizant</w:t>
      </w:r>
      <w:r>
        <w:t xml:space="preserve"> </w:t>
      </w:r>
      <w:r>
        <w:t xml:space="preserve">authority follows the content, not the tool that produced it: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Technical content</w:t>
      </w:r>
      <w:r>
        <w:t xml:space="preserve"> </w:t>
      </w:r>
      <w:r>
        <w:t xml:space="preserve">(a weld specification, torque value, tag-out, NAVSEA Standard Item</w:t>
      </w:r>
      <w:r>
        <w:t xml:space="preserve"> </w:t>
      </w:r>
      <w:r>
        <w:t xml:space="preserve">interpretation, repair procedure): the</w:t>
      </w:r>
      <w:r>
        <w:t xml:space="preserve"> </w:t>
      </w:r>
      <w:r>
        <w:rPr>
          <w:b/>
          <w:bCs/>
        </w:rPr>
        <w:t xml:space="preserve">Chief Engineer (CHENG) and the CHENG’s chain.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Information-technology and information-security content: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Officer (CIO).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Business and strategic-planning content: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Business Strategic Planning Office</w:t>
      </w:r>
      <w:r>
        <w:rPr>
          <w:b/>
          <w:bCs/>
        </w:rPr>
        <w:t xml:space="preserve"> </w:t>
      </w:r>
      <w:r>
        <w:rPr>
          <w:b/>
          <w:bCs/>
        </w:rPr>
        <w:t xml:space="preserve">(BSPO).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Any other functional content</w:t>
      </w:r>
      <w:r>
        <w:t xml:space="preserve"> </w:t>
      </w:r>
      <w:r>
        <w:t xml:space="preserve">(for example contracts, supply, manpower, safety): the</w:t>
      </w:r>
      <w:r>
        <w:t xml:space="preserve"> </w:t>
      </w:r>
      <w:r>
        <w:t xml:space="preserve">cognizant department head or functional authority for that area.</w:t>
      </w:r>
    </w:p>
    <w:p>
      <w:pPr>
        <w:pStyle w:val="FirstParagraph"/>
      </w:pPr>
      <w:r>
        <w:t xml:space="preserve">For technical content the bar is highest: because seaworthiness and safety of life are</w:t>
      </w:r>
      <w:r>
        <w:t xml:space="preserve"> </w:t>
      </w:r>
      <w:r>
        <w:t xml:space="preserve">paramount, such output is a non-authoritative clerical draft until a qualified person in</w:t>
      </w:r>
      <w:r>
        <w:t xml:space="preserve"> </w:t>
      </w:r>
      <w:r>
        <w:t xml:space="preserve">the CHENG’s chain adjudicates it — never the general end user’s or the CIO’s call.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complete the domain-to-authority mapping for the command’s full organization, and confirm the engineering and quality-assurance codes and Technical Warrant Holder assignments.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Each department designates an authoritative AI content evaluator.</w:t>
      </w:r>
      <w:r>
        <w:t xml:space="preserve"> </w:t>
      </w:r>
      <w:r>
        <w:t xml:space="preserve">Every department</w:t>
      </w:r>
      <w:r>
        <w:t xml:space="preserve"> </w:t>
      </w:r>
      <w:r>
        <w:t xml:space="preserve">designates, in writing, a qualified person responsible for the authoritative evaluation of</w:t>
      </w:r>
      <w:r>
        <w:t xml:space="preserve"> </w:t>
      </w:r>
      <w:r>
        <w:t xml:space="preserve">AI-produced content used in that department. That evaluator performs the evaluation for</w:t>
      </w:r>
      <w:r>
        <w:t xml:space="preserve"> </w:t>
      </w:r>
      <w:r>
        <w:t xml:space="preserve">content in the department’s own domain and routes content that falls in another domain to</w:t>
      </w:r>
      <w:r>
        <w:t xml:space="preserve"> </w:t>
      </w:r>
      <w:r>
        <w:t xml:space="preserve">the cognizant authority in paragraph (a) — anything technical goes to the CHENG chain. The</w:t>
      </w:r>
      <w:r>
        <w:t xml:space="preserve"> </w:t>
      </w:r>
      <w:r>
        <w:t xml:space="preserve">designated evaluator is recorded with the department’s use cases in the inventory</w:t>
      </w:r>
      <w:r>
        <w:t xml:space="preserve"> </w:t>
      </w:r>
      <w:r>
        <w:t xml:space="preserve">(Section 8).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6.e)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delegate accountability as appropriate (for example to the Executive Director).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Own the information-technology and information-security side: platform administration,</w:t>
      </w:r>
      <w:r>
        <w:t xml:space="preserve"> </w:t>
      </w:r>
      <w:r>
        <w:t xml:space="preserve">access and identity management, the model/instance and use-case inventory, the central</w:t>
      </w:r>
      <w:r>
        <w:t xml:space="preserve"> </w:t>
      </w:r>
      <w:r>
        <w:t xml:space="preserve">knowledge-base index (Section 5),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 for their departments (CHENG concurs on</w:t>
      </w:r>
      <w:r>
        <w:t xml:space="preserve"> </w:t>
      </w:r>
      <w:r>
        <w:t xml:space="preserve">technical scope per 8.c; CIO validates platform/security),</w:t>
      </w:r>
      <w:r>
        <w:t xml:space="preserve"> </w:t>
      </w:r>
      <w:r>
        <w:rPr>
          <w:b/>
          <w:bCs/>
        </w:rPr>
        <w:t xml:space="preserve">designate the department’s</w:t>
      </w:r>
      <w:r>
        <w:rPr>
          <w:b/>
          <w:bCs/>
        </w:rPr>
        <w:t xml:space="preserve"> </w:t>
      </w:r>
      <w:r>
        <w:rPr>
          <w:b/>
          <w:bCs/>
        </w:rPr>
        <w:t xml:space="preserve">authoritative AI content evaluator (Section 6.b)</w:t>
      </w:r>
      <w:r>
        <w:t xml:space="preserve">, enforce the human-in-the-loop and</w:t>
      </w:r>
      <w:r>
        <w:t xml:space="preserve"> </w:t>
      </w:r>
      <w:r>
        <w:t xml:space="preserve">least-privilege requirements, and submit their use cases to the inventory.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6.c),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capability. Using AI does not waive any records, FOIA, or</w:t>
      </w:r>
      <w:r>
        <w:t xml:space="preserve"> </w:t>
      </w:r>
      <w:r>
        <w:t xml:space="preserve">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 (For the spillage exception</w:t>
      </w:r>
      <w:r>
        <w:t xml:space="preserve"> </w:t>
      </w:r>
      <w:r>
        <w:t xml:space="preserve">to 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This is the deliberate exception to ordinary records</w:t>
      </w:r>
      <w:r>
        <w:t xml:space="preserve"> </w:t>
      </w:r>
      <w:r>
        <w:t xml:space="preserve">retention (Section 10): a spilled classified record is not preserved as a permanent record</w:t>
      </w:r>
      <w:r>
        <w:t xml:space="preserve"> </w:t>
      </w:r>
      <w:r>
        <w:t xml:space="preserve">inside the CUI/IL5 store. Report through security channels, including the Naval Criminal</w:t>
      </w:r>
      <w:r>
        <w:t xml:space="preserve"> </w:t>
      </w:r>
      <w:r>
        <w:t xml:space="preserve">Investigative Service (NCIS) as 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security spillage procedures and records-destruction authority (ref (j)).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20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21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21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21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Centralized indexing of large references (Section 5) and a shared, vetted</w:t>
      </w:r>
      <w:r>
        <w:t xml:space="preserve"> </w:t>
      </w:r>
      <w:r>
        <w:t xml:space="preserve">prompt library reduce waste.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2026-06-19T08:20:56Z</dcterms:created>
  <dcterms:modified xsi:type="dcterms:W3CDTF">2026-06-19T08:20:56Z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