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napToGrid w:val="0"/>
      </w:pPr>
      <w:r>
        <w:t>日常办公助手</w:t>
      </w:r>
    </w:p>
    <w:p>
      <w:pPr>
        <w:snapToGrid w:val="0"/>
      </w:pPr>
      <w:r>
        <w:t>日常办公助手面向企业员工的问答、材料编写、阅读整理与工作汇报需求，以自然语言对话为入口，结合企业办公助理和专业工作流，完成从资料理解、内容组织到成果交付的处理。在配置相应文档工具后，可按要求生成和修改 Word、PPT、Excel 等文件。</w:t>
      </w:r>
    </w:p>
    <w:p>
      <w:pPr>
        <w:pStyle w:val="Heading2"/>
        <w:snapToGrid w:val="0"/>
      </w:pPr>
      <w:r>
        <w:t>功能覆盖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74"/>
        <w:gridCol w:w="4365"/>
        <w:gridCol w:w="3572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/>
                <w:sz w:val="19"/>
              </w:rPr>
              <w:t>应用功能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/>
                <w:sz w:val="19"/>
              </w:rPr>
              <w:t>处理内容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/>
                <w:sz w:val="19"/>
              </w:rPr>
              <w:t>输出成果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AI智能助手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理解办公需求，围绕授权资料答疑，整理工作事项与待办。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问题答复、任务清单及待确认事项。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文档撰写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依据主题、提纲、模板和业务素材起草通知、方案、制度等材料。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结构完整的文稿及 Word 文档。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修改与润色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根据受众和用途优化表达，检查术语、事实和行文一致性。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修订稿、版本差异及修改说明。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总结与摘要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提炼文档要点、结论、例外条款、责任人与行动事项。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摘要、重点清单及对应来源。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报告生成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汇总多份材料，按背景、进展、问题和建议组织工作报告。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周报、月报、专题报告及配套附件。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PPT辅助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形成逐页提纲、支撑内容、图表建议和讲稿，结合模板制作幻灯片。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汇报大纲、讲稿及可编辑 PPTX。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信息检索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在授权文件、已接入知识源和可用检索工具中查找并归纳信息。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注明来源与时间的检索结果。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典型办公场景</w:t>
      </w:r>
    </w:p>
    <w:p>
      <w:pPr>
        <w:snapToGrid w:val="0"/>
      </w:pPr>
      <w:r>
        <w:t>Word 文档处理用于通知、方案和制度材料的编制与修订，支持按模板组织标题、目录、编号和表格，并保留原文件与修改说明。PPT 工作汇报将报告材料转化为逐页结论、图表和讲稿，制作后检查内容完整性及版面。Excel 办公表格用于台账、预算和进度管理，处理字段设计、公式、汇总和图表。</w:t>
      </w:r>
    </w:p>
    <w:p>
      <w:pPr>
        <w:snapToGrid w:val="0"/>
      </w:pPr>
      <w:r>
        <w:t>相关辅助技能覆盖 PDF 阅读与文件整理、会议纪要与行动清单、办公邮件草拟、文档版本对比及双语翻译。扫描件读取需配置 OCR；邮件外发或写回业务系统通过授权工具执行。文件交付前核对关键事实、公式结果、图表口径与版式。</w:t>
      </w:r>
    </w:p>
    <w:p>
      <w:pPr>
        <w:pStyle w:val="Heading2"/>
        <w:pageBreakBefore/>
        <w:snapToGrid w:val="0"/>
      </w:pPr>
      <w:r>
        <w:t>办公应用界面</w:t>
      </w:r>
    </w:p>
    <w:p>
      <w:pPr>
        <w:keepNext/>
        <w:spacing w:line="240" w:lineRule="auto" w:after="8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532120" cy="4785167"/>
            <wp:docPr id="1" name="Picture 1" descr="图1  办公协同技能界面  离线渲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ffice-skill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47851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t>图1  办公协同技能界面  离线渲染</w:t>
      </w:r>
    </w:p>
    <w:p>
      <w:pPr>
        <w:keepNext/>
        <w:spacing w:line="240" w:lineRule="auto" w:after="8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532120" cy="2135818"/>
            <wp:docPr id="2" name="Picture 2" descr="图2  企业办公助理与企业经营分析师入口  离线渲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terprise-exper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21358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t>图2  企业办公助理与企业经营分析师入口  离线渲染</w:t>
      </w:r>
    </w:p>
    <w:p>
      <w:pPr>
        <w:pStyle w:val="Heading1"/>
        <w:pageBreakBefore/>
        <w:snapToGrid w:val="0"/>
      </w:pPr>
      <w:r>
        <w:t>数据分析</w:t>
      </w:r>
    </w:p>
    <w:p>
      <w:pPr>
        <w:snapToGrid w:val="0"/>
      </w:pPr>
      <w:r>
        <w:t>数据分析面向业务、经营及财务等岗位，以 Excel、CSV 和授权查询结果为基础，完成数据整理、统计计算、趋势分析与报告生成。企业经营分析师围绕业务问题明确指标口径、数据范围及比较基准，使关键结论能够追溯到原始资料和实际计算结果。</w:t>
      </w:r>
    </w:p>
    <w:p>
      <w:pPr>
        <w:pStyle w:val="Heading2"/>
        <w:snapToGrid w:val="0"/>
      </w:pPr>
      <w:r>
        <w:t>功能覆盖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color="D9D9D9"/>
          <w:left w:val="single" w:sz="5" w:color="D9D9D9"/>
          <w:bottom w:val="single" w:sz="5" w:color="D9D9D9"/>
          <w:right w:val="single" w:sz="5" w:color="D9D9D9"/>
          <w:insideH w:val="single" w:sz="5" w:color="D9D9D9"/>
          <w:insideV w:val="single" w:sz="5" w:color="D9D9D9"/>
        </w:tblBorders>
      </w:tblPr>
      <w:tblGrid>
        <w:gridCol w:w="1474"/>
        <w:gridCol w:w="4365"/>
        <w:gridCol w:w="3572"/>
      </w:tblGrid>
      <w:tr>
        <w:trPr>
          <w:cantSplit/>
          <w:tblHeader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/>
                <w:sz w:val="19"/>
              </w:rPr>
              <w:t>应用功能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/>
                <w:sz w:val="19"/>
              </w:rPr>
              <w:t>处理内容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  <w:shd w:fill="DCE6F1"/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/>
                <w:sz w:val="19"/>
              </w:rPr>
              <w:t>输出成果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Excel数据分析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识别工作表、表头、字段类型和关联键，完成清洗、合并及分组分析。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清洗表、分析工作簿及处理说明。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表格统计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按部门、产品、地区或期间汇总，计算合计、占比及差异。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指标汇总表及统计口径。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数据查询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从授权文件或已配置的只读数据库连接中获取所需数据。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结果集、查询范围和取数依据。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数据总结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归纳主要指标、数据分布和异常情况，关联实际数据来源。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指标摘要、异常清单及分析结论。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趋势分析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基于可比期间开展同比、环比及分组趋势分析。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趋势图、对比结果和变化说明。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经营数据分析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结合收入、成本、利润、目标预算等数据分析经营表现。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经营诊断、预算偏差及行动建议。</w:t>
            </w:r>
          </w:p>
        </w:tc>
      </w:tr>
      <w:tr>
        <w:trPr>
          <w:cantSplit/>
        </w:trPr>
        <w:tc>
          <w:tcPr>
            <w:tcW w:type="dxa" w:w="1474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jc w:val="center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分析报告生成</w:t>
            </w:r>
          </w:p>
        </w:tc>
        <w:tc>
          <w:tcPr>
            <w:tcW w:type="dxa" w:w="4365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在一次任务中编排查询、统计、图表和文稿生成。</w:t>
            </w:r>
          </w:p>
        </w:tc>
        <w:tc>
          <w:tcPr>
            <w:tcW w:type="dxa" w:w="3572"/>
            <w:vAlign w:val="center"/>
            <w:tcMar>
              <w:top w:w="90" w:type="dxa"/>
              <w:bottom w:w="90" w:type="dxa"/>
              <w:left w:w="100" w:type="dxa"/>
              <w:right w:w="100" w:type="dxa"/>
            </w:tcMar>
          </w:tcPr>
          <w:p>
            <w:pPr>
              <w:spacing w:after="0" w:line="280" w:lineRule="exact"/>
              <w:snapToGrid w:val="0"/>
            </w:pPr>
            <w:r>
              <w:rPr>
                <w:rFonts w:ascii="Songti SC" w:hAnsi="Songti SC" w:eastAsia="Songti SC"/>
                <w:b w:val="0"/>
                <w:sz w:val="19"/>
              </w:rPr>
              <w:t>分析报告、图表及可复算附件。</w:t>
            </w:r>
          </w:p>
        </w:tc>
      </w:tr>
    </w:tbl>
    <w:p>
      <w:pPr>
        <w:spacing w:after="20"/>
        <w:snapToGrid w:val="0"/>
      </w:pPr>
    </w:p>
    <w:p>
      <w:pPr>
        <w:pStyle w:val="Heading2"/>
        <w:snapToGrid w:val="0"/>
      </w:pPr>
      <w:r>
        <w:t>业务处理流程</w:t>
      </w:r>
    </w:p>
    <w:p>
      <w:pPr>
        <w:snapToGrid w:val="0"/>
      </w:pPr>
      <w:r>
        <w:t>首先明确分析目标、数据权限、时间窗口及指标口径，再读取文件或执行授权查询，检查重复记录、缺失值、异常单位及关联关系。清洗和计算完成后，对记录数与关键金额进行对账，形成图表、经营解释和分析报告。同比环比注明分母与比较基准，对缺失月份、未完结周期和查询截断单独说明。</w:t>
      </w:r>
    </w:p>
    <w:p>
      <w:pPr>
        <w:snapToGrid w:val="0"/>
      </w:pPr>
      <w:r>
        <w:t>复杂任务可由数据分析诊断团协作完成，分别检查数据质量与统计口径、业务指标与异常、图表与结果表达。报告保留数据来源、计算公式或查询步骤，区分已确认的变化、归因假设与预测。</w:t>
      </w:r>
    </w:p>
    <w:p>
      <w:pPr>
        <w:snapToGrid w:val="0"/>
      </w:pPr>
      <w:r>
        <w:t>文件分析可先使用授权导出的数据；数据库查询在配置连接、只读账号和业务视图后开展。ERP、OA 及其他业务系统按实际接口完成字段映射和对账。周期性报告需另行配置并验证调度、凭据及失败通知。</w:t>
      </w:r>
    </w:p>
    <w:p>
      <w:pPr>
        <w:pStyle w:val="Heading2"/>
        <w:pageBreakBefore/>
        <w:snapToGrid w:val="0"/>
      </w:pPr>
      <w:r>
        <w:t>数据分析应用界面</w:t>
      </w:r>
    </w:p>
    <w:p>
      <w:pPr>
        <w:keepNext/>
        <w:spacing w:line="240" w:lineRule="auto" w:after="8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669280" cy="3755599"/>
            <wp:docPr id="3" name="Picture 3" descr="图3  数据分析技能界面  离线渲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skill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555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t>图3  数据分析技能界面  离线渲染</w:t>
      </w:r>
    </w:p>
    <w:p>
      <w:pPr>
        <w:keepNext/>
        <w:spacing w:line="240" w:lineRule="auto" w:after="80"/>
        <w:jc w:val="center"/>
        <w:snapToGrid w:val="0"/>
      </w:pPr>
      <w:r>
        <w:drawing>
          <wp:inline xmlns:a="http://schemas.openxmlformats.org/drawingml/2006/main" xmlns:pic="http://schemas.openxmlformats.org/drawingml/2006/picture">
            <wp:extent cx="5669280" cy="2433963"/>
            <wp:docPr id="4" name="Picture 4" descr="图4  数据分析诊断团入口  离线渲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ata-team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339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  <w:snapToGrid w:val="0"/>
      </w:pPr>
      <w:r>
        <w:t>图4  数据分析诊断团入口  离线渲染</w:t>
      </w:r>
    </w:p>
    <w:sectPr w:rsidR="00FC693F" w:rsidRPr="0006063C" w:rsidSect="00034616">
      <w:pgSz w:w="11906" w:h="16838"/>
      <w:pgMar w:top="1077" w:right="1247" w:bottom="1020" w:left="1247" w:header="720" w:footer="454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20" w:lineRule="exact" w:after="100"/>
    </w:pPr>
    <w:rPr>
      <w:rFonts w:ascii="Songti SC" w:hAnsi="Songti SC" w:eastAsia="Songti SC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 w:line="264" w:lineRule="auto"/>
      <w:outlineLvl w:val="0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64" w:lineRule="auto"/>
      <w:outlineLvl w:val="1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64" w:lineRule="auto"/>
      <w:outlineLvl w:val="2"/>
    </w:pPr>
    <w:rPr>
      <w:rFonts w:asciiTheme="majorHAnsi" w:eastAsiaTheme="majorEastAsia" w:hAnsiTheme="majorHAnsi" w:cstheme="majorBidi" w:ascii="Heiti SC" w:hAnsi="Heiti SC" w:eastAsia="Hei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64" w:lineRule="auto"/>
      <w:contextualSpacing/>
    </w:pPr>
    <w:rPr>
      <w:rFonts w:asciiTheme="majorHAnsi" w:eastAsiaTheme="majorEastAsia" w:hAnsiTheme="majorHAnsi" w:cstheme="majorBidi" w:ascii="Heiti SC" w:hAnsi="Heiti SC" w:eastAsia="Heiti SC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60" w:line="264" w:lineRule="auto"/>
    </w:pPr>
    <w:rPr>
      <w:rFonts w:asciiTheme="majorHAnsi" w:eastAsiaTheme="majorEastAsia" w:hAnsiTheme="majorHAnsi" w:cstheme="majorBidi" w:ascii="Heiti SC" w:hAnsi="Heiti SC" w:eastAsia="Heiti SC"/>
      <w:b w:val="0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69" w:lineRule="auto" w:after="140"/>
    </w:pPr>
    <w:rPr>
      <w:rFonts w:ascii="Songti SC" w:hAnsi="Songti SC" w:eastAsia="Songti SC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日常办公助手与数据分析</dc:title>
  <dc:subject>投标文档应用场景补充内容</dc:subject>
  <dc:creator>ClawClaw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