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2D850">
      <w:pPr>
        <w:pStyle w:val="31"/>
        <w:snapToGrid w:val="0"/>
      </w:pPr>
      <w:r>
        <w:t>ClawClaw 日常办公助手与数据分析应用方案</w:t>
      </w:r>
    </w:p>
    <w:p w14:paraId="63E21CA3">
      <w:pPr>
        <w:pStyle w:val="26"/>
        <w:snapToGrid w:val="0"/>
      </w:pPr>
      <w:r>
        <w:t>企业大模型算力平台招投标技术响应材料</w:t>
      </w:r>
    </w:p>
    <w:p w14:paraId="4F6DF358">
      <w:pPr>
        <w:snapToGrid w:val="0"/>
      </w:pPr>
      <w:r>
        <w:t>编制日期  2026年10月21日</w:t>
      </w:r>
    </w:p>
    <w:p w14:paraId="69A26A19">
      <w:pPr>
        <w:snapToGrid w:val="0"/>
      </w:pPr>
      <w:r>
        <w:t>本方案对应《企业大模型算力平台建设需求调查表》中“主要AI应用场景”的日常办公与数据分析内容，并衔接第九节数据分析需求。建设重点是在企业授权的数据与工具范围内，将自然语言需求转化为可审阅的办公成果、可复算的分析结果和可验证的业务交付。</w:t>
      </w:r>
    </w:p>
    <w:p w14:paraId="25D61E62">
      <w:pPr>
        <w:pStyle w:val="4"/>
        <w:snapToGrid w:val="0"/>
      </w:pPr>
      <w:r>
        <w:t>建设目标</w:t>
      </w:r>
    </w:p>
    <w:p w14:paraId="7C875D1C">
      <w:pPr>
        <w:snapToGrid w:val="0"/>
      </w:pPr>
      <w:r>
        <w:t>日常办公助手面向全体员工的材料起草、修订、阅读、汇报和信息检索，减少重复整理工作；数据分析面向业务、经营及财务等岗位，围绕明确的指标口径完成查询、清洗、统计、趋势判断与报告编制。两类应用共享对话入口、专业角色、工作流技能和工具连接机制。</w:t>
      </w:r>
    </w:p>
    <w:p w14:paraId="043AAFEB">
      <w:pPr>
        <w:pStyle w:val="4"/>
        <w:snapToGrid w:val="0"/>
      </w:pPr>
      <w:r>
        <w:t>应用层与平台层的职责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762"/>
        <w:gridCol w:w="3061"/>
      </w:tblGrid>
      <w:tr w14:paraId="3E599BDA">
        <w:trPr>
          <w:cantSplit/>
          <w:tblHeader/>
          <w:jc w:val="center"/>
        </w:trPr>
        <w:tc>
          <w:tcPr>
            <w:tcW w:w="1587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2253D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/>
                <w:sz w:val="19"/>
              </w:rPr>
              <w:t>建设层次</w:t>
            </w:r>
          </w:p>
        </w:tc>
        <w:tc>
          <w:tcPr>
            <w:tcW w:w="4762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5D361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本方案的响应重点</w:t>
            </w:r>
          </w:p>
        </w:tc>
        <w:tc>
          <w:tcPr>
            <w:tcW w:w="3061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9DC3C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配套条件</w:t>
            </w:r>
          </w:p>
        </w:tc>
      </w:tr>
      <w:tr w14:paraId="2B56A99C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929C2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应用工作台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975E4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企业办公助理、企业经营分析师及数据分析诊断团；按任务组织技能。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E74F9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启用所需专家与工作流。</w:t>
            </w:r>
          </w:p>
        </w:tc>
      </w:tr>
      <w:tr w14:paraId="0D7C8131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B45DB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文档与分析工具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5A754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通过当前可用工具读取资料、处理表格、生成文件及图表。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602C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工具运行时、模板与文件权限。</w:t>
            </w:r>
          </w:p>
        </w:tc>
      </w:tr>
      <w:tr w14:paraId="6357382D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DF8C6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业务数据连接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D4AC7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采用 MCP 等连接方式使用授权数据；接入前检查连接与工具发现。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B7096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账号、网络、数据视图及接口适配。</w:t>
            </w:r>
          </w:p>
        </w:tc>
      </w:tr>
      <w:tr w14:paraId="73B0D3A3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93E7F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模型与基础平台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062BD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按建设方案配置模型服务，并验证应用端到端效果。</w:t>
            </w:r>
          </w:p>
        </w:tc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36D58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算力、模型部署、国产化适配与运维另行设计。</w:t>
            </w:r>
          </w:p>
        </w:tc>
      </w:tr>
    </w:tbl>
    <w:p w14:paraId="006C470A">
      <w:pPr>
        <w:snapToGrid w:val="0"/>
        <w:spacing w:after="20"/>
      </w:pPr>
    </w:p>
    <w:p w14:paraId="6FFE7918">
      <w:pPr>
        <w:pStyle w:val="4"/>
        <w:snapToGrid w:val="0"/>
      </w:pPr>
      <w:r>
        <w:t>响应范围与图示口径</w:t>
      </w:r>
    </w:p>
    <w:p w14:paraId="12B46DE8">
      <w:pPr>
        <w:snapToGrid w:val="0"/>
      </w:pPr>
      <w:r>
        <w:t>本方案覆盖调查表列示的七项日常办公需求及七项数据分析需求，并补充 Word、PPT、Excel、PDF、会议纪要、邮件草拟、文档对比和翻译等常见任务。以下章节给出业务流程、输出形式与建议验收用例。</w:t>
      </w:r>
    </w:p>
    <w:p w14:paraId="23E5CC4E">
      <w:pPr>
        <w:snapToGrid w:val="0"/>
      </w:pPr>
      <w:r>
        <w:t>图1至图5为2026年10月21日当前版本组件与内置目录的离线渲染截图，用于展示功能入口及配置方式；不是客户部署实测或任务执行结果截图。“可调用”表示指令入口已开放，不表示相关工具、凭据和外部系统均已配置。</w:t>
      </w:r>
    </w:p>
    <w:p w14:paraId="653535F7">
      <w:pPr>
        <w:pStyle w:val="3"/>
        <w:pageBreakBefore/>
        <w:snapToGrid w:val="0"/>
      </w:pPr>
      <w:r>
        <w:t>1 日常办公助手功能</w:t>
      </w:r>
    </w:p>
    <w:p w14:paraId="689F7103">
      <w:pPr>
        <w:snapToGrid w:val="0"/>
      </w:pPr>
      <w:r>
        <w:t>日常办公以“企业办公助理”为综合入口。用户提交目标、原始资料、受众与输出要求后，助理按任务选用相应技能，形成可审阅内容；涉及 Word、PPT、Excel 等文件时，在文件工具可用的前提下生成并校验交付物。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025"/>
        <w:gridCol w:w="3912"/>
      </w:tblGrid>
      <w:tr w14:paraId="3B38FB2F">
        <w:trPr>
          <w:cantSplit/>
          <w:tblHeader/>
          <w:jc w:val="center"/>
        </w:trPr>
        <w:tc>
          <w:tcPr>
            <w:tcW w:w="1474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11D9B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/>
                <w:sz w:val="19"/>
              </w:rPr>
              <w:t>调查表需求</w:t>
            </w:r>
          </w:p>
        </w:tc>
        <w:tc>
          <w:tcPr>
            <w:tcW w:w="4025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F52EC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业务处理方式</w:t>
            </w:r>
          </w:p>
        </w:tc>
        <w:tc>
          <w:tcPr>
            <w:tcW w:w="3912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E8F9F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交付物与核查重点</w:t>
            </w:r>
          </w:p>
        </w:tc>
      </w:tr>
      <w:tr w14:paraId="4B1D9A1C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A946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AI智能助手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E888A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围绕办公问题理解意图、整理材料与待办，按任务切换专业工作流。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80AE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问题答复、任务清单；区分事实、建议及待确认事项。</w:t>
            </w:r>
          </w:p>
        </w:tc>
      </w:tr>
      <w:tr w14:paraId="2DAD7AB6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162FE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文档撰写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4E7FF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依据提纲、模板和业务素材起草通知、方案、制度及工作材料。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91C1B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文稿或 Word 文件；核查事实、层次、模板及用语。</w:t>
            </w:r>
          </w:p>
        </w:tc>
      </w:tr>
      <w:tr w14:paraId="3ECBE243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BEA37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修改与润色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D50F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按受众和语气调整表达，检查一致性，并按要求说明修改理由。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7B00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修订稿及修改说明；涉及金额、日期和责任不得擅改。</w:t>
            </w:r>
          </w:p>
        </w:tc>
      </w:tr>
      <w:tr w14:paraId="45324B2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F9769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总结与摘要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731E0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按章节或主题提炼要点、结论、例外条款和行动事项。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4D27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摘要、要点及来源定位；核查覆盖范围和关键信息。</w:t>
            </w:r>
          </w:p>
        </w:tc>
      </w:tr>
      <w:tr w14:paraId="1ADCF86F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263B9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报告生成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A6E4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将多份材料按背景、进展、问题、建议等结构编排为报告。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77D2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周报、月报、专题报告；引用数据与来源可追溯。</w:t>
            </w:r>
          </w:p>
        </w:tc>
      </w:tr>
      <w:tr w14:paraId="0130D3AE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151FF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PPT辅助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BC3D0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将材料转化为逐页提纲、图表建议和讲稿，按模板制作幻灯片。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3E0C8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大纲、讲稿；具备工具时交付可编辑 PPTX 并检查版面。</w:t>
            </w:r>
          </w:p>
        </w:tc>
      </w:tr>
      <w:tr w14:paraId="13E501D3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377FA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信息检索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8278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从授权文件、已接入知识源或可用检索工具中查找和整理信息。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CAEFE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带来源与时间信息的检索结果；明确未覆盖范围。</w:t>
            </w:r>
          </w:p>
        </w:tc>
      </w:tr>
    </w:tbl>
    <w:p w14:paraId="552828B3">
      <w:pPr>
        <w:snapToGrid w:val="0"/>
        <w:spacing w:after="20"/>
      </w:pPr>
    </w:p>
    <w:p w14:paraId="560462BF">
      <w:pPr>
        <w:pStyle w:val="4"/>
        <w:snapToGrid w:val="0"/>
      </w:pPr>
      <w:r>
        <w:t>常用办公任务的扩展</w:t>
      </w:r>
    </w:p>
    <w:p w14:paraId="2CE38784">
      <w:pPr>
        <w:snapToGrid w:val="0"/>
      </w:pPr>
      <w:r>
        <w:t>Word 工作流处理模板、标题、目录、编号与文档修订；PPT 工作流处理汇报结构、逐页内容和讲稿；Excel 工作流处理台账、预算、进度表及公式图表。PDF 工作流用于阅读、提取、拆分合并及转换，扫描件需另具备 OCR 能力。</w:t>
      </w:r>
    </w:p>
    <w:p w14:paraId="68175C13">
      <w:pPr>
        <w:snapToGrid w:val="0"/>
      </w:pPr>
      <w:r>
        <w:t>会议纪要技能从笔记或转写文本中整理决策、分歧、责任人和截止时间；邮件技能生成通知、客户回复和催办草稿；文档对比与翻译技能用于版本差异、术语一致性和双语交付。外发邮件、发送消息或写回业务系统须使用授权工具并遵守操作确认要求。</w:t>
      </w:r>
    </w:p>
    <w:p w14:paraId="4932664A">
      <w:pPr>
        <w:pStyle w:val="4"/>
        <w:snapToGrid w:val="0"/>
      </w:pPr>
      <w:r>
        <w:t>文件交付要求</w:t>
      </w:r>
    </w:p>
    <w:p w14:paraId="4E015DAB">
      <w:pPr>
        <w:snapToGrid w:val="0"/>
      </w:pPr>
      <w:r>
        <w:t>正式文件以实际生成并可打开为准。交付前检查内容完整性、页码目录、公式及图表、表格跨页和字体版式。缺少工具时可先交付正文或制作方案，并明确尚未完成的文件步骤，不将文字大纲表述为已生成文件。</w:t>
      </w:r>
    </w:p>
    <w:p w14:paraId="0CB3F645">
      <w:pPr>
        <w:pStyle w:val="3"/>
        <w:pageBreakBefore/>
        <w:snapToGrid w:val="0"/>
      </w:pPr>
      <w:r>
        <w:t>2 日常办公技能与操作入口</w:t>
      </w:r>
    </w:p>
    <w:p w14:paraId="71CBF6E7">
      <w:pPr>
        <w:snapToGrid w:val="0"/>
      </w:pPr>
      <w:r>
        <w:t>办公技能按交付任务命名，用户可直接找到 Word、PPT、Excel 及相关辅助流程。常规技能支持自动选用和手动调用；只供其他技能读取的内部流程单独标注入口，避免将内部参考资料误判为失效技能。</w:t>
      </w:r>
    </w:p>
    <w:p w14:paraId="0F2DF38E">
      <w:pPr>
        <w:keepNext/>
        <w:snapToGrid w:val="0"/>
        <w:spacing w:after="80" w:line="240" w:lineRule="auto"/>
        <w:jc w:val="center"/>
      </w:pPr>
      <w:r>
        <w:drawing>
          <wp:inline distT="0" distB="0" distL="114300" distR="114300">
            <wp:extent cx="5897880" cy="5100955"/>
            <wp:effectExtent l="0" t="0" r="20320" b="4445"/>
            <wp:docPr id="1" name="Picture 1" descr="图1  办公协同技能目录局部  展示八类常用办公工作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 办公协同技能目录局部  展示八类常用办公工作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0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0755">
      <w:pPr>
        <w:pStyle w:val="15"/>
        <w:snapToGrid w:val="0"/>
        <w:jc w:val="center"/>
      </w:pPr>
      <w:r>
        <w:t>图1  办公协同技能目录局部  展示八类常用办公工作流</w:t>
      </w:r>
    </w:p>
    <w:p w14:paraId="36B5AFCD">
      <w:pPr>
        <w:pStyle w:val="4"/>
        <w:snapToGrid w:val="0"/>
      </w:pPr>
      <w:r>
        <w:t>推荐使用流程</w:t>
      </w:r>
    </w:p>
    <w:p w14:paraId="0D1000F4">
      <w:pPr>
        <w:snapToGrid w:val="0"/>
      </w:pPr>
      <w:r>
        <w:t>先在对话中说明目标、受众和交付格式，并提供有权使用的素材；再选择企业办公助理或对应技能。文件工具可用时生成目标文件，完成内容与版式检查后交付。对需要补充的事实、缺失附件或不可访问的资料，保留明确的问题清单。</w:t>
      </w:r>
    </w:p>
    <w:p w14:paraId="598A9F7A">
      <w:pPr>
        <w:snapToGrid w:val="0"/>
      </w:pPr>
      <w:r>
        <w:t>示例任务：根据项目周报和会议纪要，形成一份供管理层审阅的 Word 工作报告，同时整理八页汇报 PPT 的大纲与讲稿。关键数字注明来源，缺失结论列为待确认。</w:t>
      </w:r>
    </w:p>
    <w:p w14:paraId="5BB97610">
      <w:pPr>
        <w:pStyle w:val="3"/>
        <w:pageBreakBefore/>
        <w:snapToGrid w:val="0"/>
      </w:pPr>
      <w:r>
        <w:t>3 典型办公任务与专家分工</w:t>
      </w:r>
    </w:p>
    <w:p w14:paraId="51006BEF">
      <w:pPr>
        <w:keepNext/>
        <w:snapToGrid w:val="0"/>
        <w:spacing w:after="80" w:line="240" w:lineRule="auto"/>
        <w:jc w:val="center"/>
      </w:pPr>
      <w:r>
        <w:drawing>
          <wp:inline distT="0" distB="0" distL="114300" distR="114300">
            <wp:extent cx="5897880" cy="2276475"/>
            <wp:effectExtent l="0" t="0" r="0" b="0"/>
            <wp:docPr id="2" name="Picture 2" descr="图2  企业办公助理与企业经营分析师入口  截图展示未启用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 企业办公助理与企业经营分析师入口  截图展示未启用状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BD51">
      <w:pPr>
        <w:pStyle w:val="15"/>
        <w:snapToGrid w:val="0"/>
        <w:jc w:val="center"/>
      </w:pPr>
      <w:r>
        <w:t>图2  企业办公助理与企业经营分析师入口</w:t>
      </w:r>
    </w:p>
    <w:p w14:paraId="6E45FC73">
      <w:pPr>
        <w:pStyle w:val="4"/>
        <w:snapToGrid w:val="0"/>
      </w:pPr>
      <w:r>
        <w:t>Word 方案与制度材料</w:t>
      </w:r>
    </w:p>
    <w:p w14:paraId="02AE27EF">
      <w:pPr>
        <w:snapToGrid w:val="0"/>
      </w:pPr>
      <w:r>
        <w:t>业务人员提供现行模板、原始材料和修订要求，由企业办公助理整理章节结构、补齐逻辑衔接，并通过 Word 工作流处理正文、标题与表格。涉及既有制度时，保留原文件，交付修订稿及差异说明。验收时核查关键事实、条款含义与版本是否一致，必要时检查可见修订记录。</w:t>
      </w:r>
    </w:p>
    <w:p w14:paraId="247992BD">
      <w:pPr>
        <w:pStyle w:val="4"/>
        <w:snapToGrid w:val="0"/>
      </w:pPr>
      <w:r>
        <w:t>PPT 工作汇报与讲稿</w:t>
      </w:r>
    </w:p>
    <w:p w14:paraId="2D26CB6C">
      <w:pPr>
        <w:snapToGrid w:val="0"/>
      </w:pPr>
      <w:r>
        <w:t>将工作报告或经营材料转化为逐页结论、支撑证据、图表建议和讲稿，再结合可用制作工具生成可编辑 PPTX。涉及图表的数据应来自原始材料或实际计算，不能根据描述编造。验收时逐页检查标题与正文关系、图表口径、溢出遮挡、字体替换及讲稿匹配情况。</w:t>
      </w:r>
    </w:p>
    <w:p w14:paraId="1BBC5BE5">
      <w:pPr>
        <w:pStyle w:val="4"/>
        <w:snapToGrid w:val="0"/>
      </w:pPr>
      <w:r>
        <w:t>Excel 台账与办公表格</w:t>
      </w:r>
    </w:p>
    <w:p w14:paraId="23710C84">
      <w:pPr>
        <w:snapToGrid w:val="0"/>
      </w:pPr>
      <w:r>
        <w:t>根据台账、预算或进度管理需求设计字段、计算公式、汇总与图表。对既有工作簿先确认工作表、表头、单位与公式，再开展清洗或调整，避免破坏既有引用。交付工作簿及变更说明；验收时对合计、筛选范围、公式结果和导出显示进行复核。</w:t>
      </w:r>
    </w:p>
    <w:p w14:paraId="60788094">
      <w:pPr>
        <w:pStyle w:val="4"/>
        <w:snapToGrid w:val="0"/>
      </w:pPr>
      <w:r>
        <w:t>专业角色如何配合</w:t>
      </w:r>
    </w:p>
    <w:p w14:paraId="238E82DE">
      <w:pPr>
        <w:snapToGrid w:val="0"/>
      </w:pPr>
      <w:r>
        <w:t>企业办公助理负责文稿与文件组织；企业经营分析师负责指标口径、计算与业务解释。经营汇报类任务宜先确认数据结果，再组织 Word 报告和 PPT 表达，避免先写结论再补数字。专家启用前检查必需技能；可选数据连接不可用时，使用已授权导出的文件处理。</w:t>
      </w:r>
    </w:p>
    <w:p w14:paraId="08D6DF02">
      <w:pPr>
        <w:pStyle w:val="3"/>
        <w:pageBreakBefore/>
        <w:snapToGrid w:val="0"/>
      </w:pPr>
      <w:r>
        <w:t>4 数据分析功能</w:t>
      </w:r>
    </w:p>
    <w:p w14:paraId="51041238">
      <w:pPr>
        <w:snapToGrid w:val="0"/>
      </w:pPr>
      <w:r>
        <w:t>数据分析以 Excel、CSV 及授权查询结果为基础，围绕业务问题建立数据范围、指标口径和比较基准。企业经营分析师组织清洗、计算与解释；复杂复核任务可由数据分析诊断团分别检查数据质量、业务异常及图表表达。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025"/>
        <w:gridCol w:w="3912"/>
      </w:tblGrid>
      <w:tr w14:paraId="06AED2EF">
        <w:trPr>
          <w:cantSplit/>
          <w:tblHeader/>
          <w:jc w:val="center"/>
        </w:trPr>
        <w:tc>
          <w:tcPr>
            <w:tcW w:w="1474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CC5C8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/>
                <w:sz w:val="19"/>
              </w:rPr>
              <w:t>调查表需求</w:t>
            </w:r>
          </w:p>
        </w:tc>
        <w:tc>
          <w:tcPr>
            <w:tcW w:w="4025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F3DA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业务处理方式</w:t>
            </w:r>
          </w:p>
        </w:tc>
        <w:tc>
          <w:tcPr>
            <w:tcW w:w="3912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D39A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交付物与核查重点</w:t>
            </w:r>
          </w:p>
        </w:tc>
      </w:tr>
      <w:tr w14:paraId="56AD3038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076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Excel数据分析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D96DE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识别工作表、表头、字段类型与关联键，按要求清洗和分组分析。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F57A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清洗表与分析工作簿；核查行数、关联基数及公式缓存。</w:t>
            </w:r>
          </w:p>
        </w:tc>
      </w:tr>
      <w:tr w14:paraId="116BA997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647D5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表格统计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65536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按部门、产品、地区或期间聚合，计算合计、占比与差异。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468EF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汇总表；明确分母、币种、单位及汇总口径。</w:t>
            </w:r>
          </w:p>
        </w:tc>
      </w:tr>
      <w:tr w14:paraId="6E8B217E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C71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数据查询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3DF29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查询授权文件或通过只读数据库连接获取所需字段和范围。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FBD7B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结果集及查询依据；校验权限、行数限制、超时与截断。</w:t>
            </w:r>
          </w:p>
        </w:tc>
      </w:tr>
      <w:tr w14:paraId="04F0E60C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4D5DD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数据总结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9881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归纳主要指标、分布及异常，关联实际数据来源。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EE70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指标摘要与问题清单；关键数字可复算。</w:t>
            </w:r>
          </w:p>
        </w:tc>
      </w:tr>
      <w:tr w14:paraId="5E7A6AFA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E925F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趋势分析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99BBB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基于可比期间进行同比、环比与分组趋势分析。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53FF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趋势图及说明；检查缺失月份、未完结周期和零分母。</w:t>
            </w:r>
          </w:p>
        </w:tc>
      </w:tr>
      <w:tr w14:paraId="30A7ED18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C78DA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经营数据分析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7CFB9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结合收入、成本、利润、目标预算及业务维度分析经营变化。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358CD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经营诊断与建议；区分观察、归因假设和预测。</w:t>
            </w:r>
          </w:p>
        </w:tc>
      </w:tr>
      <w:tr w14:paraId="6B9A7154">
        <w:trPr>
          <w:cantSplit/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34F5C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自动生成分析报告</w:t>
            </w:r>
          </w:p>
        </w:tc>
        <w:tc>
          <w:tcPr>
            <w:tcW w:w="4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03F83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在一次任务中编排查询、统计、图表和文稿生成。</w:t>
            </w:r>
          </w:p>
        </w:tc>
        <w:tc>
          <w:tcPr>
            <w:tcW w:w="3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84277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分析报告及附件；定时执行另配调度和失败恢复。</w:t>
            </w:r>
          </w:p>
        </w:tc>
      </w:tr>
    </w:tbl>
    <w:p w14:paraId="1040235C">
      <w:pPr>
        <w:snapToGrid w:val="0"/>
        <w:spacing w:after="20"/>
      </w:pPr>
    </w:p>
    <w:p w14:paraId="2F5ED61D">
      <w:pPr>
        <w:pStyle w:val="4"/>
        <w:snapToGrid w:val="0"/>
      </w:pPr>
      <w:r>
        <w:t>数据来源与接入方式</w:t>
      </w:r>
    </w:p>
    <w:p w14:paraId="118FD41A">
      <w:pPr>
        <w:snapToGrid w:val="0"/>
      </w:pPr>
      <w:r>
        <w:t>文件阶段可使用经授权导出的 Excel、CSV 等资料；数据库阶段通过已配置连接器与只读视图取数。当前内置目录包含 PostgreSQL 连接器。ERP、OA、其他数据库以及专用财务或生产系统，应分别确认接口、字段映射、授权范围与对账方法，不能由连接器名称或能力别名推定已经兼容。</w:t>
      </w:r>
    </w:p>
    <w:p w14:paraId="4BE4B71A">
      <w:pPr>
        <w:pStyle w:val="4"/>
        <w:snapToGrid w:val="0"/>
      </w:pPr>
      <w:r>
        <w:t>分析中的质量控制</w:t>
      </w:r>
    </w:p>
    <w:p w14:paraId="112D27AD">
      <w:pPr>
        <w:snapToGrid w:val="0"/>
      </w:pPr>
      <w:r>
        <w:t>处理前检查重复记录、缺失值、时间范围、异常单位与关联关系；处理后核对记录数和关键金额。同比环比使用可比口径，对分母为零、期间不完整或数据被截断等情况单独说明。分析建议需给出依据，相关关系不直接写成因果结论。</w:t>
      </w:r>
    </w:p>
    <w:p w14:paraId="795384A1">
      <w:pPr>
        <w:pStyle w:val="3"/>
        <w:pageBreakBefore/>
        <w:snapToGrid w:val="0"/>
      </w:pPr>
      <w:r>
        <w:t>5 数据分析流程与可追溯交付</w:t>
      </w:r>
    </w:p>
    <w:p w14:paraId="41BD5EC7">
      <w:pPr>
        <w:keepNext/>
        <w:snapToGrid w:val="0"/>
        <w:spacing w:after="80" w:line="240" w:lineRule="auto"/>
        <w:jc w:val="center"/>
      </w:pPr>
      <w:r>
        <w:drawing>
          <wp:inline distT="0" distB="0" distL="114300" distR="114300">
            <wp:extent cx="5897880" cy="3906520"/>
            <wp:effectExtent l="0" t="0" r="0" b="0"/>
            <wp:docPr id="3" name="Picture 3" descr="图3  数据分析技能目录  包含统计 图表 经营分析与授权查询工作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 数据分析技能目录  包含统计 图表 经营分析与授权查询工作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0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1BE4">
      <w:pPr>
        <w:pStyle w:val="15"/>
        <w:snapToGrid w:val="0"/>
        <w:jc w:val="center"/>
      </w:pPr>
      <w:r>
        <w:t>图3  数据分析技能目录  包含统计 图表 经营分析与授权查询工作流</w:t>
      </w:r>
    </w:p>
    <w:p w14:paraId="1F41D31B">
      <w:pPr>
        <w:pStyle w:val="4"/>
        <w:snapToGrid w:val="0"/>
      </w:pPr>
      <w:r>
        <w:t>从数据到报告的处理流程</w:t>
      </w:r>
    </w:p>
    <w:p w14:paraId="5138B5EB">
      <w:pPr>
        <w:snapToGrid w:val="0"/>
      </w:pPr>
      <w:r>
        <w:t>首先确认业务问题、数据权限、时间窗口和指标口径；随后读取文件或执行授权查询，保留原始数据并检查质量。完成清洗和实际计算后，对汇总结果进行对账，再形成趋势图表、经营解释和报告。工具不可用、数据缺失或计算未执行时，交付待处理项或查询计划，不生成未经计算的数值结论。</w:t>
      </w:r>
    </w:p>
    <w:p w14:paraId="26B09808">
      <w:pPr>
        <w:pStyle w:val="4"/>
        <w:snapToGrid w:val="0"/>
      </w:pPr>
      <w:r>
        <w:t>交付材料应保留的依据</w:t>
      </w:r>
    </w:p>
    <w:p w14:paraId="4D80E890">
      <w:pPr>
        <w:snapToGrid w:val="0"/>
        <w:rPr>
          <w:rFonts w:hint="eastAsia" w:eastAsia="Songti SC"/>
          <w:lang w:val="en-US" w:eastAsia="zh-CN"/>
        </w:rPr>
      </w:pPr>
      <w:r>
        <w:t>分析报告列明主要结论、数据覆盖范围、异常和限制；结果附件保留汇总表及必要的图表；计算说明保留关键公式、查询或处理步骤；来源说明记录文件、工作表、查询范围及取数时间。敏感信息按授权范围展示，明细附件与汇总报告分别控制访问。</w:t>
      </w:r>
    </w:p>
    <w:p w14:paraId="565A3FF6">
      <w:pPr>
        <w:snapToGrid w:val="0"/>
      </w:pPr>
      <w:r>
        <w:t>示例任务：合并十二个月的部门经营台账，核对收入与成本合计，计算可比期间同比及预算偏差，标注缺失月份和口径变化，生成管理层月度经营分析报告及可复算汇总附件。</w:t>
      </w:r>
    </w:p>
    <w:p w14:paraId="0E4B55E6">
      <w:pPr>
        <w:pStyle w:val="3"/>
        <w:pageBreakBefore/>
        <w:snapToGrid w:val="0"/>
      </w:pPr>
      <w:r>
        <w:t>6 专家团与数据连接</w:t>
      </w:r>
    </w:p>
    <w:p w14:paraId="284F899A">
      <w:pPr>
        <w:snapToGrid w:val="0"/>
      </w:pPr>
      <w:r>
        <w:t>专家定义业务职责，技能定义处理步骤，MCP 连接器提供实际工具与数据通道。专家团汇总成员所需能力，在选择和执行前检查必需技能、连接状态、凭据及工具发现结果。必需能力缺失时阻止启动；可选连接缺失时明确可采用的降级路径。</w:t>
      </w:r>
    </w:p>
    <w:p w14:paraId="12C9D721">
      <w:pPr>
        <w:keepNext/>
        <w:snapToGrid w:val="0"/>
        <w:spacing w:after="80" w:line="240" w:lineRule="auto"/>
        <w:jc w:val="center"/>
      </w:pPr>
      <w:r>
        <w:drawing>
          <wp:inline distT="0" distB="0" distL="114300" distR="114300">
            <wp:extent cx="5623560" cy="2414270"/>
            <wp:effectExtent l="0" t="0" r="0" b="0"/>
            <wp:docPr id="4" name="Picture 4" descr="图4  数据分析诊断团入口  组织数据质量 业务分析与图表表达职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 数据分析诊断团入口  组织数据质量 业务分析与图表表达职责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CFFB">
      <w:pPr>
        <w:pStyle w:val="15"/>
        <w:snapToGrid w:val="0"/>
        <w:jc w:val="center"/>
      </w:pPr>
      <w:r>
        <w:t>图4  数据分析诊断团入口  组织数据质量 业务分析与图表表达职责</w:t>
      </w:r>
    </w:p>
    <w:p w14:paraId="3C19CD4F">
      <w:pPr>
        <w:snapToGrid w:val="0"/>
      </w:pPr>
      <w:r>
        <w:t>数据工程角色核查质量与口径，分析报告角色解释指标和异常，可视化角色提出图表方案。团队输出仍需由业务负责人核对，跨角色意见应与同一份数据口径对应。</w:t>
      </w:r>
    </w:p>
    <w:p w14:paraId="128F4975">
      <w:pPr>
        <w:keepNext/>
        <w:snapToGrid w:val="0"/>
        <w:spacing w:after="80" w:line="240" w:lineRule="auto"/>
        <w:jc w:val="center"/>
      </w:pPr>
      <w:r>
        <w:drawing>
          <wp:inline distT="0" distB="0" distL="114300" distR="114300">
            <wp:extent cx="5623560" cy="2775585"/>
            <wp:effectExtent l="0" t="0" r="0" b="0"/>
            <wp:docPr id="5" name="Picture 5" descr="图5  PostgreSQL 连接器目录项  图示不代表数据库已安装或连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 PostgreSQL 连接器目录项  图示不代表数据库已安装或连通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7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AC27">
      <w:pPr>
        <w:pStyle w:val="15"/>
        <w:snapToGrid w:val="0"/>
        <w:jc w:val="center"/>
      </w:pPr>
      <w:r>
        <w:t>图5  PostgreSQL 连接器</w:t>
      </w:r>
    </w:p>
    <w:p w14:paraId="7D92DC74">
      <w:pPr>
        <w:snapToGrid w:val="0"/>
      </w:pPr>
      <w:r>
        <w:t>接入前配置运行环境、只读账号、网络及业务视图；连接后发现实际工具，再验证查询与权限。无法直接连接 ERP/OA 时，先使用授权导出文件开展分析。连接成功只说明通道具备条件，不替代业务数据正确性验收。</w:t>
      </w:r>
    </w:p>
    <w:p w14:paraId="58771958">
      <w:pPr>
        <w:pStyle w:val="3"/>
        <w:pageBreakBefore/>
        <w:snapToGrid w:val="0"/>
      </w:pPr>
      <w:r>
        <w:t>7 实施安排与验收要求</w:t>
      </w:r>
    </w:p>
    <w:p w14:paraId="5B8728CB">
      <w:pPr>
        <w:pStyle w:val="4"/>
        <w:snapToGrid w:val="0"/>
      </w:pPr>
      <w:r>
        <w:t>分阶段实施</w:t>
      </w:r>
    </w:p>
    <w:p w14:paraId="70AAB54F">
      <w:pPr>
        <w:snapToGrid w:val="0"/>
      </w:pPr>
      <w:r>
        <w:t>第一阶段以授权样本文件验证办公与分析任务，确认模板、工具和输出口径；第二阶段接入只读数据库或企业接口，验证字段映射、权限与源系统对账；第三阶段在目标部署环境进行并发、稳定性、故障恢复及运维验收。定时报告在单次任务稳定后单独验证调度、重复运行和失败通知。</w:t>
      </w:r>
    </w:p>
    <w:p w14:paraId="2DE91788">
      <w:pPr>
        <w:pStyle w:val="4"/>
        <w:snapToGrid w:val="0"/>
      </w:pPr>
      <w:r>
        <w:t>建议验收用例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685"/>
        <w:gridCol w:w="4139"/>
      </w:tblGrid>
      <w:tr w14:paraId="689D0BC0">
        <w:trPr>
          <w:cantSplit/>
          <w:tblHeader/>
          <w:jc w:val="center"/>
        </w:trPr>
        <w:tc>
          <w:tcPr>
            <w:tcW w:w="1587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9493E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/>
                <w:sz w:val="19"/>
              </w:rPr>
              <w:t>验收项</w:t>
            </w:r>
          </w:p>
        </w:tc>
        <w:tc>
          <w:tcPr>
            <w:tcW w:w="3685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85FEA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输入与操作</w:t>
            </w:r>
          </w:p>
        </w:tc>
        <w:tc>
          <w:tcPr>
            <w:tcW w:w="4139" w:type="dxa"/>
            <w:shd w:val="clear" w:color="auto" w:fill="DCE6F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2078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/>
                <w:sz w:val="19"/>
              </w:rPr>
              <w:t>通过依据</w:t>
            </w:r>
          </w:p>
        </w:tc>
      </w:tr>
      <w:tr w14:paraId="448161EF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8653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文稿与修订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0141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提供一份通知或方案及明确修改要求。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6EC0A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事实与语义无误；保留原稿并交付修改说明。</w:t>
            </w:r>
          </w:p>
        </w:tc>
      </w:tr>
      <w:tr w14:paraId="05FF199C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016EE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文档摘要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01907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提供含表格和例外条款的多页材料。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8CB34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要点覆盖完整；重要结论能定位至来源。</w:t>
            </w:r>
          </w:p>
        </w:tc>
      </w:tr>
      <w:tr w14:paraId="4F073B1F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66FFB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Word与PPT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45F67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按给定模板形成报告和汇报文件。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4C794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文件可打开；结构完整；逐页无明显版式缺陷。</w:t>
            </w:r>
          </w:p>
        </w:tc>
      </w:tr>
      <w:tr w14:paraId="2ABDF998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AB15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Excel统计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7DE2A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提供多表样本及可核对的控制合计。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1AE08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行数、金额及公式与独立复算一致。</w:t>
            </w:r>
          </w:p>
        </w:tc>
      </w:tr>
      <w:tr w14:paraId="48C70F2A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C3934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趋势与经营分析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613E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提供可比期间和目标预算数据。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8EC7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同比环比及偏差可复算；异常口径明确。</w:t>
            </w:r>
          </w:p>
        </w:tc>
      </w:tr>
      <w:tr w14:paraId="103DED48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5488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数据查询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80C85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使用客户只读视图及不同权限账号。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84DBD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结果与源系统一致；越权拒绝；截断有说明。</w:t>
            </w:r>
          </w:p>
        </w:tc>
      </w:tr>
      <w:tr w14:paraId="5B3F2BE8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82983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组合可用性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3B289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停用必需技能或断开必需连接后重试。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67389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明确阻止启动；可选缺口提示降级方式。</w:t>
            </w:r>
          </w:p>
        </w:tc>
      </w:tr>
      <w:tr w14:paraId="6055B3BE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65FE1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分析报告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9D61B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完成一次从取数至报告的完整任务。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22E81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结论、图表、数据范围及计算依据相互一致。</w:t>
            </w:r>
          </w:p>
        </w:tc>
      </w:tr>
      <w:tr w14:paraId="678C0A10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01D73">
            <w:pPr>
              <w:snapToGrid w:val="0"/>
              <w:spacing w:after="0" w:line="280" w:lineRule="exact"/>
              <w:jc w:val="center"/>
            </w:pPr>
            <w:r>
              <w:rPr>
                <w:rFonts w:ascii="Songti SC" w:hAnsi="Songti SC" w:eastAsia="Songti SC"/>
                <w:b w:val="0"/>
                <w:sz w:val="19"/>
              </w:rPr>
              <w:t>定时与负载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4274E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在目标环境重复执行并注入故障。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151A2">
            <w:pPr>
              <w:snapToGrid w:val="0"/>
              <w:spacing w:after="0" w:line="280" w:lineRule="exact"/>
            </w:pPr>
            <w:r>
              <w:rPr>
                <w:rFonts w:ascii="Songti SC" w:hAnsi="Songti SC" w:eastAsia="Songti SC"/>
                <w:b w:val="0"/>
                <w:sz w:val="19"/>
              </w:rPr>
              <w:t>按约定指标记录成功、失败、通知与恢复结果。</w:t>
            </w:r>
          </w:p>
        </w:tc>
      </w:tr>
    </w:tbl>
    <w:p w14:paraId="1A0B636F">
      <w:pPr>
        <w:snapToGrid w:val="0"/>
        <w:spacing w:after="20"/>
      </w:pPr>
    </w:p>
    <w:p w14:paraId="4A7DC099">
      <w:pPr>
        <w:pStyle w:val="4"/>
        <w:snapToGrid w:val="0"/>
      </w:pPr>
      <w:r>
        <w:t>规模与国产化实施条件</w:t>
      </w:r>
      <w:bookmarkStart w:id="0" w:name="_GoBack"/>
      <w:bookmarkEnd w:id="0"/>
    </w:p>
    <w:p w14:paraId="040157A4">
      <w:pPr>
        <w:snapToGrid w:val="0"/>
      </w:pPr>
      <w:r>
        <w:t>调查表提出约1000人使用、私有化和全国产化要求。注册或授权人数不等于同时在线并发量；算力选型需结合模型规模、上下文长度、文件大小、日活及实际峰值任务压测确定。目标操作系统、国产处理器及加速卡、数据库、Office工具和离线依赖须逐项验证，不以桌面界面或技能数量替代兼容性证明。</w:t>
      </w:r>
    </w:p>
    <w:p w14:paraId="45C9AA9E">
      <w:pPr>
        <w:snapToGrid w:val="0"/>
      </w:pPr>
      <w:r>
        <w:t>身份认证、租户与行列权限、日志审计、数据保留、备份及无外传要求，由应用、模型与基础平台共同落实并验收。外部 SaaS 连接器的目录展示不表示已纳入私有化交付；是否启用及访问边界应按项目要求确定。</w:t>
      </w:r>
    </w:p>
    <w:p w14:paraId="1F9B6424">
      <w:pPr>
        <w:snapToGrid w:val="0"/>
      </w:pPr>
      <w:r>
        <w:t>验收指标中的响应时间、并发量、稳定运行时长和任务成功率，应以双方确认的业务样本与目标环境测试结果为依据，形成可复现记录。</w:t>
      </w:r>
    </w:p>
    <w:sectPr>
      <w:footerReference r:id="rId5" w:type="default"/>
      <w:pgSz w:w="11906" w:h="16838"/>
      <w:pgMar w:top="1077" w:right="1247" w:bottom="1020" w:left="1247" w:header="720" w:footer="4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F2E83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9EBA42"/>
    <w:rsid w:val="FFD4C6E5"/>
    <w:rsid w:val="FFFD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0" w:lineRule="exact"/>
    </w:pPr>
    <w:rPr>
      <w:rFonts w:ascii="Songti SC" w:hAnsi="Songti SC" w:eastAsia="Songti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64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264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69" w:lineRule="auto"/>
    </w:pPr>
    <w:rPr>
      <w:rFonts w:ascii="Songti SC" w:hAnsi="Songti SC" w:eastAsia="Songti SC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60" w:line="264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240" w:line="264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ClawClaw</dc:creator>
  <dc:description>generated by python-docx</dc:description>
  <cp:keywords>日常办公 数据分析 招投标 技术方案</cp:keywords>
  <cp:lastModifiedBy>冬来</cp:lastModifiedBy>
  <dcterms:modified xsi:type="dcterms:W3CDTF">2026-10-21T11:41:38Z</dcterms:modified>
  <dc:subject>企业大模型算力平台主要AI应用场景技术响应</dc:subject>
  <dc:title>ClawClaw日常办公助手与数据分析应用方案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1DD5E7B2FEFAB6B79333D86A8F875ABE_42</vt:lpwstr>
  </property>
</Properties>
</file>