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Architecture &amp; Framework Review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outlines an architectural review of the framework, highlighting areas for optimization, technical debt reduction, and logic enhancements. The system demonstrates a highly disciplined engineering effort with strict adherence to Clean Architecture principles, an async-first design, and a layered approach to observability.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1. Architecture &amp; Design Patterns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Current State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Recommended Optimization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Adapter Consolidation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Maintains 12 distinct LLM adapters (Anthropic, OpenAI, Groq, Cohere, etc.).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Integrate a unified proxy layer like LiteLLM to handle cloud providers via an OpenAI-compatible interface, reducing technical debt. Maintain only local adapters like ollama_worker.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Semantic Routing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Orchestrator scores workers by string splitting and keyword matching on task intents.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Leverage the existing OllamaEmbedder for semantic matching (cosine similarity) between task intent and capabilities to ensure robust and resilient routing.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Global Mutable State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Global state utilized for the command registry and trace emitter.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a lightweight Dependency Injection (DI) framework (e.g., Dependency Injector) to safely define application-level singletons without breaking Clean Architecture.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2. System Intelligence &amp; Resource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Dynamic Vector Sizing: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QdrantBackend assumes a hardcoded vector size of 768. If the embedder is swapped from nomic-embed-text to an alternative with larger dimensions, storage operations will fail. The vector size should be dynamically retrieved from the embedder's configuration or inferred from a dummy embedding generated during initialization.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Container-Aware RAM Profiling: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SystemProfiler uses psutil to detect available RAM. If this framework is deployed inside a Docker container, psutil reports the host machine's total RAM rather than the container's allocated limit. Reading /sys/fs/cgroup/memory/memory.limit_in_bytes provides accurate resource constraints.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KV Cache Budgeting: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LoadedModel schema currently tracks vram_used_gb based on model weights. However, LLM context windows dynamically consume additional VRAM. The can_load method requires a buffer calculation for the expected context window size to prevent CUDA Out-Of-Memory (OOM) crashes mid-generation.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Anti-Thrashing Measures: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ResourceManager uses idle time and task priority to queue evictions. In scenarios with concurrent tasks requesting different models, the system risks entering a "thrashing" state. Implementing a minimum Time-To-Live (TTL) or cooldown period for freshly loaded models will stabilize the system.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3. Hardware &amp; Model Optimization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 Registry Seed Data: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Ensure seed data is strictly standardized around the highly capable Qwen 2.5 7B (Q4_K_M) variant. Seeding larger models, like a 14B parameter version, guarantees heavy spillover into system RAM on standard VRAM allocations, critically crippling tokens-per-second output. Standardizing strictly on the 7B (Q4_K_M) model ensures it defaults to fitting comfortably within local hardware constraints.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