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BA43D8" w14:textId="77777777" w:rsidR="00D44E73" w:rsidRDefault="00D44E73">
      <w:pPr>
        <w:spacing w:before="2400"/>
      </w:pPr>
    </w:p>
    <w:p w14:paraId="13C9AC3C" w14:textId="77777777" w:rsidR="00D44E73" w:rsidRDefault="00C65EF1">
      <w:pPr>
        <w:spacing w:after="60"/>
        <w:jc w:val="center"/>
      </w:pPr>
      <w:r>
        <w:rPr>
          <w:b/>
          <w:bCs/>
          <w:caps/>
          <w:color w:val="0891B2"/>
          <w:sz w:val="19"/>
          <w:szCs w:val="19"/>
        </w:rPr>
        <w:t>RUTA DE DATA Y ANALÍTICA</w:t>
      </w:r>
    </w:p>
    <w:p w14:paraId="3AE12974" w14:textId="77777777" w:rsidR="00D44E73" w:rsidRDefault="00C65EF1">
      <w:pPr>
        <w:spacing w:after="60"/>
        <w:jc w:val="center"/>
      </w:pPr>
      <w:r>
        <w:rPr>
          <w:color w:val="64748B"/>
          <w:sz w:val="19"/>
          <w:szCs w:val="19"/>
        </w:rPr>
        <w:t>Sapiencia / Alcaldía de Medellín &amp; EAFIT (Nodo)</w:t>
      </w:r>
    </w:p>
    <w:p w14:paraId="6B000EB2" w14:textId="77777777" w:rsidR="00D44E73" w:rsidRDefault="00D44E73">
      <w:pPr>
        <w:spacing w:after="160"/>
      </w:pPr>
    </w:p>
    <w:p w14:paraId="7C40AE68" w14:textId="77777777" w:rsidR="00D44E73" w:rsidRDefault="00C65EF1">
      <w:pPr>
        <w:spacing w:after="60"/>
        <w:jc w:val="center"/>
      </w:pPr>
      <w:r>
        <w:rPr>
          <w:b/>
          <w:bCs/>
          <w:caps/>
          <w:color w:val="64748B"/>
        </w:rPr>
        <w:t>ANEXO TÉCNICO</w:t>
      </w:r>
    </w:p>
    <w:p w14:paraId="586FD3C6" w14:textId="77777777" w:rsidR="00D44E73" w:rsidRDefault="00C65EF1">
      <w:pPr>
        <w:spacing w:after="80"/>
        <w:jc w:val="center"/>
      </w:pPr>
      <w:r>
        <w:rPr>
          <w:b/>
          <w:bCs/>
          <w:caps/>
          <w:color w:val="2563EB"/>
          <w:sz w:val="36"/>
          <w:szCs w:val="36"/>
        </w:rPr>
        <w:t>DEFINICIÓN Y GUÍA DE IMPLEMENTACIÓN DE KPIs</w:t>
      </w:r>
    </w:p>
    <w:p w14:paraId="551C46D8" w14:textId="77777777" w:rsidR="00D44E73" w:rsidRDefault="00C65EF1">
      <w:pPr>
        <w:spacing w:after="80"/>
        <w:jc w:val="center"/>
      </w:pPr>
      <w:r>
        <w:rPr>
          <w:b/>
          <w:bCs/>
          <w:color w:val="0891B2"/>
          <w:sz w:val="28"/>
          <w:szCs w:val="28"/>
        </w:rPr>
        <w:t>PROYECTO SINITT G2</w:t>
      </w:r>
    </w:p>
    <w:p w14:paraId="38D6A63C" w14:textId="77777777" w:rsidR="00D44E73" w:rsidRDefault="00C65EF1">
      <w:pPr>
        <w:spacing w:after="200"/>
        <w:jc w:val="center"/>
      </w:pPr>
      <w:r>
        <w:rPr>
          <w:i/>
          <w:iCs/>
          <w:color w:val="64748B"/>
        </w:rPr>
        <w:t>Sistema Inteligente Nacional para la Infraestructura, el Tránsito y el Transporte</w:t>
      </w:r>
    </w:p>
    <w:p w14:paraId="1DB41681" w14:textId="77777777" w:rsidR="00D44E73" w:rsidRDefault="00D44E73">
      <w:pPr>
        <w:spacing w:after="160"/>
      </w:pPr>
    </w:p>
    <w:p w14:paraId="20D00A03" w14:textId="77777777" w:rsidR="00D44E73" w:rsidRDefault="00C65EF1">
      <w:pPr>
        <w:spacing w:after="60"/>
        <w:jc w:val="center"/>
      </w:pPr>
      <w:r>
        <w:rPr>
          <w:i/>
          <w:iCs/>
          <w:color w:val="64748B"/>
          <w:sz w:val="21"/>
          <w:szCs w:val="21"/>
        </w:rPr>
        <w:t>Documento complementario al Plan de Proyecto SINITT G2</w:t>
      </w:r>
    </w:p>
    <w:p w14:paraId="681CE2F0" w14:textId="77777777" w:rsidR="00D44E73" w:rsidRDefault="00C65EF1">
      <w:pPr>
        <w:spacing w:after="60"/>
        <w:jc w:val="center"/>
      </w:pPr>
      <w:r>
        <w:rPr>
          <w:b/>
          <w:bCs/>
          <w:color w:val="1E293B"/>
        </w:rPr>
        <w:t>Empresa aliada: Grow Data  ·  Módulo: Procesamiento de Datos</w:t>
      </w:r>
    </w:p>
    <w:p w14:paraId="373B06D3" w14:textId="77777777" w:rsidR="00D44E73" w:rsidRDefault="00C65EF1">
      <w:pPr>
        <w:spacing w:after="60"/>
        <w:jc w:val="center"/>
      </w:pPr>
      <w:r>
        <w:rPr>
          <w:color w:val="64748B"/>
          <w:sz w:val="20"/>
          <w:szCs w:val="20"/>
        </w:rPr>
        <w:t>Equipo G2: Angy Xiomara Arango · María Alejandra Valencia · Juan Zúñiga Giraldo · Luz Duque</w:t>
      </w:r>
    </w:p>
    <w:p w14:paraId="6E81AD3B" w14:textId="77777777" w:rsidR="00D44E73" w:rsidRDefault="00C65EF1">
      <w:pPr>
        <w:spacing w:after="60"/>
        <w:jc w:val="center"/>
      </w:pPr>
      <w:r>
        <w:rPr>
          <w:b/>
          <w:bCs/>
          <w:color w:val="1E293B"/>
        </w:rPr>
        <w:t>Medellín, Abril – Mayo 2026</w:t>
      </w:r>
    </w:p>
    <w:p w14:paraId="7FDFB5CD" w14:textId="77777777" w:rsidR="00D44E73" w:rsidRDefault="00C65EF1">
      <w:r>
        <w:br w:type="page"/>
      </w:r>
    </w:p>
    <w:p w14:paraId="444E85F7" w14:textId="77777777" w:rsidR="00D44E73" w:rsidRDefault="00C65EF1">
      <w:pPr>
        <w:pStyle w:val="Ttulo1"/>
      </w:pPr>
      <w:r>
        <w:lastRenderedPageBreak/>
        <w:t>1. Propósito del Anexo</w:t>
      </w:r>
    </w:p>
    <w:p w14:paraId="13761E63" w14:textId="77777777" w:rsidR="00D44E73" w:rsidRDefault="00D44E73">
      <w:pPr>
        <w:pBdr>
          <w:bottom w:val="single" w:sz="4" w:space="1" w:color="2563EB"/>
        </w:pBdr>
        <w:spacing w:before="4" w:after="160"/>
      </w:pPr>
    </w:p>
    <w:p w14:paraId="357884A5" w14:textId="77777777" w:rsidR="00D44E73" w:rsidRDefault="00C65EF1">
      <w:pPr>
        <w:spacing w:after="120" w:line="276" w:lineRule="auto"/>
        <w:jc w:val="both"/>
      </w:pPr>
      <w:r>
        <w:rPr>
          <w:color w:val="1E293B"/>
        </w:rPr>
        <w:t>El presente documento es el Anexo Técnico de KPIs del Plan de Proyecto SINITT G2. Complementa el Entregable 03 (Herramienta de Visualización) definiendo con precisión los seis indicadores clave de desempeño que el dashboard debe mostrar, la fuente de datos de cada uno, la fórmula de cálculo, la responsabilidad dentro del equipo y las recomendaciones de visualización para la herramienta Lovable/Bolt.</w:t>
      </w:r>
    </w:p>
    <w:p w14:paraId="6B858F1F" w14:textId="77777777" w:rsidR="00D44E73" w:rsidRDefault="00C65EF1">
      <w:pPr>
        <w:spacing w:after="120" w:line="276" w:lineRule="auto"/>
        <w:jc w:val="both"/>
      </w:pPr>
      <w:r>
        <w:rPr>
          <w:color w:val="1E293B"/>
        </w:rPr>
        <w:t>Los KPIs están organizados en dos grupos: los cuatro principales, que son obligatorios para el dashboard y responden directamente al problema planteado en el reto, y dos opcionales o intercambiables, que enriquecen el análisis cuando los datos lo permiten o cuando el equipo decide profundizar en una dimensión específica.</w:t>
      </w:r>
    </w:p>
    <w:p w14:paraId="7DD088A7" w14:textId="77777777" w:rsidR="00D44E73" w:rsidRDefault="00D44E73">
      <w:pPr>
        <w:spacing w:after="160"/>
      </w:pPr>
    </w:p>
    <w:p w14:paraId="44175A31" w14:textId="77777777" w:rsidR="00D44E73" w:rsidRDefault="00C65EF1">
      <w:pPr>
        <w:pStyle w:val="Ttulo1"/>
      </w:pPr>
      <w:r>
        <w:t>2. Resumen Ejecutivo de los 6 KPIs</w:t>
      </w:r>
    </w:p>
    <w:p w14:paraId="4EEBD674" w14:textId="77777777" w:rsidR="00D44E73" w:rsidRDefault="00D44E73">
      <w:pPr>
        <w:pBdr>
          <w:bottom w:val="single" w:sz="4" w:space="1" w:color="2563EB"/>
        </w:pBdr>
        <w:spacing w:before="4" w:after="160"/>
      </w:pPr>
    </w:p>
    <w:p w14:paraId="488EF303" w14:textId="77777777" w:rsidR="00D44E73" w:rsidRDefault="00C65EF1">
      <w:pPr>
        <w:spacing w:after="120" w:line="276" w:lineRule="auto"/>
        <w:jc w:val="both"/>
      </w:pPr>
      <w:r>
        <w:rPr>
          <w:color w:val="1E293B"/>
        </w:rPr>
        <w:t>La tabla a continuación presenta la ficha completa de los seis KPIs recomendados para el Equipo G2. Las filas resaltadas en azul corresponden a los cuatro indicadores principales (obligatorios). Las filas resaltadas en naranja corresponden a los dos opcionales intercambiables, identificados con asterisco (*).</w:t>
      </w:r>
    </w:p>
    <w:p w14:paraId="2F0D8FE2" w14:textId="77777777" w:rsidR="00D44E73" w:rsidRDefault="00D44E73">
      <w:pPr>
        <w:spacing w:after="160"/>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1"/>
        <w:gridCol w:w="1521"/>
        <w:gridCol w:w="1293"/>
        <w:gridCol w:w="1594"/>
        <w:gridCol w:w="2032"/>
        <w:gridCol w:w="1987"/>
      </w:tblGrid>
      <w:tr w:rsidR="00D44E73" w14:paraId="26654815" w14:textId="77777777">
        <w:tc>
          <w:tcPr>
            <w:tcW w:w="300" w:type="dxa"/>
            <w:tcBorders>
              <w:top w:val="single" w:sz="1" w:space="0" w:color="CCCCCC"/>
              <w:left w:val="single" w:sz="1" w:space="0" w:color="CCCCCC"/>
              <w:bottom w:val="single" w:sz="1" w:space="0" w:color="CCCCCC"/>
              <w:right w:val="single" w:sz="1" w:space="0" w:color="CCCCCC"/>
            </w:tcBorders>
            <w:shd w:val="clear" w:color="auto" w:fill="2563EB"/>
            <w:tcMar>
              <w:top w:w="90" w:type="dxa"/>
              <w:left w:w="120" w:type="dxa"/>
              <w:bottom w:w="90" w:type="dxa"/>
              <w:right w:w="120" w:type="dxa"/>
            </w:tcMar>
          </w:tcPr>
          <w:p w14:paraId="3655AA1E" w14:textId="77777777" w:rsidR="00D44E73" w:rsidRDefault="00C65EF1">
            <w:r>
              <w:rPr>
                <w:b/>
                <w:bCs/>
                <w:caps/>
                <w:color w:val="FFFFFF"/>
                <w:sz w:val="17"/>
                <w:szCs w:val="17"/>
              </w:rPr>
              <w:t>#</w:t>
            </w:r>
          </w:p>
        </w:tc>
        <w:tc>
          <w:tcPr>
            <w:tcW w:w="1500" w:type="dxa"/>
            <w:tcBorders>
              <w:top w:val="single" w:sz="1" w:space="0" w:color="CCCCCC"/>
              <w:left w:val="single" w:sz="1" w:space="0" w:color="CCCCCC"/>
              <w:bottom w:val="single" w:sz="1" w:space="0" w:color="CCCCCC"/>
              <w:right w:val="single" w:sz="1" w:space="0" w:color="CCCCCC"/>
            </w:tcBorders>
            <w:shd w:val="clear" w:color="auto" w:fill="2563EB"/>
            <w:tcMar>
              <w:top w:w="90" w:type="dxa"/>
              <w:left w:w="120" w:type="dxa"/>
              <w:bottom w:w="90" w:type="dxa"/>
              <w:right w:w="120" w:type="dxa"/>
            </w:tcMar>
          </w:tcPr>
          <w:p w14:paraId="0F6C12A6" w14:textId="77777777" w:rsidR="00D44E73" w:rsidRDefault="00C65EF1">
            <w:r>
              <w:rPr>
                <w:b/>
                <w:bCs/>
                <w:caps/>
                <w:color w:val="FFFFFF"/>
                <w:sz w:val="17"/>
                <w:szCs w:val="17"/>
              </w:rPr>
              <w:t>Nombre del KPI</w:t>
            </w:r>
          </w:p>
        </w:tc>
        <w:tc>
          <w:tcPr>
            <w:tcW w:w="1300" w:type="dxa"/>
            <w:tcBorders>
              <w:top w:val="single" w:sz="1" w:space="0" w:color="CCCCCC"/>
              <w:left w:val="single" w:sz="1" w:space="0" w:color="CCCCCC"/>
              <w:bottom w:val="single" w:sz="1" w:space="0" w:color="CCCCCC"/>
              <w:right w:val="single" w:sz="1" w:space="0" w:color="CCCCCC"/>
            </w:tcBorders>
            <w:shd w:val="clear" w:color="auto" w:fill="2563EB"/>
            <w:tcMar>
              <w:top w:w="90" w:type="dxa"/>
              <w:left w:w="120" w:type="dxa"/>
              <w:bottom w:w="90" w:type="dxa"/>
              <w:right w:w="120" w:type="dxa"/>
            </w:tcMar>
          </w:tcPr>
          <w:p w14:paraId="4014244D" w14:textId="77777777" w:rsidR="00D44E73" w:rsidRDefault="00C65EF1">
            <w:r>
              <w:rPr>
                <w:b/>
                <w:bCs/>
                <w:caps/>
                <w:color w:val="FFFFFF"/>
                <w:sz w:val="17"/>
                <w:szCs w:val="17"/>
              </w:rPr>
              <w:t>Tipo</w:t>
            </w:r>
          </w:p>
        </w:tc>
        <w:tc>
          <w:tcPr>
            <w:tcW w:w="1600" w:type="dxa"/>
            <w:tcBorders>
              <w:top w:val="single" w:sz="1" w:space="0" w:color="CCCCCC"/>
              <w:left w:val="single" w:sz="1" w:space="0" w:color="CCCCCC"/>
              <w:bottom w:val="single" w:sz="1" w:space="0" w:color="CCCCCC"/>
              <w:right w:val="single" w:sz="1" w:space="0" w:color="CCCCCC"/>
            </w:tcBorders>
            <w:shd w:val="clear" w:color="auto" w:fill="2563EB"/>
            <w:tcMar>
              <w:top w:w="90" w:type="dxa"/>
              <w:left w:w="120" w:type="dxa"/>
              <w:bottom w:w="90" w:type="dxa"/>
              <w:right w:w="120" w:type="dxa"/>
            </w:tcMar>
          </w:tcPr>
          <w:p w14:paraId="5FC16813" w14:textId="77777777" w:rsidR="00D44E73" w:rsidRDefault="00C65EF1">
            <w:r>
              <w:rPr>
                <w:b/>
                <w:bCs/>
                <w:caps/>
                <w:color w:val="FFFFFF"/>
                <w:sz w:val="17"/>
                <w:szCs w:val="17"/>
              </w:rPr>
              <w:t>Fuente de datos</w:t>
            </w:r>
          </w:p>
        </w:tc>
        <w:tc>
          <w:tcPr>
            <w:tcW w:w="2038" w:type="dxa"/>
            <w:tcBorders>
              <w:top w:val="single" w:sz="1" w:space="0" w:color="CCCCCC"/>
              <w:left w:val="single" w:sz="1" w:space="0" w:color="CCCCCC"/>
              <w:bottom w:val="single" w:sz="1" w:space="0" w:color="CCCCCC"/>
              <w:right w:val="single" w:sz="1" w:space="0" w:color="CCCCCC"/>
            </w:tcBorders>
            <w:shd w:val="clear" w:color="auto" w:fill="2563EB"/>
            <w:tcMar>
              <w:top w:w="90" w:type="dxa"/>
              <w:left w:w="120" w:type="dxa"/>
              <w:bottom w:w="90" w:type="dxa"/>
              <w:right w:w="120" w:type="dxa"/>
            </w:tcMar>
          </w:tcPr>
          <w:p w14:paraId="19C29365" w14:textId="77777777" w:rsidR="00D44E73" w:rsidRDefault="00C65EF1">
            <w:r>
              <w:rPr>
                <w:b/>
                <w:bCs/>
                <w:caps/>
                <w:color w:val="FFFFFF"/>
                <w:sz w:val="17"/>
                <w:szCs w:val="17"/>
              </w:rPr>
              <w:t>Fórmula simplificada</w:t>
            </w:r>
          </w:p>
        </w:tc>
        <w:tc>
          <w:tcPr>
            <w:tcW w:w="2000" w:type="dxa"/>
            <w:tcBorders>
              <w:top w:val="single" w:sz="1" w:space="0" w:color="CCCCCC"/>
              <w:left w:val="single" w:sz="1" w:space="0" w:color="CCCCCC"/>
              <w:bottom w:val="single" w:sz="1" w:space="0" w:color="CCCCCC"/>
              <w:right w:val="single" w:sz="1" w:space="0" w:color="CCCCCC"/>
            </w:tcBorders>
            <w:shd w:val="clear" w:color="auto" w:fill="2563EB"/>
            <w:tcMar>
              <w:top w:w="90" w:type="dxa"/>
              <w:left w:w="120" w:type="dxa"/>
              <w:bottom w:w="90" w:type="dxa"/>
              <w:right w:w="120" w:type="dxa"/>
            </w:tcMar>
          </w:tcPr>
          <w:p w14:paraId="589D5225" w14:textId="77777777" w:rsidR="00D44E73" w:rsidRDefault="00C65EF1">
            <w:r>
              <w:rPr>
                <w:b/>
                <w:bCs/>
                <w:caps/>
                <w:color w:val="FFFFFF"/>
                <w:sz w:val="17"/>
                <w:szCs w:val="17"/>
              </w:rPr>
              <w:t>Visualización recomendada</w:t>
            </w:r>
          </w:p>
        </w:tc>
      </w:tr>
      <w:tr w:rsidR="00D44E73" w14:paraId="76652C0F" w14:textId="77777777">
        <w:tc>
          <w:tcPr>
            <w:tcW w:w="300" w:type="dxa"/>
            <w:tcBorders>
              <w:top w:val="single" w:sz="1" w:space="0" w:color="CCCCCC"/>
              <w:left w:val="single" w:sz="1" w:space="0" w:color="CCCCCC"/>
              <w:bottom w:val="single" w:sz="1" w:space="0" w:color="CCCCCC"/>
              <w:right w:val="single" w:sz="1" w:space="0" w:color="CCCCCC"/>
            </w:tcBorders>
            <w:shd w:val="clear" w:color="auto" w:fill="DBEAFE"/>
            <w:tcMar>
              <w:top w:w="90" w:type="dxa"/>
              <w:left w:w="120" w:type="dxa"/>
              <w:bottom w:w="90" w:type="dxa"/>
              <w:right w:w="120" w:type="dxa"/>
            </w:tcMar>
          </w:tcPr>
          <w:p w14:paraId="168B2406" w14:textId="77777777" w:rsidR="00D44E73" w:rsidRDefault="00C65EF1">
            <w:r>
              <w:rPr>
                <w:b/>
                <w:bCs/>
                <w:color w:val="2563EB"/>
                <w:sz w:val="18"/>
                <w:szCs w:val="18"/>
              </w:rPr>
              <w:t>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72F1BE36" w14:textId="77777777" w:rsidR="00D44E73" w:rsidRDefault="00C65EF1">
            <w:r>
              <w:rPr>
                <w:b/>
                <w:bCs/>
                <w:color w:val="1E293B"/>
                <w:sz w:val="18"/>
                <w:szCs w:val="18"/>
              </w:rPr>
              <w:t>IPK — Índice de Pasajeros por Kilómetro</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3F1B1B1F" w14:textId="77777777" w:rsidR="00D44E73" w:rsidRDefault="00C65EF1">
            <w:r>
              <w:rPr>
                <w:color w:val="1E293B"/>
                <w:sz w:val="18"/>
                <w:szCs w:val="18"/>
              </w:rPr>
              <w:t>Eficiencia operativa</w:t>
            </w:r>
          </w:p>
        </w:tc>
        <w:tc>
          <w:tcPr>
            <w:tcW w:w="1600" w:type="dxa"/>
            <w:tcBorders>
              <w:top w:val="single" w:sz="1" w:space="0" w:color="CCCCCC"/>
              <w:left w:val="single" w:sz="1" w:space="0" w:color="CCCCCC"/>
              <w:bottom w:val="single" w:sz="1" w:space="0" w:color="CCCCCC"/>
              <w:right w:val="single" w:sz="1" w:space="0" w:color="CCCCCC"/>
            </w:tcBorders>
            <w:shd w:val="clear" w:color="auto" w:fill="DBEAFE"/>
            <w:tcMar>
              <w:top w:w="90" w:type="dxa"/>
              <w:left w:w="120" w:type="dxa"/>
              <w:bottom w:w="90" w:type="dxa"/>
              <w:right w:w="120" w:type="dxa"/>
            </w:tcMar>
          </w:tcPr>
          <w:p w14:paraId="0DEC57B2" w14:textId="77777777" w:rsidR="00D44E73" w:rsidRDefault="00C65EF1">
            <w:r>
              <w:rPr>
                <w:color w:val="1E293B"/>
                <w:sz w:val="18"/>
                <w:szCs w:val="18"/>
              </w:rPr>
              <w:t>DANE – ETUP</w:t>
            </w:r>
          </w:p>
        </w:tc>
        <w:tc>
          <w:tcPr>
            <w:tcW w:w="2038"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3EECFC90" w14:textId="77777777" w:rsidR="00D44E73" w:rsidRDefault="00C65EF1">
            <w:r>
              <w:rPr>
                <w:color w:val="1E293B"/>
                <w:sz w:val="18"/>
                <w:szCs w:val="18"/>
              </w:rPr>
              <w:t>Pasajeros movilizados ÷ Km recorridos por flota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24A2034B" w14:textId="77777777" w:rsidR="00D44E73" w:rsidRDefault="00C65EF1">
            <w:r>
              <w:rPr>
                <w:color w:val="1E293B"/>
                <w:sz w:val="18"/>
                <w:szCs w:val="18"/>
              </w:rPr>
              <w:t>Barras por ciudad/ruta + línea promedio nacional</w:t>
            </w:r>
          </w:p>
        </w:tc>
      </w:tr>
      <w:tr w:rsidR="00D44E73" w14:paraId="3834C532" w14:textId="77777777">
        <w:tc>
          <w:tcPr>
            <w:tcW w:w="300" w:type="dxa"/>
            <w:tcBorders>
              <w:top w:val="single" w:sz="1" w:space="0" w:color="CCCCCC"/>
              <w:left w:val="single" w:sz="1" w:space="0" w:color="CCCCCC"/>
              <w:bottom w:val="single" w:sz="1" w:space="0" w:color="CCCCCC"/>
              <w:right w:val="single" w:sz="1" w:space="0" w:color="CCCCCC"/>
            </w:tcBorders>
            <w:shd w:val="clear" w:color="auto" w:fill="DBEAFE"/>
            <w:tcMar>
              <w:top w:w="90" w:type="dxa"/>
              <w:left w:w="120" w:type="dxa"/>
              <w:bottom w:w="90" w:type="dxa"/>
              <w:right w:w="120" w:type="dxa"/>
            </w:tcMar>
          </w:tcPr>
          <w:p w14:paraId="22583728" w14:textId="77777777" w:rsidR="00D44E73" w:rsidRDefault="00C65EF1">
            <w:r>
              <w:rPr>
                <w:b/>
                <w:bCs/>
                <w:color w:val="2563EB"/>
                <w:sz w:val="18"/>
                <w:szCs w:val="18"/>
              </w:rPr>
              <w:t>2</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2D48CF2D" w14:textId="77777777" w:rsidR="00D44E73" w:rsidRDefault="00C65EF1">
            <w:r>
              <w:rPr>
                <w:b/>
                <w:bCs/>
                <w:color w:val="1E293B"/>
                <w:sz w:val="18"/>
                <w:szCs w:val="18"/>
              </w:rPr>
              <w:t>Tasa de Ocupación por Ruta</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5D40BC6D" w14:textId="77777777" w:rsidR="00D44E73" w:rsidRDefault="00C65EF1">
            <w:r>
              <w:rPr>
                <w:color w:val="1E293B"/>
                <w:sz w:val="18"/>
                <w:szCs w:val="18"/>
              </w:rPr>
              <w:t>Demanda vs oferta</w:t>
            </w:r>
          </w:p>
        </w:tc>
        <w:tc>
          <w:tcPr>
            <w:tcW w:w="1600" w:type="dxa"/>
            <w:tcBorders>
              <w:top w:val="single" w:sz="1" w:space="0" w:color="CCCCCC"/>
              <w:left w:val="single" w:sz="1" w:space="0" w:color="CCCCCC"/>
              <w:bottom w:val="single" w:sz="1" w:space="0" w:color="CCCCCC"/>
              <w:right w:val="single" w:sz="1" w:space="0" w:color="CCCCCC"/>
            </w:tcBorders>
            <w:shd w:val="clear" w:color="auto" w:fill="DBEAFE"/>
            <w:tcMar>
              <w:top w:w="90" w:type="dxa"/>
              <w:left w:w="120" w:type="dxa"/>
              <w:bottom w:w="90" w:type="dxa"/>
              <w:right w:w="120" w:type="dxa"/>
            </w:tcMar>
          </w:tcPr>
          <w:p w14:paraId="17897B97" w14:textId="77777777" w:rsidR="00D44E73" w:rsidRDefault="00C65EF1">
            <w:r>
              <w:rPr>
                <w:color w:val="1E293B"/>
                <w:sz w:val="18"/>
                <w:szCs w:val="18"/>
              </w:rPr>
              <w:t>DANE – ETUP</w:t>
            </w:r>
          </w:p>
        </w:tc>
        <w:tc>
          <w:tcPr>
            <w:tcW w:w="2038"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1057091B" w14:textId="77777777" w:rsidR="00D44E73" w:rsidRDefault="00C65EF1">
            <w:r>
              <w:rPr>
                <w:color w:val="1E293B"/>
                <w:sz w:val="18"/>
                <w:szCs w:val="18"/>
              </w:rPr>
              <w:t>(Pasajeros prom. ÷ Capacidad flota) × 100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7604FB97" w14:textId="77777777" w:rsidR="00D44E73" w:rsidRDefault="00C65EF1">
            <w:r>
              <w:rPr>
                <w:color w:val="1E293B"/>
                <w:sz w:val="18"/>
                <w:szCs w:val="18"/>
              </w:rPr>
              <w:t>Heatmap ruta vs franja horaria</w:t>
            </w:r>
          </w:p>
        </w:tc>
      </w:tr>
      <w:tr w:rsidR="00D44E73" w14:paraId="23454E0B" w14:textId="77777777">
        <w:tc>
          <w:tcPr>
            <w:tcW w:w="300" w:type="dxa"/>
            <w:tcBorders>
              <w:top w:val="single" w:sz="1" w:space="0" w:color="CCCCCC"/>
              <w:left w:val="single" w:sz="1" w:space="0" w:color="CCCCCC"/>
              <w:bottom w:val="single" w:sz="1" w:space="0" w:color="CCCCCC"/>
              <w:right w:val="single" w:sz="1" w:space="0" w:color="CCCCCC"/>
            </w:tcBorders>
            <w:shd w:val="clear" w:color="auto" w:fill="DBEAFE"/>
            <w:tcMar>
              <w:top w:w="90" w:type="dxa"/>
              <w:left w:w="120" w:type="dxa"/>
              <w:bottom w:w="90" w:type="dxa"/>
              <w:right w:w="120" w:type="dxa"/>
            </w:tcMar>
          </w:tcPr>
          <w:p w14:paraId="5B7DD406" w14:textId="77777777" w:rsidR="00D44E73" w:rsidRDefault="00C65EF1">
            <w:r>
              <w:rPr>
                <w:b/>
                <w:bCs/>
                <w:color w:val="2563EB"/>
                <w:sz w:val="18"/>
                <w:szCs w:val="18"/>
              </w:rPr>
              <w:t>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53BC140" w14:textId="77777777" w:rsidR="00D44E73" w:rsidRDefault="00C65EF1">
            <w:r>
              <w:rPr>
                <w:b/>
                <w:bCs/>
                <w:color w:val="1E293B"/>
                <w:sz w:val="18"/>
                <w:szCs w:val="18"/>
              </w:rPr>
              <w:t>Intervalo de Operación (Frecuencia)</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60716A46" w14:textId="77777777" w:rsidR="00D44E73" w:rsidRDefault="00C65EF1">
            <w:r>
              <w:rPr>
                <w:color w:val="1E293B"/>
                <w:sz w:val="18"/>
                <w:szCs w:val="18"/>
              </w:rPr>
              <w:t>Calidad del servicio</w:t>
            </w:r>
          </w:p>
        </w:tc>
        <w:tc>
          <w:tcPr>
            <w:tcW w:w="1600" w:type="dxa"/>
            <w:tcBorders>
              <w:top w:val="single" w:sz="1" w:space="0" w:color="CCCCCC"/>
              <w:left w:val="single" w:sz="1" w:space="0" w:color="CCCCCC"/>
              <w:bottom w:val="single" w:sz="1" w:space="0" w:color="CCCCCC"/>
              <w:right w:val="single" w:sz="1" w:space="0" w:color="CCCCCC"/>
            </w:tcBorders>
            <w:shd w:val="clear" w:color="auto" w:fill="DBEAFE"/>
            <w:tcMar>
              <w:top w:w="90" w:type="dxa"/>
              <w:left w:w="120" w:type="dxa"/>
              <w:bottom w:w="90" w:type="dxa"/>
              <w:right w:w="120" w:type="dxa"/>
            </w:tcMar>
          </w:tcPr>
          <w:p w14:paraId="7A06D7D8" w14:textId="77777777" w:rsidR="00D44E73" w:rsidRDefault="00C65EF1">
            <w:r>
              <w:rPr>
                <w:color w:val="1E293B"/>
                <w:sz w:val="18"/>
                <w:szCs w:val="18"/>
              </w:rPr>
              <w:t>datos.gov.co – Rutas Transporte Urbano</w:t>
            </w:r>
          </w:p>
        </w:tc>
        <w:tc>
          <w:tcPr>
            <w:tcW w:w="2038"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73936031" w14:textId="77777777" w:rsidR="00D44E73" w:rsidRDefault="00C65EF1">
            <w:r>
              <w:rPr>
                <w:color w:val="1E293B"/>
                <w:sz w:val="18"/>
                <w:szCs w:val="18"/>
              </w:rPr>
              <w:t>Tiempo promedio entre llegadas de vehículos (min)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77DE3933" w14:textId="77777777" w:rsidR="00D44E73" w:rsidRDefault="00C65EF1">
            <w:r>
              <w:rPr>
                <w:color w:val="1E293B"/>
                <w:sz w:val="18"/>
                <w:szCs w:val="18"/>
              </w:rPr>
              <w:t>Línea: hora pico vs hora valle por ruta</w:t>
            </w:r>
          </w:p>
        </w:tc>
      </w:tr>
      <w:tr w:rsidR="00D44E73" w14:paraId="33589EE6" w14:textId="77777777">
        <w:tc>
          <w:tcPr>
            <w:tcW w:w="300" w:type="dxa"/>
            <w:tcBorders>
              <w:top w:val="single" w:sz="1" w:space="0" w:color="CCCCCC"/>
              <w:left w:val="single" w:sz="1" w:space="0" w:color="CCCCCC"/>
              <w:bottom w:val="single" w:sz="1" w:space="0" w:color="CCCCCC"/>
              <w:right w:val="single" w:sz="1" w:space="0" w:color="CCCCCC"/>
            </w:tcBorders>
            <w:shd w:val="clear" w:color="auto" w:fill="DBEAFE"/>
            <w:tcMar>
              <w:top w:w="90" w:type="dxa"/>
              <w:left w:w="120" w:type="dxa"/>
              <w:bottom w:w="90" w:type="dxa"/>
              <w:right w:w="120" w:type="dxa"/>
            </w:tcMar>
          </w:tcPr>
          <w:p w14:paraId="34CFC0DB" w14:textId="77777777" w:rsidR="00D44E73" w:rsidRDefault="00C65EF1">
            <w:r>
              <w:rPr>
                <w:b/>
                <w:bCs/>
                <w:color w:val="2563EB"/>
                <w:sz w:val="18"/>
                <w:szCs w:val="18"/>
              </w:rPr>
              <w:t>4</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212668A1" w14:textId="77777777" w:rsidR="00D44E73" w:rsidRDefault="00C65EF1">
            <w:r>
              <w:rPr>
                <w:b/>
                <w:bCs/>
                <w:color w:val="1E293B"/>
                <w:sz w:val="18"/>
                <w:szCs w:val="18"/>
              </w:rPr>
              <w:t>Accidentalidad Vial por Zona y Periodo</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59889E83" w14:textId="77777777" w:rsidR="00D44E73" w:rsidRDefault="00C65EF1">
            <w:r>
              <w:rPr>
                <w:color w:val="1E293B"/>
                <w:sz w:val="18"/>
                <w:szCs w:val="18"/>
              </w:rPr>
              <w:t>Seguridad vial</w:t>
            </w:r>
          </w:p>
        </w:tc>
        <w:tc>
          <w:tcPr>
            <w:tcW w:w="1600" w:type="dxa"/>
            <w:tcBorders>
              <w:top w:val="single" w:sz="1" w:space="0" w:color="CCCCCC"/>
              <w:left w:val="single" w:sz="1" w:space="0" w:color="CCCCCC"/>
              <w:bottom w:val="single" w:sz="1" w:space="0" w:color="CCCCCC"/>
              <w:right w:val="single" w:sz="1" w:space="0" w:color="CCCCCC"/>
            </w:tcBorders>
            <w:shd w:val="clear" w:color="auto" w:fill="DBEAFE"/>
            <w:tcMar>
              <w:top w:w="90" w:type="dxa"/>
              <w:left w:w="120" w:type="dxa"/>
              <w:bottom w:w="90" w:type="dxa"/>
              <w:right w:w="120" w:type="dxa"/>
            </w:tcMar>
          </w:tcPr>
          <w:p w14:paraId="6935E001" w14:textId="77777777" w:rsidR="00D44E73" w:rsidRDefault="00C65EF1">
            <w:r>
              <w:rPr>
                <w:color w:val="1E293B"/>
                <w:sz w:val="18"/>
                <w:szCs w:val="18"/>
              </w:rPr>
              <w:t>datos.gov.co – Accidentalidad Vial</w:t>
            </w:r>
          </w:p>
        </w:tc>
        <w:tc>
          <w:tcPr>
            <w:tcW w:w="2038"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52DF6D17" w14:textId="77777777" w:rsidR="00D44E73" w:rsidRPr="00C21A02" w:rsidRDefault="00C65EF1">
            <w:pPr>
              <w:rPr>
                <w:lang w:val="en-US"/>
              </w:rPr>
            </w:pPr>
            <w:r w:rsidRPr="00C21A02">
              <w:rPr>
                <w:color w:val="1E293B"/>
                <w:sz w:val="18"/>
                <w:szCs w:val="18"/>
                <w:lang w:val="en-US"/>
              </w:rPr>
              <w:t>COUNT(accidentes) GROUP BY zona, mes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6068E651" w14:textId="77777777" w:rsidR="00D44E73" w:rsidRDefault="00C65EF1">
            <w:r>
              <w:rPr>
                <w:color w:val="1E293B"/>
                <w:sz w:val="18"/>
                <w:szCs w:val="18"/>
              </w:rPr>
              <w:t>Mapa de calor geoespacial (Folium)</w:t>
            </w:r>
          </w:p>
        </w:tc>
      </w:tr>
      <w:tr w:rsidR="00D44E73" w14:paraId="3B388FEA" w14:textId="77777777">
        <w:tc>
          <w:tcPr>
            <w:tcW w:w="300" w:type="dxa"/>
            <w:tcBorders>
              <w:top w:val="single" w:sz="1" w:space="0" w:color="CCCCCC"/>
              <w:left w:val="single" w:sz="1" w:space="0" w:color="CCCCCC"/>
              <w:bottom w:val="single" w:sz="1" w:space="0" w:color="CCCCCC"/>
              <w:right w:val="single" w:sz="1" w:space="0" w:color="CCCCCC"/>
            </w:tcBorders>
            <w:shd w:val="clear" w:color="auto" w:fill="FEF3C7"/>
            <w:tcMar>
              <w:top w:w="90" w:type="dxa"/>
              <w:left w:w="120" w:type="dxa"/>
              <w:bottom w:w="90" w:type="dxa"/>
              <w:right w:w="120" w:type="dxa"/>
            </w:tcMar>
          </w:tcPr>
          <w:p w14:paraId="69D49F7D" w14:textId="77777777" w:rsidR="00D44E73" w:rsidRDefault="00C65EF1">
            <w:r>
              <w:rPr>
                <w:b/>
                <w:bCs/>
                <w:color w:val="D97706"/>
                <w:sz w:val="18"/>
                <w:szCs w:val="18"/>
              </w:rPr>
              <w:t>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1CF7789F" w14:textId="77777777" w:rsidR="00D44E73" w:rsidRDefault="00C65EF1">
            <w:r>
              <w:rPr>
                <w:b/>
                <w:bCs/>
                <w:color w:val="1E293B"/>
                <w:sz w:val="18"/>
                <w:szCs w:val="18"/>
              </w:rPr>
              <w:t>Tendencia de Pasajeros Movilizados</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5CDB290D" w14:textId="77777777" w:rsidR="00D44E73" w:rsidRDefault="00C65EF1">
            <w:r>
              <w:rPr>
                <w:color w:val="1E293B"/>
                <w:sz w:val="18"/>
                <w:szCs w:val="18"/>
              </w:rPr>
              <w:t>Tendencia temporal</w:t>
            </w:r>
          </w:p>
        </w:tc>
        <w:tc>
          <w:tcPr>
            <w:tcW w:w="1600" w:type="dxa"/>
            <w:tcBorders>
              <w:top w:val="single" w:sz="1" w:space="0" w:color="CCCCCC"/>
              <w:left w:val="single" w:sz="1" w:space="0" w:color="CCCCCC"/>
              <w:bottom w:val="single" w:sz="1" w:space="0" w:color="CCCCCC"/>
              <w:right w:val="single" w:sz="1" w:space="0" w:color="CCCCCC"/>
            </w:tcBorders>
            <w:shd w:val="clear" w:color="auto" w:fill="FEF3C7"/>
            <w:tcMar>
              <w:top w:w="90" w:type="dxa"/>
              <w:left w:w="120" w:type="dxa"/>
              <w:bottom w:w="90" w:type="dxa"/>
              <w:right w:w="120" w:type="dxa"/>
            </w:tcMar>
          </w:tcPr>
          <w:p w14:paraId="5EC2C7E4" w14:textId="77777777" w:rsidR="00D44E73" w:rsidRDefault="00C65EF1">
            <w:r>
              <w:rPr>
                <w:color w:val="1E293B"/>
                <w:sz w:val="18"/>
                <w:szCs w:val="18"/>
              </w:rPr>
              <w:t>DANE – ETUP</w:t>
            </w:r>
          </w:p>
        </w:tc>
        <w:tc>
          <w:tcPr>
            <w:tcW w:w="2038"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717B4C71" w14:textId="77777777" w:rsidR="00D44E73" w:rsidRDefault="00C65EF1">
            <w:r>
              <w:rPr>
                <w:color w:val="1E293B"/>
                <w:sz w:val="18"/>
                <w:szCs w:val="18"/>
              </w:rPr>
              <w:t>((Pasajeros actual − anterior) ÷ anterior) × 100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22308A5B" w14:textId="77777777" w:rsidR="00D44E73" w:rsidRDefault="00C65EF1">
            <w:r>
              <w:rPr>
                <w:color w:val="1E293B"/>
                <w:sz w:val="18"/>
                <w:szCs w:val="18"/>
              </w:rPr>
              <w:t>Línea de tiempo trimestral por ciudad</w:t>
            </w:r>
          </w:p>
        </w:tc>
      </w:tr>
      <w:tr w:rsidR="00D44E73" w14:paraId="5364D765" w14:textId="77777777">
        <w:tc>
          <w:tcPr>
            <w:tcW w:w="300" w:type="dxa"/>
            <w:tcBorders>
              <w:top w:val="single" w:sz="1" w:space="0" w:color="CCCCCC"/>
              <w:left w:val="single" w:sz="1" w:space="0" w:color="CCCCCC"/>
              <w:bottom w:val="single" w:sz="1" w:space="0" w:color="CCCCCC"/>
              <w:right w:val="single" w:sz="1" w:space="0" w:color="CCCCCC"/>
            </w:tcBorders>
            <w:shd w:val="clear" w:color="auto" w:fill="FEF3C7"/>
            <w:tcMar>
              <w:top w:w="90" w:type="dxa"/>
              <w:left w:w="120" w:type="dxa"/>
              <w:bottom w:w="90" w:type="dxa"/>
              <w:right w:w="120" w:type="dxa"/>
            </w:tcMar>
          </w:tcPr>
          <w:p w14:paraId="03F5C918" w14:textId="77777777" w:rsidR="00D44E73" w:rsidRDefault="00C65EF1">
            <w:r>
              <w:rPr>
                <w:b/>
                <w:bCs/>
                <w:color w:val="D97706"/>
                <w:sz w:val="18"/>
                <w:szCs w:val="18"/>
              </w:rPr>
              <w:lastRenderedPageBreak/>
              <w:t>6*</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7306355" w14:textId="77777777" w:rsidR="00D44E73" w:rsidRDefault="00C65EF1">
            <w:r>
              <w:rPr>
                <w:b/>
                <w:bCs/>
                <w:color w:val="1E293B"/>
                <w:sz w:val="18"/>
                <w:szCs w:val="18"/>
              </w:rPr>
              <w:t>IPV — Índice de Pasajeros por Vehículo</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665F5D89" w14:textId="77777777" w:rsidR="00D44E73" w:rsidRDefault="00C65EF1">
            <w:r>
              <w:rPr>
                <w:color w:val="1E293B"/>
                <w:sz w:val="18"/>
                <w:szCs w:val="18"/>
              </w:rPr>
              <w:t>Eficiencia de flota</w:t>
            </w:r>
          </w:p>
        </w:tc>
        <w:tc>
          <w:tcPr>
            <w:tcW w:w="1600" w:type="dxa"/>
            <w:tcBorders>
              <w:top w:val="single" w:sz="1" w:space="0" w:color="CCCCCC"/>
              <w:left w:val="single" w:sz="1" w:space="0" w:color="CCCCCC"/>
              <w:bottom w:val="single" w:sz="1" w:space="0" w:color="CCCCCC"/>
              <w:right w:val="single" w:sz="1" w:space="0" w:color="CCCCCC"/>
            </w:tcBorders>
            <w:shd w:val="clear" w:color="auto" w:fill="FEF3C7"/>
            <w:tcMar>
              <w:top w:w="90" w:type="dxa"/>
              <w:left w:w="120" w:type="dxa"/>
              <w:bottom w:w="90" w:type="dxa"/>
              <w:right w:w="120" w:type="dxa"/>
            </w:tcMar>
          </w:tcPr>
          <w:p w14:paraId="739450AB" w14:textId="77777777" w:rsidR="00D44E73" w:rsidRDefault="00C65EF1">
            <w:r>
              <w:rPr>
                <w:color w:val="1E293B"/>
                <w:sz w:val="18"/>
                <w:szCs w:val="18"/>
              </w:rPr>
              <w:t>DANE-ETUP + Mintransporte</w:t>
            </w:r>
          </w:p>
        </w:tc>
        <w:tc>
          <w:tcPr>
            <w:tcW w:w="2038"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1BE7B2A6" w14:textId="77777777" w:rsidR="00D44E73" w:rsidRDefault="00C65EF1">
            <w:r>
              <w:rPr>
                <w:color w:val="1E293B"/>
                <w:sz w:val="18"/>
                <w:szCs w:val="18"/>
              </w:rPr>
              <w:t>Total pasajeros ÷ vehículos en operación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22BD4DF8" w14:textId="77777777" w:rsidR="00D44E73" w:rsidRDefault="00C65EF1">
            <w:r>
              <w:rPr>
                <w:color w:val="1E293B"/>
                <w:sz w:val="18"/>
                <w:szCs w:val="18"/>
              </w:rPr>
              <w:t>Barras agrupadas por ciudad (comparativo)</w:t>
            </w:r>
          </w:p>
        </w:tc>
      </w:tr>
    </w:tbl>
    <w:p w14:paraId="5EA80F49" w14:textId="77777777" w:rsidR="00D44E73" w:rsidRDefault="00D44E73">
      <w:pPr>
        <w:spacing w:after="160"/>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8838"/>
      </w:tblGrid>
      <w:tr w:rsidR="00D44E73" w14:paraId="1564EEAF" w14:textId="77777777">
        <w:tc>
          <w:tcPr>
            <w:tcW w:w="8838" w:type="dxa"/>
            <w:tcBorders>
              <w:top w:val="none" w:sz="0" w:space="0" w:color="FFFFFF"/>
              <w:left w:val="single" w:sz="12" w:space="0" w:color="D97706"/>
              <w:bottom w:val="none" w:sz="0" w:space="0" w:color="FFFFFF"/>
              <w:right w:val="none" w:sz="0" w:space="0" w:color="FFFFFF"/>
            </w:tcBorders>
            <w:shd w:val="clear" w:color="auto" w:fill="FFFBEB"/>
            <w:tcMar>
              <w:top w:w="60" w:type="dxa"/>
              <w:left w:w="140" w:type="dxa"/>
              <w:bottom w:w="60" w:type="dxa"/>
              <w:right w:w="100" w:type="dxa"/>
            </w:tcMar>
          </w:tcPr>
          <w:p w14:paraId="705F5C4D" w14:textId="77777777" w:rsidR="00D44E73" w:rsidRDefault="00C65EF1">
            <w:pPr>
              <w:spacing w:line="260" w:lineRule="auto"/>
            </w:pPr>
            <w:r>
              <w:rPr>
                <w:b/>
                <w:bCs/>
                <w:color w:val="1E293B"/>
                <w:sz w:val="21"/>
                <w:szCs w:val="21"/>
              </w:rPr>
              <w:t>Nota sobre los KPIs opcionales (*)</w:t>
            </w:r>
          </w:p>
        </w:tc>
      </w:tr>
      <w:tr w:rsidR="00D44E73" w14:paraId="24ED9203" w14:textId="77777777">
        <w:tc>
          <w:tcPr>
            <w:tcW w:w="8838" w:type="dxa"/>
            <w:tcBorders>
              <w:top w:val="none" w:sz="0" w:space="0" w:color="FFFFFF"/>
              <w:left w:val="single" w:sz="12" w:space="0" w:color="D97706"/>
              <w:bottom w:val="none" w:sz="0" w:space="0" w:color="FFFFFF"/>
              <w:right w:val="none" w:sz="0" w:space="0" w:color="FFFFFF"/>
            </w:tcBorders>
            <w:shd w:val="clear" w:color="auto" w:fill="FFFBEB"/>
            <w:tcMar>
              <w:top w:w="60" w:type="dxa"/>
              <w:left w:w="140" w:type="dxa"/>
              <w:bottom w:w="60" w:type="dxa"/>
              <w:right w:w="100" w:type="dxa"/>
            </w:tcMar>
          </w:tcPr>
          <w:p w14:paraId="5C257B07" w14:textId="178D6766" w:rsidR="00D44E73" w:rsidRDefault="00C65EF1">
            <w:pPr>
              <w:spacing w:line="260" w:lineRule="auto"/>
            </w:pPr>
            <w:r>
              <w:rPr>
                <w:color w:val="1E293B"/>
                <w:sz w:val="21"/>
                <w:szCs w:val="21"/>
              </w:rPr>
              <w:t xml:space="preserve">Los KPIs 5 y 6 pueden reemplazar cualquiera de los cuatro principales si el equipo considera que la historia de datos se cuenta mejor desde otra dimensión. Por ejemplo: si los datos de frecuencia de datos.gov.co están incompletos, el KPI 3 puede ser sustituido por el KPI 5 (tendencia). La decisión la toma </w:t>
            </w:r>
            <w:r w:rsidR="00951875">
              <w:rPr>
                <w:color w:val="1E293B"/>
                <w:sz w:val="21"/>
                <w:szCs w:val="21"/>
              </w:rPr>
              <w:t xml:space="preserve">el equipo </w:t>
            </w:r>
            <w:r w:rsidR="00052ED5">
              <w:rPr>
                <w:color w:val="1E293B"/>
                <w:sz w:val="21"/>
                <w:szCs w:val="21"/>
              </w:rPr>
              <w:t xml:space="preserve">para con lo aportado por </w:t>
            </w:r>
            <w:r>
              <w:rPr>
                <w:color w:val="1E293B"/>
                <w:sz w:val="21"/>
                <w:szCs w:val="21"/>
              </w:rPr>
              <w:t>Juan (DA) en acuerdo con Angy (PM) antes del 15 de mayo.</w:t>
            </w:r>
          </w:p>
        </w:tc>
      </w:tr>
    </w:tbl>
    <w:p w14:paraId="49074818" w14:textId="77777777" w:rsidR="00D44E73" w:rsidRDefault="00D44E73">
      <w:pPr>
        <w:spacing w:after="160"/>
      </w:pPr>
    </w:p>
    <w:p w14:paraId="376593BD" w14:textId="77777777" w:rsidR="00D44E73" w:rsidRDefault="00C65EF1">
      <w:r>
        <w:br w:type="page"/>
      </w:r>
    </w:p>
    <w:p w14:paraId="4EE19D64" w14:textId="77777777" w:rsidR="00D44E73" w:rsidRDefault="00C65EF1">
      <w:pPr>
        <w:pStyle w:val="Ttulo1"/>
      </w:pPr>
      <w:r>
        <w:lastRenderedPageBreak/>
        <w:t>3. Fichas Detalladas — Grupo Principal (obligatorios)</w:t>
      </w:r>
    </w:p>
    <w:p w14:paraId="405FD61A" w14:textId="77777777" w:rsidR="00D44E73" w:rsidRDefault="00D44E73">
      <w:pPr>
        <w:pBdr>
          <w:bottom w:val="single" w:sz="4" w:space="1" w:color="2563EB"/>
        </w:pBdr>
        <w:spacing w:before="4" w:after="160"/>
      </w:pPr>
    </w:p>
    <w:p w14:paraId="37A575F1" w14:textId="77777777" w:rsidR="00D44E73" w:rsidRDefault="00C65EF1">
      <w:pPr>
        <w:pStyle w:val="Ttulo2"/>
      </w:pPr>
      <w:r>
        <w:t>KPI 1 · IPK — Índice de Pasajeros por Kilómetro</w:t>
      </w:r>
    </w:p>
    <w:p w14:paraId="61AA77DD" w14:textId="77777777" w:rsidR="00D44E73" w:rsidRDefault="00D44E73">
      <w:pPr>
        <w:pBdr>
          <w:bottom w:val="single" w:sz="4" w:space="1" w:color="0891B2"/>
        </w:pBdr>
        <w:spacing w:before="4" w:after="160"/>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638"/>
      </w:tblGrid>
      <w:tr w:rsidR="00D44E73" w14:paraId="3FE58422" w14:textId="77777777">
        <w:tc>
          <w:tcPr>
            <w:tcW w:w="2200" w:type="dxa"/>
            <w:tcBorders>
              <w:top w:val="single" w:sz="1" w:space="0" w:color="CCCCCC"/>
              <w:left w:val="single" w:sz="1" w:space="0" w:color="CCCCCC"/>
              <w:bottom w:val="single" w:sz="1" w:space="0" w:color="CCCCCC"/>
              <w:right w:val="single" w:sz="1" w:space="0" w:color="CCCCCC"/>
            </w:tcBorders>
            <w:shd w:val="clear" w:color="auto" w:fill="DBEAFE"/>
            <w:tcMar>
              <w:top w:w="90" w:type="dxa"/>
              <w:left w:w="120" w:type="dxa"/>
              <w:bottom w:w="90" w:type="dxa"/>
              <w:right w:w="120" w:type="dxa"/>
            </w:tcMar>
          </w:tcPr>
          <w:p w14:paraId="63C546E7" w14:textId="77777777" w:rsidR="00D44E73" w:rsidRDefault="00C65EF1">
            <w:r>
              <w:rPr>
                <w:b/>
                <w:bCs/>
                <w:color w:val="0891B2"/>
                <w:sz w:val="18"/>
                <w:szCs w:val="18"/>
              </w:rPr>
              <w:t>Categoría</w:t>
            </w:r>
          </w:p>
        </w:tc>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223E0228" w14:textId="77777777" w:rsidR="00D44E73" w:rsidRDefault="00C65EF1">
            <w:r>
              <w:rPr>
                <w:color w:val="1E293B"/>
                <w:sz w:val="18"/>
                <w:szCs w:val="18"/>
              </w:rPr>
              <w:t>Eficiencia operativa del sistema de transporte público</w:t>
            </w:r>
          </w:p>
        </w:tc>
      </w:tr>
      <w:tr w:rsidR="00D44E73" w14:paraId="15ACC8EF" w14:textId="77777777">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90" w:type="dxa"/>
              <w:left w:w="120" w:type="dxa"/>
              <w:bottom w:w="90" w:type="dxa"/>
              <w:right w:w="120" w:type="dxa"/>
            </w:tcMar>
          </w:tcPr>
          <w:p w14:paraId="630AF0C1" w14:textId="77777777" w:rsidR="00D44E73" w:rsidRDefault="00C65EF1">
            <w:r>
              <w:rPr>
                <w:b/>
                <w:bCs/>
                <w:color w:val="0891B2"/>
                <w:sz w:val="18"/>
                <w:szCs w:val="18"/>
              </w:rPr>
              <w:t>Definición</w:t>
            </w:r>
          </w:p>
        </w:tc>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35C3053D" w14:textId="77777777" w:rsidR="00D44E73" w:rsidRDefault="00C65EF1">
            <w:r>
              <w:rPr>
                <w:color w:val="1E293B"/>
                <w:sz w:val="18"/>
                <w:szCs w:val="18"/>
              </w:rPr>
              <w:t>Mide cuántos pasajeros se transportan por cada kilómetro recorrido por la flota. Es el indicador más utilizado por planeadores de transporte, operadores y autoridades en Colombia y Latinoamérica para evaluar si una ruta o un sistema está siendo aprovechado eficientemente.</w:t>
            </w:r>
          </w:p>
        </w:tc>
      </w:tr>
      <w:tr w:rsidR="00D44E73" w14:paraId="561FE62D" w14:textId="77777777">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90" w:type="dxa"/>
              <w:left w:w="120" w:type="dxa"/>
              <w:bottom w:w="90" w:type="dxa"/>
              <w:right w:w="120" w:type="dxa"/>
            </w:tcMar>
          </w:tcPr>
          <w:p w14:paraId="20A52F26" w14:textId="77777777" w:rsidR="00D44E73" w:rsidRDefault="00C65EF1">
            <w:r>
              <w:rPr>
                <w:b/>
                <w:bCs/>
                <w:color w:val="0891B2"/>
                <w:sz w:val="18"/>
                <w:szCs w:val="18"/>
              </w:rPr>
              <w:t>Fórmula</w:t>
            </w:r>
          </w:p>
        </w:tc>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7C0E92BA" w14:textId="77777777" w:rsidR="00D44E73" w:rsidRDefault="00C65EF1">
            <w:r>
              <w:rPr>
                <w:color w:val="1E293B"/>
                <w:sz w:val="18"/>
                <w:szCs w:val="18"/>
              </w:rPr>
              <w:t>IPK = Total de pasajeros movilizados en el periodo ÷ Total de kilómetros recorridos por la flota en el mismo periodo</w:t>
            </w:r>
          </w:p>
        </w:tc>
      </w:tr>
      <w:tr w:rsidR="00D44E73" w14:paraId="3998DCA0" w14:textId="77777777">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90" w:type="dxa"/>
              <w:left w:w="120" w:type="dxa"/>
              <w:bottom w:w="90" w:type="dxa"/>
              <w:right w:w="120" w:type="dxa"/>
            </w:tcMar>
          </w:tcPr>
          <w:p w14:paraId="20CE28E3" w14:textId="77777777" w:rsidR="00D44E73" w:rsidRDefault="00C65EF1">
            <w:r>
              <w:rPr>
                <w:b/>
                <w:bCs/>
                <w:color w:val="0891B2"/>
                <w:sz w:val="18"/>
                <w:szCs w:val="18"/>
              </w:rPr>
              <w:t>Interpretación</w:t>
            </w:r>
          </w:p>
        </w:tc>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20034C75" w14:textId="77777777" w:rsidR="00D44E73" w:rsidRDefault="00C65EF1">
            <w:r>
              <w:rPr>
                <w:color w:val="1E293B"/>
                <w:sz w:val="18"/>
                <w:szCs w:val="18"/>
              </w:rPr>
              <w:t>IPK alto: la flota está muy bien aprovechada — muchos pasajeros por cada kilómetro que recorre el bus. IPK bajo: la ruta está subutilizada — los buses circulan vacíos o semivacíos. Valores de referencia: sistemas BRT como Transmilenio superan los 3.000 pasajeros diarios por línea; sistemas de microbús están entre 400 y 500.</w:t>
            </w:r>
          </w:p>
        </w:tc>
      </w:tr>
      <w:tr w:rsidR="00D44E73" w14:paraId="7341F812" w14:textId="77777777">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90" w:type="dxa"/>
              <w:left w:w="120" w:type="dxa"/>
              <w:bottom w:w="90" w:type="dxa"/>
              <w:right w:w="120" w:type="dxa"/>
            </w:tcMar>
          </w:tcPr>
          <w:p w14:paraId="3854C1D7" w14:textId="77777777" w:rsidR="00D44E73" w:rsidRDefault="00C65EF1">
            <w:r>
              <w:rPr>
                <w:b/>
                <w:bCs/>
                <w:color w:val="0891B2"/>
                <w:sz w:val="18"/>
                <w:szCs w:val="18"/>
              </w:rPr>
              <w:t>Fuente de datos</w:t>
            </w:r>
          </w:p>
        </w:tc>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269D152C" w14:textId="5A45A13D" w:rsidR="00D44E73" w:rsidRDefault="00C65EF1">
            <w:r>
              <w:rPr>
                <w:color w:val="1E293B"/>
                <w:sz w:val="18"/>
                <w:szCs w:val="18"/>
              </w:rPr>
              <w:t>DANE – Encuesta de Transporte Urbano de Pasajeros (ETUP). Disponible en: dane.gov.co/</w:t>
            </w:r>
            <w:r w:rsidR="00052ED5">
              <w:rPr>
                <w:color w:val="1E293B"/>
                <w:sz w:val="18"/>
                <w:szCs w:val="18"/>
              </w:rPr>
              <w:t>estadísticas</w:t>
            </w:r>
            <w:r>
              <w:rPr>
                <w:color w:val="1E293B"/>
                <w:sz w:val="18"/>
                <w:szCs w:val="18"/>
              </w:rPr>
              <w:t>-por-tema/transporte. Contiene pasajeros movilizados y kilómetros recorridos por ciudad y periodo trimestral.</w:t>
            </w:r>
          </w:p>
        </w:tc>
      </w:tr>
      <w:tr w:rsidR="00D44E73" w14:paraId="03AC7935" w14:textId="77777777">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90" w:type="dxa"/>
              <w:left w:w="120" w:type="dxa"/>
              <w:bottom w:w="90" w:type="dxa"/>
              <w:right w:w="120" w:type="dxa"/>
            </w:tcMar>
          </w:tcPr>
          <w:p w14:paraId="44D6C87E" w14:textId="77777777" w:rsidR="00D44E73" w:rsidRDefault="00C65EF1">
            <w:r>
              <w:rPr>
                <w:b/>
                <w:bCs/>
                <w:color w:val="0891B2"/>
                <w:sz w:val="18"/>
                <w:szCs w:val="18"/>
              </w:rPr>
              <w:t>Responsable de cálculo</w:t>
            </w:r>
          </w:p>
        </w:tc>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7ED670A5" w14:textId="77777777" w:rsidR="00D44E73" w:rsidRDefault="00C65EF1">
            <w:r>
              <w:rPr>
                <w:color w:val="1E293B"/>
                <w:sz w:val="18"/>
                <w:szCs w:val="18"/>
              </w:rPr>
              <w:t>Juan Zúñiga Giraldo (Data Analyst) con datos preparados por María Alejandra Valencia (Data Engineer).</w:t>
            </w:r>
          </w:p>
        </w:tc>
      </w:tr>
      <w:tr w:rsidR="00D44E73" w14:paraId="6AE22F14" w14:textId="77777777">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90" w:type="dxa"/>
              <w:left w:w="120" w:type="dxa"/>
              <w:bottom w:w="90" w:type="dxa"/>
              <w:right w:w="120" w:type="dxa"/>
            </w:tcMar>
          </w:tcPr>
          <w:p w14:paraId="0AB2A51F" w14:textId="77777777" w:rsidR="00D44E73" w:rsidRDefault="00C65EF1">
            <w:r>
              <w:rPr>
                <w:b/>
                <w:bCs/>
                <w:color w:val="0891B2"/>
                <w:sz w:val="18"/>
                <w:szCs w:val="18"/>
              </w:rPr>
              <w:t>Visualización recomendada</w:t>
            </w:r>
          </w:p>
        </w:tc>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27558F4" w14:textId="77777777" w:rsidR="00D44E73" w:rsidRDefault="00C65EF1">
            <w:r>
              <w:rPr>
                <w:color w:val="1E293B"/>
                <w:sz w:val="18"/>
                <w:szCs w:val="18"/>
              </w:rPr>
              <w:t>Gráfico de barras horizontales ordenadas de mayor a menor IPK por ciudad. Añadir una línea de referencia del promedio nacional. Si hay datos por ruta: mapa de rutas en Folium coloreado por intensidad del IPK.</w:t>
            </w:r>
          </w:p>
        </w:tc>
      </w:tr>
      <w:tr w:rsidR="00D44E73" w14:paraId="65E0AD13" w14:textId="77777777">
        <w:tc>
          <w:tcPr>
            <w:tcW w:w="2200" w:type="dxa"/>
            <w:tcBorders>
              <w:top w:val="single" w:sz="1" w:space="0" w:color="CCCCCC"/>
              <w:left w:val="single" w:sz="1" w:space="0" w:color="CCCCCC"/>
              <w:bottom w:val="single" w:sz="1" w:space="0" w:color="CCCCCC"/>
              <w:right w:val="single" w:sz="1" w:space="0" w:color="CCCCCC"/>
            </w:tcBorders>
            <w:shd w:val="clear" w:color="auto" w:fill="EFF6FF"/>
            <w:tcMar>
              <w:top w:w="90" w:type="dxa"/>
              <w:left w:w="120" w:type="dxa"/>
              <w:bottom w:w="90" w:type="dxa"/>
              <w:right w:w="120" w:type="dxa"/>
            </w:tcMar>
          </w:tcPr>
          <w:p w14:paraId="0234F314" w14:textId="77777777" w:rsidR="00D44E73" w:rsidRDefault="00C65EF1">
            <w:r>
              <w:rPr>
                <w:b/>
                <w:bCs/>
                <w:color w:val="0891B2"/>
                <w:sz w:val="18"/>
                <w:szCs w:val="18"/>
              </w:rPr>
              <w:t>Nota técnica</w:t>
            </w:r>
          </w:p>
        </w:tc>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445E0488" w14:textId="77777777" w:rsidR="00D44E73" w:rsidRDefault="00C65EF1">
            <w:r>
              <w:rPr>
                <w:color w:val="1E293B"/>
                <w:sz w:val="18"/>
                <w:szCs w:val="18"/>
              </w:rPr>
              <w:t>Unidad de medida: pasajeros / kilómetro. Calcular por ciudad y por trimestre para poder comparar tendencias. Si los kilómetros recorridos no están disponibles directamente, estimar con distancia promedio de ruta × número de viajes.</w:t>
            </w:r>
          </w:p>
        </w:tc>
      </w:tr>
    </w:tbl>
    <w:p w14:paraId="775C904F" w14:textId="77777777" w:rsidR="00D44E73" w:rsidRDefault="00D44E73">
      <w:pPr>
        <w:spacing w:after="160"/>
      </w:pPr>
    </w:p>
    <w:p w14:paraId="351921CF" w14:textId="77777777" w:rsidR="00D44E73" w:rsidRDefault="00C65EF1">
      <w:pPr>
        <w:pStyle w:val="Ttulo2"/>
      </w:pPr>
      <w:r>
        <w:t>KPI 2 · Tasa de Ocupación por Ruta</w:t>
      </w:r>
    </w:p>
    <w:p w14:paraId="2032C676" w14:textId="77777777" w:rsidR="00D44E73" w:rsidRDefault="00D44E73">
      <w:pPr>
        <w:pBdr>
          <w:bottom w:val="single" w:sz="4" w:space="1" w:color="0891B2"/>
        </w:pBdr>
        <w:spacing w:before="4" w:after="160"/>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638"/>
      </w:tblGrid>
      <w:tr w:rsidR="00D44E73" w14:paraId="51771D66" w14:textId="77777777">
        <w:tc>
          <w:tcPr>
            <w:tcW w:w="2200" w:type="dxa"/>
            <w:tcBorders>
              <w:top w:val="single" w:sz="1" w:space="0" w:color="CCCCCC"/>
              <w:left w:val="single" w:sz="1" w:space="0" w:color="CCCCCC"/>
              <w:bottom w:val="single" w:sz="1" w:space="0" w:color="CCCCCC"/>
              <w:right w:val="single" w:sz="1" w:space="0" w:color="CCCCCC"/>
            </w:tcBorders>
            <w:shd w:val="clear" w:color="auto" w:fill="CFFAFE"/>
            <w:tcMar>
              <w:top w:w="90" w:type="dxa"/>
              <w:left w:w="120" w:type="dxa"/>
              <w:bottom w:w="90" w:type="dxa"/>
              <w:right w:w="120" w:type="dxa"/>
            </w:tcMar>
          </w:tcPr>
          <w:p w14:paraId="56F4628D" w14:textId="77777777" w:rsidR="00D44E73" w:rsidRDefault="00C65EF1">
            <w:r>
              <w:rPr>
                <w:b/>
                <w:bCs/>
                <w:color w:val="0891B2"/>
                <w:sz w:val="18"/>
                <w:szCs w:val="18"/>
              </w:rPr>
              <w:t>Categoría</w:t>
            </w:r>
          </w:p>
        </w:tc>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78759236" w14:textId="77777777" w:rsidR="00D44E73" w:rsidRDefault="00C65EF1">
            <w:r>
              <w:rPr>
                <w:color w:val="1E293B"/>
                <w:sz w:val="18"/>
                <w:szCs w:val="18"/>
              </w:rPr>
              <w:t>Balance entre demanda del usuario y oferta del operador</w:t>
            </w:r>
          </w:p>
        </w:tc>
      </w:tr>
      <w:tr w:rsidR="00D44E73" w14:paraId="756C78BC" w14:textId="77777777">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90" w:type="dxa"/>
              <w:left w:w="120" w:type="dxa"/>
              <w:bottom w:w="90" w:type="dxa"/>
              <w:right w:w="120" w:type="dxa"/>
            </w:tcMar>
          </w:tcPr>
          <w:p w14:paraId="61AFAE97" w14:textId="77777777" w:rsidR="00D44E73" w:rsidRDefault="00C65EF1">
            <w:r>
              <w:rPr>
                <w:b/>
                <w:bCs/>
                <w:color w:val="0891B2"/>
                <w:sz w:val="18"/>
                <w:szCs w:val="18"/>
              </w:rPr>
              <w:t>Definición</w:t>
            </w:r>
          </w:p>
        </w:tc>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2BC9BD36" w14:textId="77777777" w:rsidR="00D44E73" w:rsidRDefault="00C65EF1">
            <w:r>
              <w:rPr>
                <w:color w:val="1E293B"/>
                <w:sz w:val="18"/>
                <w:szCs w:val="18"/>
              </w:rPr>
              <w:t>Mide el porcentaje de la capacidad instalada de la flota que está siendo efectivamente utilizada por los pasajeros. Revela si una ruta está saturada (más pasajeros de los que puede transportar) o subutilizada (buses circulando casi vacíos).</w:t>
            </w:r>
          </w:p>
        </w:tc>
      </w:tr>
      <w:tr w:rsidR="00D44E73" w14:paraId="7841ACA3" w14:textId="77777777">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90" w:type="dxa"/>
              <w:left w:w="120" w:type="dxa"/>
              <w:bottom w:w="90" w:type="dxa"/>
              <w:right w:w="120" w:type="dxa"/>
            </w:tcMar>
          </w:tcPr>
          <w:p w14:paraId="5D60C65F" w14:textId="77777777" w:rsidR="00D44E73" w:rsidRDefault="00C65EF1">
            <w:r>
              <w:rPr>
                <w:b/>
                <w:bCs/>
                <w:color w:val="0891B2"/>
                <w:sz w:val="18"/>
                <w:szCs w:val="18"/>
              </w:rPr>
              <w:t>Fórmula</w:t>
            </w:r>
          </w:p>
        </w:tc>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64A710F0" w14:textId="77777777" w:rsidR="00D44E73" w:rsidRDefault="00C65EF1">
            <w:r>
              <w:rPr>
                <w:color w:val="1E293B"/>
                <w:sz w:val="18"/>
                <w:szCs w:val="18"/>
              </w:rPr>
              <w:t>Tasa de Ocupación = (Pasajeros promedio por viaje en la ruta ÷ Capacidad instalada de la flota en esa ruta) × 100</w:t>
            </w:r>
          </w:p>
        </w:tc>
      </w:tr>
      <w:tr w:rsidR="00D44E73" w14:paraId="013F480A" w14:textId="77777777">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90" w:type="dxa"/>
              <w:left w:w="120" w:type="dxa"/>
              <w:bottom w:w="90" w:type="dxa"/>
              <w:right w:w="120" w:type="dxa"/>
            </w:tcMar>
          </w:tcPr>
          <w:p w14:paraId="0A88E72C" w14:textId="77777777" w:rsidR="00D44E73" w:rsidRDefault="00C65EF1">
            <w:r>
              <w:rPr>
                <w:b/>
                <w:bCs/>
                <w:color w:val="0891B2"/>
                <w:sz w:val="18"/>
                <w:szCs w:val="18"/>
              </w:rPr>
              <w:t>Interpretación</w:t>
            </w:r>
          </w:p>
        </w:tc>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4119437F" w14:textId="77777777" w:rsidR="00D44E73" w:rsidRDefault="00C65EF1">
            <w:r>
              <w:rPr>
                <w:color w:val="1E293B"/>
                <w:sz w:val="18"/>
                <w:szCs w:val="18"/>
              </w:rPr>
              <w:t xml:space="preserve">Tasa &gt; 100%: congestión. La ruta no da abasto — es un cuello de botella en el sistema. Tasa entre 70% y 90%: operación eficiente y rentable para el operador. Tasa &lt; 40%: subutilización — se están gastando recursos en circular </w:t>
            </w:r>
            <w:r>
              <w:rPr>
                <w:color w:val="1E293B"/>
                <w:sz w:val="18"/>
                <w:szCs w:val="18"/>
              </w:rPr>
              <w:lastRenderedPageBreak/>
              <w:t>con poca demanda. Umbral de alerta: tasa &lt; 30% por dos semanas consecutivas indica necesidad de reestructurar la ruta.</w:t>
            </w:r>
          </w:p>
        </w:tc>
      </w:tr>
      <w:tr w:rsidR="00D44E73" w14:paraId="05E5ACC8" w14:textId="77777777">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90" w:type="dxa"/>
              <w:left w:w="120" w:type="dxa"/>
              <w:bottom w:w="90" w:type="dxa"/>
              <w:right w:w="120" w:type="dxa"/>
            </w:tcMar>
          </w:tcPr>
          <w:p w14:paraId="73BB667F" w14:textId="77777777" w:rsidR="00D44E73" w:rsidRDefault="00C65EF1">
            <w:r>
              <w:rPr>
                <w:b/>
                <w:bCs/>
                <w:color w:val="0891B2"/>
                <w:sz w:val="18"/>
                <w:szCs w:val="18"/>
              </w:rPr>
              <w:lastRenderedPageBreak/>
              <w:t>Fuente de datos</w:t>
            </w:r>
          </w:p>
        </w:tc>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7757FF2F" w14:textId="77777777" w:rsidR="00D44E73" w:rsidRDefault="00C65EF1">
            <w:r>
              <w:rPr>
                <w:color w:val="1E293B"/>
                <w:sz w:val="18"/>
                <w:szCs w:val="18"/>
              </w:rPr>
              <w:t>DANE – ETUP: pasajeros movilizados por ruta y operador. Mintransporte – Datos Abiertos: capacidad de flota habilitada por operador. Ambas fuentes disponibles en formato CSV.</w:t>
            </w:r>
          </w:p>
        </w:tc>
      </w:tr>
      <w:tr w:rsidR="00D44E73" w14:paraId="08A640D3" w14:textId="77777777">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90" w:type="dxa"/>
              <w:left w:w="120" w:type="dxa"/>
              <w:bottom w:w="90" w:type="dxa"/>
              <w:right w:w="120" w:type="dxa"/>
            </w:tcMar>
          </w:tcPr>
          <w:p w14:paraId="57222E20" w14:textId="77777777" w:rsidR="00D44E73" w:rsidRDefault="00C65EF1">
            <w:r>
              <w:rPr>
                <w:b/>
                <w:bCs/>
                <w:color w:val="0891B2"/>
                <w:sz w:val="18"/>
                <w:szCs w:val="18"/>
              </w:rPr>
              <w:t>Responsable de cálculo</w:t>
            </w:r>
          </w:p>
        </w:tc>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555067AD" w14:textId="6A2EF864" w:rsidR="00D44E73" w:rsidRDefault="00C65EF1">
            <w:r>
              <w:rPr>
                <w:color w:val="1E293B"/>
                <w:sz w:val="18"/>
                <w:szCs w:val="18"/>
              </w:rPr>
              <w:t xml:space="preserve">Juan Zúñiga Giraldo (DA) calculando el cruce entre ETUP y Mintransporte, con el join preparado por María (DE) en </w:t>
            </w:r>
            <w:r w:rsidR="00EE4D99">
              <w:rPr>
                <w:color w:val="1E293B"/>
                <w:sz w:val="18"/>
                <w:szCs w:val="18"/>
              </w:rPr>
              <w:t>Supabase</w:t>
            </w:r>
            <w:r>
              <w:rPr>
                <w:color w:val="1E293B"/>
                <w:sz w:val="18"/>
                <w:szCs w:val="18"/>
              </w:rPr>
              <w:t>.</w:t>
            </w:r>
          </w:p>
        </w:tc>
      </w:tr>
      <w:tr w:rsidR="00D44E73" w14:paraId="2684FD13" w14:textId="77777777">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90" w:type="dxa"/>
              <w:left w:w="120" w:type="dxa"/>
              <w:bottom w:w="90" w:type="dxa"/>
              <w:right w:w="120" w:type="dxa"/>
            </w:tcMar>
          </w:tcPr>
          <w:p w14:paraId="6D11A47C" w14:textId="77777777" w:rsidR="00D44E73" w:rsidRDefault="00C65EF1">
            <w:r>
              <w:rPr>
                <w:b/>
                <w:bCs/>
                <w:color w:val="0891B2"/>
                <w:sz w:val="18"/>
                <w:szCs w:val="18"/>
              </w:rPr>
              <w:t>Visualización recomendada</w:t>
            </w:r>
          </w:p>
        </w:tc>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58E00DF9" w14:textId="77777777" w:rsidR="00D44E73" w:rsidRDefault="00C65EF1">
            <w:r>
              <w:rPr>
                <w:color w:val="1E293B"/>
                <w:sz w:val="18"/>
                <w:szCs w:val="18"/>
              </w:rPr>
              <w:t>Heatmap (mapa de calor) de ruta vs franja horaria — el color revela de un vistazo dónde y cuándo está saturado el sistema. Alternativa: barras apiladas por ruta mostrando capacidad usada vs libre.</w:t>
            </w:r>
          </w:p>
        </w:tc>
      </w:tr>
      <w:tr w:rsidR="00D44E73" w14:paraId="3E88D1D6" w14:textId="77777777">
        <w:tc>
          <w:tcPr>
            <w:tcW w:w="2200" w:type="dxa"/>
            <w:tcBorders>
              <w:top w:val="single" w:sz="1" w:space="0" w:color="CCCCCC"/>
              <w:left w:val="single" w:sz="1" w:space="0" w:color="CCCCCC"/>
              <w:bottom w:val="single" w:sz="1" w:space="0" w:color="CCCCCC"/>
              <w:right w:val="single" w:sz="1" w:space="0" w:color="CCCCCC"/>
            </w:tcBorders>
            <w:shd w:val="clear" w:color="auto" w:fill="EFF6FF"/>
            <w:tcMar>
              <w:top w:w="90" w:type="dxa"/>
              <w:left w:w="120" w:type="dxa"/>
              <w:bottom w:w="90" w:type="dxa"/>
              <w:right w:w="120" w:type="dxa"/>
            </w:tcMar>
          </w:tcPr>
          <w:p w14:paraId="56ED7FCB" w14:textId="77777777" w:rsidR="00D44E73" w:rsidRDefault="00C65EF1">
            <w:r>
              <w:rPr>
                <w:b/>
                <w:bCs/>
                <w:color w:val="0891B2"/>
                <w:sz w:val="18"/>
                <w:szCs w:val="18"/>
              </w:rPr>
              <w:t>Nota técnica</w:t>
            </w:r>
          </w:p>
        </w:tc>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704C69EE" w14:textId="77777777" w:rsidR="00D44E73" w:rsidRDefault="00C65EF1">
            <w:r>
              <w:rPr>
                <w:color w:val="1E293B"/>
                <w:sz w:val="18"/>
                <w:szCs w:val="18"/>
              </w:rPr>
              <w:t>La capacidad instalada puede estimarse con: número de vehículos habilitados por ruta × capacidad promedio del vehículo (aprox. 45 pasajeros sentados + 15 de pie para buses convencionales colombianos). Si no hay datos directos de capacidad, usar el parque automotor de Mintransporte.</w:t>
            </w:r>
          </w:p>
        </w:tc>
      </w:tr>
    </w:tbl>
    <w:p w14:paraId="21E6DAAE" w14:textId="77777777" w:rsidR="00D44E73" w:rsidRDefault="00D44E73">
      <w:pPr>
        <w:spacing w:after="160"/>
      </w:pPr>
    </w:p>
    <w:p w14:paraId="30601A2E" w14:textId="77777777" w:rsidR="00D44E73" w:rsidRDefault="00C65EF1">
      <w:r>
        <w:br w:type="page"/>
      </w:r>
    </w:p>
    <w:p w14:paraId="71D92FCC" w14:textId="77777777" w:rsidR="00D44E73" w:rsidRDefault="00C65EF1">
      <w:pPr>
        <w:pStyle w:val="Ttulo2"/>
      </w:pPr>
      <w:r>
        <w:lastRenderedPageBreak/>
        <w:t>KPI 3 · Intervalo de Operación (Frecuencia de Servicio)</w:t>
      </w:r>
    </w:p>
    <w:p w14:paraId="340BA430" w14:textId="77777777" w:rsidR="00D44E73" w:rsidRDefault="00D44E73">
      <w:pPr>
        <w:pBdr>
          <w:bottom w:val="single" w:sz="4" w:space="1" w:color="0891B2"/>
        </w:pBdr>
        <w:spacing w:before="4" w:after="160"/>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638"/>
      </w:tblGrid>
      <w:tr w:rsidR="00D44E73" w14:paraId="4305431F" w14:textId="77777777">
        <w:tc>
          <w:tcPr>
            <w:tcW w:w="2200" w:type="dxa"/>
            <w:tcBorders>
              <w:top w:val="single" w:sz="1" w:space="0" w:color="CCCCCC"/>
              <w:left w:val="single" w:sz="1" w:space="0" w:color="CCCCCC"/>
              <w:bottom w:val="single" w:sz="1" w:space="0" w:color="CCCCCC"/>
              <w:right w:val="single" w:sz="1" w:space="0" w:color="CCCCCC"/>
            </w:tcBorders>
            <w:shd w:val="clear" w:color="auto" w:fill="ECFEFF"/>
            <w:tcMar>
              <w:top w:w="90" w:type="dxa"/>
              <w:left w:w="120" w:type="dxa"/>
              <w:bottom w:w="90" w:type="dxa"/>
              <w:right w:w="120" w:type="dxa"/>
            </w:tcMar>
          </w:tcPr>
          <w:p w14:paraId="3DA6A1AD" w14:textId="77777777" w:rsidR="00D44E73" w:rsidRDefault="00C65EF1">
            <w:r>
              <w:rPr>
                <w:b/>
                <w:bCs/>
                <w:color w:val="0891B2"/>
                <w:sz w:val="18"/>
                <w:szCs w:val="18"/>
              </w:rPr>
              <w:t>Categoría</w:t>
            </w:r>
          </w:p>
        </w:tc>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3C953454" w14:textId="77777777" w:rsidR="00D44E73" w:rsidRDefault="00C65EF1">
            <w:r>
              <w:rPr>
                <w:color w:val="1E293B"/>
                <w:sz w:val="18"/>
                <w:szCs w:val="18"/>
              </w:rPr>
              <w:t>Calidad del servicio percibida por el usuario</w:t>
            </w:r>
          </w:p>
        </w:tc>
      </w:tr>
      <w:tr w:rsidR="00D44E73" w14:paraId="239FEABE" w14:textId="77777777">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90" w:type="dxa"/>
              <w:left w:w="120" w:type="dxa"/>
              <w:bottom w:w="90" w:type="dxa"/>
              <w:right w:w="120" w:type="dxa"/>
            </w:tcMar>
          </w:tcPr>
          <w:p w14:paraId="3BECD67A" w14:textId="77777777" w:rsidR="00D44E73" w:rsidRDefault="00C65EF1">
            <w:r>
              <w:rPr>
                <w:b/>
                <w:bCs/>
                <w:color w:val="0891B2"/>
                <w:sz w:val="18"/>
                <w:szCs w:val="18"/>
              </w:rPr>
              <w:t>Definición</w:t>
            </w:r>
          </w:p>
        </w:tc>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7ECD479" w14:textId="77777777" w:rsidR="00D44E73" w:rsidRDefault="00C65EF1">
            <w:r>
              <w:rPr>
                <w:color w:val="1E293B"/>
                <w:sz w:val="18"/>
                <w:szCs w:val="18"/>
              </w:rPr>
              <w:t>Mide el tiempo promedio que un usuario debe esperar entre la llegada de un vehículo y el siguiente en una ruta determinada. Es el atributo del servicio más directamente vinculado a la satisfacción del usuario, especialmente en zonas metropolitanas.</w:t>
            </w:r>
          </w:p>
        </w:tc>
      </w:tr>
      <w:tr w:rsidR="00D44E73" w14:paraId="4E84919B" w14:textId="77777777">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90" w:type="dxa"/>
              <w:left w:w="120" w:type="dxa"/>
              <w:bottom w:w="90" w:type="dxa"/>
              <w:right w:w="120" w:type="dxa"/>
            </w:tcMar>
          </w:tcPr>
          <w:p w14:paraId="48FD4B1F" w14:textId="77777777" w:rsidR="00D44E73" w:rsidRDefault="00C65EF1">
            <w:r>
              <w:rPr>
                <w:b/>
                <w:bCs/>
                <w:color w:val="0891B2"/>
                <w:sz w:val="18"/>
                <w:szCs w:val="18"/>
              </w:rPr>
              <w:t>Fórmula</w:t>
            </w:r>
          </w:p>
        </w:tc>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3837C4C5" w14:textId="77777777" w:rsidR="00D44E73" w:rsidRDefault="00C65EF1">
            <w:r>
              <w:rPr>
                <w:color w:val="1E293B"/>
                <w:sz w:val="18"/>
                <w:szCs w:val="18"/>
              </w:rPr>
              <w:t>Intervalo (min) = 60 minutos ÷ Frecuencia de servicio (vehículos/hora) en esa ruta. O directamente: Tiempo promedio entre llegadas de vehículos registradas en el dataset de rutas.</w:t>
            </w:r>
          </w:p>
        </w:tc>
      </w:tr>
      <w:tr w:rsidR="00D44E73" w14:paraId="017DD7C5" w14:textId="77777777">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90" w:type="dxa"/>
              <w:left w:w="120" w:type="dxa"/>
              <w:bottom w:w="90" w:type="dxa"/>
              <w:right w:w="120" w:type="dxa"/>
            </w:tcMar>
          </w:tcPr>
          <w:p w14:paraId="4ED2D18E" w14:textId="77777777" w:rsidR="00D44E73" w:rsidRDefault="00C65EF1">
            <w:r>
              <w:rPr>
                <w:b/>
                <w:bCs/>
                <w:color w:val="0891B2"/>
                <w:sz w:val="18"/>
                <w:szCs w:val="18"/>
              </w:rPr>
              <w:t>Interpretación</w:t>
            </w:r>
          </w:p>
        </w:tc>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8BE2428" w14:textId="77777777" w:rsidR="00D44E73" w:rsidRDefault="00C65EF1">
            <w:r>
              <w:rPr>
                <w:color w:val="1E293B"/>
                <w:sz w:val="18"/>
                <w:szCs w:val="18"/>
              </w:rPr>
              <w:t>Intervalo &lt; 5 min: servicio de alta frecuencia — ideal para corredores principales. Intervalo 5–15 min: servicio aceptable para rutas secundarias. Intervalo &gt; 20 min: servicio deficiente — principal causa de insatisfacción y abandono del transporte público. El análisis debe comparar hora pico vs hora valle para detectar si el problema es estructural o solo en momentos específicos.</w:t>
            </w:r>
          </w:p>
        </w:tc>
      </w:tr>
      <w:tr w:rsidR="00D44E73" w14:paraId="799FF528" w14:textId="77777777">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90" w:type="dxa"/>
              <w:left w:w="120" w:type="dxa"/>
              <w:bottom w:w="90" w:type="dxa"/>
              <w:right w:w="120" w:type="dxa"/>
            </w:tcMar>
          </w:tcPr>
          <w:p w14:paraId="53CB4DBF" w14:textId="77777777" w:rsidR="00D44E73" w:rsidRDefault="00C65EF1">
            <w:r>
              <w:rPr>
                <w:b/>
                <w:bCs/>
                <w:color w:val="0891B2"/>
                <w:sz w:val="18"/>
                <w:szCs w:val="18"/>
              </w:rPr>
              <w:t>Fuente de datos</w:t>
            </w:r>
          </w:p>
        </w:tc>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39728688" w14:textId="77777777" w:rsidR="00D44E73" w:rsidRDefault="00C65EF1">
            <w:r>
              <w:rPr>
                <w:color w:val="1E293B"/>
                <w:sz w:val="18"/>
                <w:szCs w:val="18"/>
              </w:rPr>
              <w:t>datos.gov.co – Dataset Rutas Transporte Urbano. Disponible en: datos.gov.co/Transporte/RUTAS-TRANSPORTE-URBANO/kcdt-jbvj. Contiene frecuencias declaradas por operador para cada ruta.</w:t>
            </w:r>
          </w:p>
        </w:tc>
      </w:tr>
      <w:tr w:rsidR="00D44E73" w14:paraId="63DBB1F0" w14:textId="77777777">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90" w:type="dxa"/>
              <w:left w:w="120" w:type="dxa"/>
              <w:bottom w:w="90" w:type="dxa"/>
              <w:right w:w="120" w:type="dxa"/>
            </w:tcMar>
          </w:tcPr>
          <w:p w14:paraId="088CF300" w14:textId="77777777" w:rsidR="00D44E73" w:rsidRDefault="00C65EF1">
            <w:r>
              <w:rPr>
                <w:b/>
                <w:bCs/>
                <w:color w:val="0891B2"/>
                <w:sz w:val="18"/>
                <w:szCs w:val="18"/>
              </w:rPr>
              <w:t>Responsable de cálculo</w:t>
            </w:r>
          </w:p>
        </w:tc>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2252F708" w14:textId="77777777" w:rsidR="00D44E73" w:rsidRDefault="00C65EF1">
            <w:r>
              <w:rPr>
                <w:color w:val="1E293B"/>
                <w:sz w:val="18"/>
                <w:szCs w:val="18"/>
              </w:rPr>
              <w:t>María Alejandra Valencia (DE) extrae y normaliza los datos de frecuencia. Juan Zúñiga Giraldo (DA) calcula los intervalos y analiza la distribución por franja horaria.</w:t>
            </w:r>
          </w:p>
        </w:tc>
      </w:tr>
      <w:tr w:rsidR="00D44E73" w14:paraId="54332F79" w14:textId="77777777">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90" w:type="dxa"/>
              <w:left w:w="120" w:type="dxa"/>
              <w:bottom w:w="90" w:type="dxa"/>
              <w:right w:w="120" w:type="dxa"/>
            </w:tcMar>
          </w:tcPr>
          <w:p w14:paraId="7E4641B0" w14:textId="77777777" w:rsidR="00D44E73" w:rsidRDefault="00C65EF1">
            <w:r>
              <w:rPr>
                <w:b/>
                <w:bCs/>
                <w:color w:val="0891B2"/>
                <w:sz w:val="18"/>
                <w:szCs w:val="18"/>
              </w:rPr>
              <w:t>Visualización recomendada</w:t>
            </w:r>
          </w:p>
        </w:tc>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685306A7" w14:textId="77777777" w:rsidR="00D44E73" w:rsidRDefault="00C65EF1">
            <w:r>
              <w:rPr>
                <w:color w:val="1E293B"/>
                <w:sz w:val="18"/>
                <w:szCs w:val="18"/>
              </w:rPr>
              <w:t>Gráfico de línea por ruta comparando intervalo en hora pico (6–9 am, 5–8 pm) vs hora valle (mediodía). Colores: verde para intervalos &lt; 10 min, amarillo 10–20 min, rojo &gt; 20 min. Si hay coordenadas de las rutas, mapa de rutas coloreado por intervalo promedio.</w:t>
            </w:r>
          </w:p>
        </w:tc>
      </w:tr>
      <w:tr w:rsidR="00D44E73" w14:paraId="16D1ED5C" w14:textId="77777777">
        <w:tc>
          <w:tcPr>
            <w:tcW w:w="2200" w:type="dxa"/>
            <w:tcBorders>
              <w:top w:val="single" w:sz="1" w:space="0" w:color="CCCCCC"/>
              <w:left w:val="single" w:sz="1" w:space="0" w:color="CCCCCC"/>
              <w:bottom w:val="single" w:sz="1" w:space="0" w:color="CCCCCC"/>
              <w:right w:val="single" w:sz="1" w:space="0" w:color="CCCCCC"/>
            </w:tcBorders>
            <w:shd w:val="clear" w:color="auto" w:fill="EFF6FF"/>
            <w:tcMar>
              <w:top w:w="90" w:type="dxa"/>
              <w:left w:w="120" w:type="dxa"/>
              <w:bottom w:w="90" w:type="dxa"/>
              <w:right w:w="120" w:type="dxa"/>
            </w:tcMar>
          </w:tcPr>
          <w:p w14:paraId="4AB129FF" w14:textId="77777777" w:rsidR="00D44E73" w:rsidRDefault="00C65EF1">
            <w:r>
              <w:rPr>
                <w:b/>
                <w:bCs/>
                <w:color w:val="0891B2"/>
                <w:sz w:val="18"/>
                <w:szCs w:val="18"/>
              </w:rPr>
              <w:t>Nota técnica</w:t>
            </w:r>
          </w:p>
        </w:tc>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9A4EAD7" w14:textId="77777777" w:rsidR="00D44E73" w:rsidRDefault="00C65EF1">
            <w:r>
              <w:rPr>
                <w:color w:val="1E293B"/>
                <w:sz w:val="18"/>
                <w:szCs w:val="18"/>
              </w:rPr>
              <w:t>Si el dataset solo tiene frecuencia declarada (no real), aclarar en el dashboard que son datos de oferta programada, no tiempos reales observados. Esto es honesto y profesionalmente relevante para la presentación ante Grow Data.</w:t>
            </w:r>
          </w:p>
        </w:tc>
      </w:tr>
    </w:tbl>
    <w:p w14:paraId="0E8B9F31" w14:textId="77777777" w:rsidR="00D44E73" w:rsidRDefault="00D44E73">
      <w:pPr>
        <w:spacing w:after="160"/>
      </w:pPr>
    </w:p>
    <w:p w14:paraId="1D66DA31" w14:textId="77777777" w:rsidR="00D44E73" w:rsidRDefault="00C65EF1">
      <w:pPr>
        <w:pStyle w:val="Ttulo2"/>
      </w:pPr>
      <w:r>
        <w:t>KPI 4 · Accidentalidad Vial por Zona y Periodo</w:t>
      </w:r>
    </w:p>
    <w:p w14:paraId="0DCD56E8" w14:textId="77777777" w:rsidR="00D44E73" w:rsidRDefault="00D44E73">
      <w:pPr>
        <w:pBdr>
          <w:bottom w:val="single" w:sz="4" w:space="1" w:color="0891B2"/>
        </w:pBdr>
        <w:spacing w:before="4" w:after="160"/>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638"/>
      </w:tblGrid>
      <w:tr w:rsidR="00D44E73" w14:paraId="30870B56" w14:textId="77777777">
        <w:tc>
          <w:tcPr>
            <w:tcW w:w="2200" w:type="dxa"/>
            <w:tcBorders>
              <w:top w:val="single" w:sz="1" w:space="0" w:color="CCCCCC"/>
              <w:left w:val="single" w:sz="1" w:space="0" w:color="CCCCCC"/>
              <w:bottom w:val="single" w:sz="1" w:space="0" w:color="CCCCCC"/>
              <w:right w:val="single" w:sz="1" w:space="0" w:color="CCCCCC"/>
            </w:tcBorders>
            <w:shd w:val="clear" w:color="auto" w:fill="FEE2E2"/>
            <w:tcMar>
              <w:top w:w="90" w:type="dxa"/>
              <w:left w:w="120" w:type="dxa"/>
              <w:bottom w:w="90" w:type="dxa"/>
              <w:right w:w="120" w:type="dxa"/>
            </w:tcMar>
          </w:tcPr>
          <w:p w14:paraId="198BB23D" w14:textId="77777777" w:rsidR="00D44E73" w:rsidRDefault="00C65EF1">
            <w:r>
              <w:rPr>
                <w:b/>
                <w:bCs/>
                <w:color w:val="0891B2"/>
                <w:sz w:val="18"/>
                <w:szCs w:val="18"/>
              </w:rPr>
              <w:t>Categoría</w:t>
            </w:r>
          </w:p>
        </w:tc>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1F418B3B" w14:textId="77777777" w:rsidR="00D44E73" w:rsidRDefault="00C65EF1">
            <w:r>
              <w:rPr>
                <w:color w:val="1E293B"/>
                <w:sz w:val="18"/>
                <w:szCs w:val="18"/>
              </w:rPr>
              <w:t>Seguridad vial — impacto humano del sistema de transporte</w:t>
            </w:r>
          </w:p>
        </w:tc>
      </w:tr>
      <w:tr w:rsidR="00D44E73" w14:paraId="1E436902" w14:textId="77777777">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90" w:type="dxa"/>
              <w:left w:w="120" w:type="dxa"/>
              <w:bottom w:w="90" w:type="dxa"/>
              <w:right w:w="120" w:type="dxa"/>
            </w:tcMar>
          </w:tcPr>
          <w:p w14:paraId="47CA9EDC" w14:textId="77777777" w:rsidR="00D44E73" w:rsidRDefault="00C65EF1">
            <w:r>
              <w:rPr>
                <w:b/>
                <w:bCs/>
                <w:color w:val="0891B2"/>
                <w:sz w:val="18"/>
                <w:szCs w:val="18"/>
              </w:rPr>
              <w:t>Definición</w:t>
            </w:r>
          </w:p>
        </w:tc>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433D35BD" w14:textId="77777777" w:rsidR="00D44E73" w:rsidRDefault="00C65EF1">
            <w:r>
              <w:rPr>
                <w:color w:val="1E293B"/>
                <w:sz w:val="18"/>
                <w:szCs w:val="18"/>
              </w:rPr>
              <w:t>Contabiliza el número de accidentes de tránsito ocurridos por zona geográfica y periodo de tiempo. Permite identificar los corredores y municipios con mayor riesgo vial y correlacionarlos con las rutas de mayor tráfico del transporte público.</w:t>
            </w:r>
          </w:p>
        </w:tc>
      </w:tr>
      <w:tr w:rsidR="00D44E73" w14:paraId="15A792F0" w14:textId="77777777">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90" w:type="dxa"/>
              <w:left w:w="120" w:type="dxa"/>
              <w:bottom w:w="90" w:type="dxa"/>
              <w:right w:w="120" w:type="dxa"/>
            </w:tcMar>
          </w:tcPr>
          <w:p w14:paraId="1B2020EF" w14:textId="77777777" w:rsidR="00D44E73" w:rsidRDefault="00C65EF1">
            <w:r>
              <w:rPr>
                <w:b/>
                <w:bCs/>
                <w:color w:val="0891B2"/>
                <w:sz w:val="18"/>
                <w:szCs w:val="18"/>
              </w:rPr>
              <w:t>Fórmula</w:t>
            </w:r>
          </w:p>
        </w:tc>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3A9C34EF" w14:textId="77777777" w:rsidR="00D44E73" w:rsidRDefault="00C65EF1">
            <w:r>
              <w:rPr>
                <w:color w:val="1E293B"/>
                <w:sz w:val="18"/>
                <w:szCs w:val="18"/>
              </w:rPr>
              <w:t>Accidentalidad = COUNT(registros de accidentes) agrupados por municipio/zona y mes. Tasa de accidentalidad = (Número de accidentes ÷ Parque vehicular en circulación) × 100.000</w:t>
            </w:r>
          </w:p>
        </w:tc>
      </w:tr>
      <w:tr w:rsidR="00D44E73" w14:paraId="7403B07A" w14:textId="77777777">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90" w:type="dxa"/>
              <w:left w:w="120" w:type="dxa"/>
              <w:bottom w:w="90" w:type="dxa"/>
              <w:right w:w="120" w:type="dxa"/>
            </w:tcMar>
          </w:tcPr>
          <w:p w14:paraId="58BCBA0F" w14:textId="77777777" w:rsidR="00D44E73" w:rsidRDefault="00C65EF1">
            <w:r>
              <w:rPr>
                <w:b/>
                <w:bCs/>
                <w:color w:val="0891B2"/>
                <w:sz w:val="18"/>
                <w:szCs w:val="18"/>
              </w:rPr>
              <w:t>Interpretación</w:t>
            </w:r>
          </w:p>
        </w:tc>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5B3AA61E" w14:textId="77777777" w:rsidR="00D44E73" w:rsidRDefault="00C65EF1">
            <w:r>
              <w:rPr>
                <w:color w:val="1E293B"/>
                <w:sz w:val="18"/>
                <w:szCs w:val="18"/>
              </w:rPr>
              <w:t>Un municipio con alta accidentalidad y alta densidad de rutas de transporte público indica un corredor crítico que requiere intervención. Cruzar este KPI con el IPK (KPI 1) permite identificar si las rutas más usadas son también las más peligrosas — lo cual sería un hallazgo de alto impacto para Grow Data.</w:t>
            </w:r>
          </w:p>
        </w:tc>
      </w:tr>
      <w:tr w:rsidR="00D44E73" w14:paraId="6B0ADFA6" w14:textId="77777777">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90" w:type="dxa"/>
              <w:left w:w="120" w:type="dxa"/>
              <w:bottom w:w="90" w:type="dxa"/>
              <w:right w:w="120" w:type="dxa"/>
            </w:tcMar>
          </w:tcPr>
          <w:p w14:paraId="4C962185" w14:textId="77777777" w:rsidR="00D44E73" w:rsidRDefault="00C65EF1">
            <w:r>
              <w:rPr>
                <w:b/>
                <w:bCs/>
                <w:color w:val="0891B2"/>
                <w:sz w:val="18"/>
                <w:szCs w:val="18"/>
              </w:rPr>
              <w:lastRenderedPageBreak/>
              <w:t>Fuente de datos</w:t>
            </w:r>
          </w:p>
        </w:tc>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3690C60E" w14:textId="77777777" w:rsidR="00D44E73" w:rsidRDefault="00C65EF1">
            <w:r>
              <w:rPr>
                <w:color w:val="1E293B"/>
                <w:sz w:val="18"/>
                <w:szCs w:val="18"/>
              </w:rPr>
              <w:t>datos.gov.co – Accidentalidad Vial por municipio. Existen múltiples datasets disponibles, entre ellos el de Accidentalidad Vial Municipio de Candelaria (Valle) y el Anuario de Siniestralidad Vial de la Secretaría de Movilidad para ciudades principales. Buscar en datos.gov.co con la palabra clave "accidentalidad vial".</w:t>
            </w:r>
          </w:p>
        </w:tc>
      </w:tr>
      <w:tr w:rsidR="00D44E73" w14:paraId="346554A7" w14:textId="77777777">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90" w:type="dxa"/>
              <w:left w:w="120" w:type="dxa"/>
              <w:bottom w:w="90" w:type="dxa"/>
              <w:right w:w="120" w:type="dxa"/>
            </w:tcMar>
          </w:tcPr>
          <w:p w14:paraId="1B32D7F8" w14:textId="77777777" w:rsidR="00D44E73" w:rsidRDefault="00C65EF1">
            <w:r>
              <w:rPr>
                <w:b/>
                <w:bCs/>
                <w:color w:val="0891B2"/>
                <w:sz w:val="18"/>
                <w:szCs w:val="18"/>
              </w:rPr>
              <w:t>Responsable de cálculo</w:t>
            </w:r>
          </w:p>
        </w:tc>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89417E5" w14:textId="77777777" w:rsidR="00D44E73" w:rsidRDefault="00C65EF1">
            <w:r>
              <w:rPr>
                <w:color w:val="1E293B"/>
                <w:sz w:val="18"/>
                <w:szCs w:val="18"/>
              </w:rPr>
              <w:t>María Alejandra Valencia (DE) descarga y limpia el dataset. Juan Zúñiga Giraldo (DA) calcula la tasa y la distribución geográfica.</w:t>
            </w:r>
          </w:p>
        </w:tc>
      </w:tr>
      <w:tr w:rsidR="00D44E73" w14:paraId="0804A423" w14:textId="77777777">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90" w:type="dxa"/>
              <w:left w:w="120" w:type="dxa"/>
              <w:bottom w:w="90" w:type="dxa"/>
              <w:right w:w="120" w:type="dxa"/>
            </w:tcMar>
          </w:tcPr>
          <w:p w14:paraId="2E6D67CE" w14:textId="77777777" w:rsidR="00D44E73" w:rsidRDefault="00C65EF1">
            <w:r>
              <w:rPr>
                <w:b/>
                <w:bCs/>
                <w:color w:val="0891B2"/>
                <w:sz w:val="18"/>
                <w:szCs w:val="18"/>
              </w:rPr>
              <w:t>Visualización recomendada</w:t>
            </w:r>
          </w:p>
        </w:tc>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36341B36" w14:textId="77777777" w:rsidR="00D44E73" w:rsidRDefault="00C65EF1">
            <w:r>
              <w:rPr>
                <w:color w:val="1E293B"/>
                <w:sz w:val="18"/>
                <w:szCs w:val="18"/>
              </w:rPr>
              <w:t>Mapa de calor geoespacial con Folium: cada municipio o zona coloreada según el número de accidentes acumulados en el periodo. Es la visualización más impactante del dashboard y la que más conversación genera en una presentación en vivo.</w:t>
            </w:r>
          </w:p>
        </w:tc>
      </w:tr>
      <w:tr w:rsidR="00D44E73" w14:paraId="7260F93D" w14:textId="77777777">
        <w:tc>
          <w:tcPr>
            <w:tcW w:w="2200" w:type="dxa"/>
            <w:tcBorders>
              <w:top w:val="single" w:sz="1" w:space="0" w:color="CCCCCC"/>
              <w:left w:val="single" w:sz="1" w:space="0" w:color="CCCCCC"/>
              <w:bottom w:val="single" w:sz="1" w:space="0" w:color="CCCCCC"/>
              <w:right w:val="single" w:sz="1" w:space="0" w:color="CCCCCC"/>
            </w:tcBorders>
            <w:shd w:val="clear" w:color="auto" w:fill="FEE2E2"/>
            <w:tcMar>
              <w:top w:w="90" w:type="dxa"/>
              <w:left w:w="120" w:type="dxa"/>
              <w:bottom w:w="90" w:type="dxa"/>
              <w:right w:w="120" w:type="dxa"/>
            </w:tcMar>
          </w:tcPr>
          <w:p w14:paraId="35198B10" w14:textId="77777777" w:rsidR="00D44E73" w:rsidRDefault="00C65EF1">
            <w:r>
              <w:rPr>
                <w:b/>
                <w:bCs/>
                <w:color w:val="0891B2"/>
                <w:sz w:val="18"/>
                <w:szCs w:val="18"/>
              </w:rPr>
              <w:t>Nota técnica</w:t>
            </w:r>
          </w:p>
        </w:tc>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2FF8AF11" w14:textId="77777777" w:rsidR="00D44E73" w:rsidRDefault="00C65EF1">
            <w:r>
              <w:rPr>
                <w:color w:val="1E293B"/>
                <w:sz w:val="18"/>
                <w:szCs w:val="18"/>
              </w:rPr>
              <w:t>Si los datos incluyen tipo de accidente (choque, atropello, volcamiento), añadir un filtro en el dashboard por tipo. Esto enriquece el análisis y demuestra dominio del dato. El mapa de calor puede superponerse con el mapa de rutas (KPI 3) para un análisis integrado.</w:t>
            </w:r>
          </w:p>
        </w:tc>
      </w:tr>
    </w:tbl>
    <w:p w14:paraId="0D467FBE" w14:textId="77777777" w:rsidR="00D44E73" w:rsidRDefault="00D44E73">
      <w:pPr>
        <w:spacing w:after="160"/>
      </w:pPr>
    </w:p>
    <w:p w14:paraId="4CD10928" w14:textId="3A786AC9" w:rsidR="00D44E73" w:rsidRDefault="00C65EF1" w:rsidP="00C21A02">
      <w:r>
        <w:br w:type="page"/>
      </w:r>
      <w:r>
        <w:rPr>
          <w:b/>
          <w:bCs/>
          <w:color w:val="2563EB"/>
          <w:sz w:val="30"/>
          <w:szCs w:val="30"/>
        </w:rPr>
        <w:lastRenderedPageBreak/>
        <w:t>4. Fichas Detalladas — Grupo Opcional (intercambiables)</w:t>
      </w:r>
    </w:p>
    <w:p w14:paraId="0A5926F7" w14:textId="77777777" w:rsidR="00D44E73" w:rsidRDefault="00D44E73">
      <w:pPr>
        <w:pBdr>
          <w:bottom w:val="single" w:sz="4" w:space="1" w:color="2563EB"/>
        </w:pBdr>
        <w:spacing w:before="4" w:after="160"/>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8838"/>
      </w:tblGrid>
      <w:tr w:rsidR="00D44E73" w14:paraId="2891B178" w14:textId="77777777">
        <w:tc>
          <w:tcPr>
            <w:tcW w:w="8838" w:type="dxa"/>
            <w:tcBorders>
              <w:top w:val="none" w:sz="0" w:space="0" w:color="FFFFFF"/>
              <w:left w:val="single" w:sz="12" w:space="0" w:color="D97706"/>
              <w:bottom w:val="none" w:sz="0" w:space="0" w:color="FFFFFF"/>
              <w:right w:val="none" w:sz="0" w:space="0" w:color="FFFFFF"/>
            </w:tcBorders>
            <w:shd w:val="clear" w:color="auto" w:fill="FFFBEB"/>
            <w:tcMar>
              <w:top w:w="60" w:type="dxa"/>
              <w:left w:w="140" w:type="dxa"/>
              <w:bottom w:w="60" w:type="dxa"/>
              <w:right w:w="100" w:type="dxa"/>
            </w:tcMar>
          </w:tcPr>
          <w:p w14:paraId="193886A2" w14:textId="77777777" w:rsidR="00D44E73" w:rsidRDefault="00C65EF1">
            <w:pPr>
              <w:spacing w:line="260" w:lineRule="auto"/>
            </w:pPr>
            <w:r>
              <w:rPr>
                <w:b/>
                <w:bCs/>
                <w:color w:val="1E293B"/>
                <w:sz w:val="21"/>
                <w:szCs w:val="21"/>
              </w:rPr>
              <w:t>¿Cuándo usar los KPIs opcionales?</w:t>
            </w:r>
          </w:p>
        </w:tc>
      </w:tr>
      <w:tr w:rsidR="00D44E73" w14:paraId="01B2317E" w14:textId="77777777">
        <w:tc>
          <w:tcPr>
            <w:tcW w:w="8838" w:type="dxa"/>
            <w:tcBorders>
              <w:top w:val="none" w:sz="0" w:space="0" w:color="FFFFFF"/>
              <w:left w:val="single" w:sz="12" w:space="0" w:color="D97706"/>
              <w:bottom w:val="none" w:sz="0" w:space="0" w:color="FFFFFF"/>
              <w:right w:val="none" w:sz="0" w:space="0" w:color="FFFFFF"/>
            </w:tcBorders>
            <w:shd w:val="clear" w:color="auto" w:fill="FFFBEB"/>
            <w:tcMar>
              <w:top w:w="60" w:type="dxa"/>
              <w:left w:w="140" w:type="dxa"/>
              <w:bottom w:w="60" w:type="dxa"/>
              <w:right w:w="100" w:type="dxa"/>
            </w:tcMar>
          </w:tcPr>
          <w:p w14:paraId="78522068" w14:textId="77777777" w:rsidR="00D44E73" w:rsidRDefault="00C65EF1">
            <w:pPr>
              <w:spacing w:line="260" w:lineRule="auto"/>
            </w:pPr>
            <w:r>
              <w:rPr>
                <w:color w:val="1E293B"/>
                <w:sz w:val="21"/>
                <w:szCs w:val="21"/>
              </w:rPr>
              <w:t>Los KPIs 5 y 6 no son menos importantes — son alternativas igualmente válidas. Se activan cuando: (a) un dataset del grupo principal no está disponible con suficiente calidad, (b) el equipo quiere añadir una dimensión analítica adicional, o (c) la historia de datos se enriquece con una perspectiva temporal o de eficiencia de flota.</w:t>
            </w:r>
          </w:p>
        </w:tc>
      </w:tr>
    </w:tbl>
    <w:p w14:paraId="2C215E0E" w14:textId="77777777" w:rsidR="00D44E73" w:rsidRDefault="00D44E73">
      <w:pPr>
        <w:spacing w:after="160"/>
      </w:pPr>
    </w:p>
    <w:p w14:paraId="17220A2B" w14:textId="77777777" w:rsidR="00D44E73" w:rsidRDefault="00C65EF1">
      <w:pPr>
        <w:pStyle w:val="Ttulo2"/>
      </w:pPr>
      <w:r>
        <w:t>KPI 5* · Tendencia de Pasajeros Movilizados (variación trimestral)</w:t>
      </w:r>
    </w:p>
    <w:p w14:paraId="0FECDE41" w14:textId="77777777" w:rsidR="00D44E73" w:rsidRDefault="00D44E73">
      <w:pPr>
        <w:pBdr>
          <w:bottom w:val="single" w:sz="4" w:space="1" w:color="D97706"/>
        </w:pBdr>
        <w:spacing w:before="4" w:after="160"/>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638"/>
      </w:tblGrid>
      <w:tr w:rsidR="00D44E73" w14:paraId="621075BE" w14:textId="77777777">
        <w:tc>
          <w:tcPr>
            <w:tcW w:w="2200" w:type="dxa"/>
            <w:tcBorders>
              <w:top w:val="single" w:sz="1" w:space="0" w:color="CCCCCC"/>
              <w:left w:val="single" w:sz="1" w:space="0" w:color="CCCCCC"/>
              <w:bottom w:val="single" w:sz="1" w:space="0" w:color="CCCCCC"/>
              <w:right w:val="single" w:sz="1" w:space="0" w:color="CCCCCC"/>
            </w:tcBorders>
            <w:shd w:val="clear" w:color="auto" w:fill="FEF3C7"/>
            <w:tcMar>
              <w:top w:w="90" w:type="dxa"/>
              <w:left w:w="120" w:type="dxa"/>
              <w:bottom w:w="90" w:type="dxa"/>
              <w:right w:w="120" w:type="dxa"/>
            </w:tcMar>
          </w:tcPr>
          <w:p w14:paraId="0D1713CC" w14:textId="77777777" w:rsidR="00D44E73" w:rsidRDefault="00C65EF1">
            <w:r>
              <w:rPr>
                <w:b/>
                <w:bCs/>
                <w:color w:val="0891B2"/>
                <w:sz w:val="18"/>
                <w:szCs w:val="18"/>
              </w:rPr>
              <w:t>Categoría</w:t>
            </w:r>
          </w:p>
        </w:tc>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495F24B8" w14:textId="77777777" w:rsidR="00D44E73" w:rsidRDefault="00C65EF1">
            <w:r>
              <w:rPr>
                <w:color w:val="1E293B"/>
                <w:sz w:val="18"/>
                <w:szCs w:val="18"/>
              </w:rPr>
              <w:t>Tendencia temporal — evolución del uso del transporte público</w:t>
            </w:r>
          </w:p>
        </w:tc>
      </w:tr>
      <w:tr w:rsidR="00D44E73" w14:paraId="07BFB96B" w14:textId="77777777">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90" w:type="dxa"/>
              <w:left w:w="120" w:type="dxa"/>
              <w:bottom w:w="90" w:type="dxa"/>
              <w:right w:w="120" w:type="dxa"/>
            </w:tcMar>
          </w:tcPr>
          <w:p w14:paraId="2C81DE21" w14:textId="77777777" w:rsidR="00D44E73" w:rsidRDefault="00C65EF1">
            <w:r>
              <w:rPr>
                <w:b/>
                <w:bCs/>
                <w:color w:val="0891B2"/>
                <w:sz w:val="18"/>
                <w:szCs w:val="18"/>
              </w:rPr>
              <w:t>Definición</w:t>
            </w:r>
          </w:p>
        </w:tc>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D33653E" w14:textId="77777777" w:rsidR="00D44E73" w:rsidRDefault="00C65EF1">
            <w:r>
              <w:rPr>
                <w:color w:val="1E293B"/>
                <w:sz w:val="18"/>
                <w:szCs w:val="18"/>
              </w:rPr>
              <w:t>Mide el crecimiento o decrecimiento porcentual del número de pasajeros movilizados entre un periodo y el anterior. Permite responder preguntas como: ¿está aumentando o disminuyendo el uso del transporte público en Colombia? ¿Qué ciudades están creciendo más? ¿Hubo un impacto post-pandemia aún no recuperado?</w:t>
            </w:r>
          </w:p>
        </w:tc>
      </w:tr>
      <w:tr w:rsidR="00D44E73" w14:paraId="451332C9" w14:textId="77777777">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90" w:type="dxa"/>
              <w:left w:w="120" w:type="dxa"/>
              <w:bottom w:w="90" w:type="dxa"/>
              <w:right w:w="120" w:type="dxa"/>
            </w:tcMar>
          </w:tcPr>
          <w:p w14:paraId="6138F2B2" w14:textId="77777777" w:rsidR="00D44E73" w:rsidRDefault="00C65EF1">
            <w:r>
              <w:rPr>
                <w:b/>
                <w:bCs/>
                <w:color w:val="0891B2"/>
                <w:sz w:val="18"/>
                <w:szCs w:val="18"/>
              </w:rPr>
              <w:t>Fórmula</w:t>
            </w:r>
          </w:p>
        </w:tc>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60C372AD" w14:textId="77777777" w:rsidR="00D44E73" w:rsidRDefault="00C65EF1">
            <w:r>
              <w:rPr>
                <w:color w:val="1E293B"/>
                <w:sz w:val="18"/>
                <w:szCs w:val="18"/>
              </w:rPr>
              <w:t>Variación (%) = ((Pasajeros periodo actual − Pasajeros periodo anterior) ÷ Pasajeros periodo anterior) × 100</w:t>
            </w:r>
          </w:p>
        </w:tc>
      </w:tr>
      <w:tr w:rsidR="00D44E73" w14:paraId="6AFF74B6" w14:textId="77777777">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90" w:type="dxa"/>
              <w:left w:w="120" w:type="dxa"/>
              <w:bottom w:w="90" w:type="dxa"/>
              <w:right w:w="120" w:type="dxa"/>
            </w:tcMar>
          </w:tcPr>
          <w:p w14:paraId="0C901DFE" w14:textId="77777777" w:rsidR="00D44E73" w:rsidRDefault="00C65EF1">
            <w:r>
              <w:rPr>
                <w:b/>
                <w:bCs/>
                <w:color w:val="0891B2"/>
                <w:sz w:val="18"/>
                <w:szCs w:val="18"/>
              </w:rPr>
              <w:t>Interpretación</w:t>
            </w:r>
          </w:p>
        </w:tc>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FDB4C01" w14:textId="77777777" w:rsidR="00D44E73" w:rsidRDefault="00C65EF1">
            <w:r>
              <w:rPr>
                <w:color w:val="1E293B"/>
                <w:sz w:val="18"/>
                <w:szCs w:val="18"/>
              </w:rPr>
              <w:t>Variación positiva sostenida: el sistema está creciendo en usuarios — señal de confianza. Variación negativa prolongada: los usuarios están migrando a otros medios de transporte — señal de alerta. La comparación año a año y trimestre a trimestre da una imagen más completa que un solo periodo.</w:t>
            </w:r>
          </w:p>
        </w:tc>
      </w:tr>
      <w:tr w:rsidR="00D44E73" w14:paraId="03F9ADA2" w14:textId="77777777">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90" w:type="dxa"/>
              <w:left w:w="120" w:type="dxa"/>
              <w:bottom w:w="90" w:type="dxa"/>
              <w:right w:w="120" w:type="dxa"/>
            </w:tcMar>
          </w:tcPr>
          <w:p w14:paraId="652D6CB7" w14:textId="77777777" w:rsidR="00D44E73" w:rsidRDefault="00C65EF1">
            <w:r>
              <w:rPr>
                <w:b/>
                <w:bCs/>
                <w:color w:val="0891B2"/>
                <w:sz w:val="18"/>
                <w:szCs w:val="18"/>
              </w:rPr>
              <w:t>Fuente de datos</w:t>
            </w:r>
          </w:p>
        </w:tc>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1AB09966" w14:textId="77777777" w:rsidR="00D44E73" w:rsidRDefault="00C65EF1">
            <w:r>
              <w:rPr>
                <w:color w:val="1E293B"/>
                <w:sz w:val="18"/>
                <w:szCs w:val="18"/>
              </w:rPr>
              <w:t>DANE – ETUP: series trimestrales disponibles desde 2016 por ciudad. La serie histórica permite construir una línea de tiempo sólida y detectar puntos de inflexión (como el impacto del COVID-19 en 2020–2021).</w:t>
            </w:r>
          </w:p>
        </w:tc>
      </w:tr>
      <w:tr w:rsidR="00D44E73" w14:paraId="0BA0CF4C" w14:textId="77777777">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90" w:type="dxa"/>
              <w:left w:w="120" w:type="dxa"/>
              <w:bottom w:w="90" w:type="dxa"/>
              <w:right w:w="120" w:type="dxa"/>
            </w:tcMar>
          </w:tcPr>
          <w:p w14:paraId="1C86CF95" w14:textId="77777777" w:rsidR="00D44E73" w:rsidRDefault="00C65EF1">
            <w:r>
              <w:rPr>
                <w:b/>
                <w:bCs/>
                <w:color w:val="0891B2"/>
                <w:sz w:val="18"/>
                <w:szCs w:val="18"/>
              </w:rPr>
              <w:t>Responsable de cálculo</w:t>
            </w:r>
          </w:p>
        </w:tc>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7AD655A7" w14:textId="77777777" w:rsidR="00D44E73" w:rsidRDefault="00C65EF1">
            <w:r>
              <w:rPr>
                <w:color w:val="1E293B"/>
                <w:sz w:val="18"/>
                <w:szCs w:val="18"/>
              </w:rPr>
              <w:t>Juan Zúñiga Giraldo (DA) calcula la variación trimestral con Python sobre los datos de ETUP preparados por María (DE).</w:t>
            </w:r>
          </w:p>
        </w:tc>
      </w:tr>
      <w:tr w:rsidR="00D44E73" w14:paraId="0AC4A258" w14:textId="77777777">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90" w:type="dxa"/>
              <w:left w:w="120" w:type="dxa"/>
              <w:bottom w:w="90" w:type="dxa"/>
              <w:right w:w="120" w:type="dxa"/>
            </w:tcMar>
          </w:tcPr>
          <w:p w14:paraId="333D522E" w14:textId="77777777" w:rsidR="00D44E73" w:rsidRDefault="00C65EF1">
            <w:r>
              <w:rPr>
                <w:b/>
                <w:bCs/>
                <w:color w:val="0891B2"/>
                <w:sz w:val="18"/>
                <w:szCs w:val="18"/>
              </w:rPr>
              <w:t>Visualización recomendada</w:t>
            </w:r>
          </w:p>
        </w:tc>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528671B2" w14:textId="77777777" w:rsidR="00D44E73" w:rsidRDefault="00C65EF1">
            <w:r>
              <w:rPr>
                <w:color w:val="1E293B"/>
                <w:sz w:val="18"/>
                <w:szCs w:val="18"/>
              </w:rPr>
              <w:t>Gráfico de línea temporal con múltiples series (una por ciudad principal). Añadir una banda de color para marcar periodos de crisis (2020–2021). Ideal como primer gráfico del dashboard — da contexto antes de entrar a los indicadores operativos.</w:t>
            </w:r>
          </w:p>
        </w:tc>
      </w:tr>
      <w:tr w:rsidR="00D44E73" w14:paraId="4B99ED44" w14:textId="77777777">
        <w:tc>
          <w:tcPr>
            <w:tcW w:w="2200" w:type="dxa"/>
            <w:tcBorders>
              <w:top w:val="single" w:sz="1" w:space="0" w:color="CCCCCC"/>
              <w:left w:val="single" w:sz="1" w:space="0" w:color="CCCCCC"/>
              <w:bottom w:val="single" w:sz="1" w:space="0" w:color="CCCCCC"/>
              <w:right w:val="single" w:sz="1" w:space="0" w:color="CCCCCC"/>
            </w:tcBorders>
            <w:shd w:val="clear" w:color="auto" w:fill="FEF3C7"/>
            <w:tcMar>
              <w:top w:w="90" w:type="dxa"/>
              <w:left w:w="120" w:type="dxa"/>
              <w:bottom w:w="90" w:type="dxa"/>
              <w:right w:w="120" w:type="dxa"/>
            </w:tcMar>
          </w:tcPr>
          <w:p w14:paraId="3494B3EE" w14:textId="77777777" w:rsidR="00D44E73" w:rsidRDefault="00C65EF1">
            <w:r>
              <w:rPr>
                <w:b/>
                <w:bCs/>
                <w:color w:val="0891B2"/>
                <w:sz w:val="18"/>
                <w:szCs w:val="18"/>
              </w:rPr>
              <w:t>Intercambiable con</w:t>
            </w:r>
          </w:p>
        </w:tc>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47C78083" w14:textId="77777777" w:rsidR="00D44E73" w:rsidRDefault="00C65EF1">
            <w:r>
              <w:rPr>
                <w:color w:val="1E293B"/>
                <w:sz w:val="18"/>
                <w:szCs w:val="18"/>
              </w:rPr>
              <w:t>KPI 3 (Intervalo de Operación) si los datos de frecuencia de datos.gov.co están incompletos o no permiten cálculo confiable.</w:t>
            </w:r>
          </w:p>
        </w:tc>
      </w:tr>
    </w:tbl>
    <w:p w14:paraId="6B303513" w14:textId="77777777" w:rsidR="00D44E73" w:rsidRDefault="00D44E73">
      <w:pPr>
        <w:spacing w:after="160"/>
      </w:pPr>
    </w:p>
    <w:p w14:paraId="3370FEE8" w14:textId="77777777" w:rsidR="00D44E73" w:rsidRDefault="00C65EF1">
      <w:pPr>
        <w:pStyle w:val="Ttulo2"/>
      </w:pPr>
      <w:r>
        <w:t>KPI 6* · IPV — Índice de Pasajeros por Vehículo</w:t>
      </w:r>
    </w:p>
    <w:p w14:paraId="10EFDE6E" w14:textId="77777777" w:rsidR="00D44E73" w:rsidRDefault="00D44E73">
      <w:pPr>
        <w:pBdr>
          <w:bottom w:val="single" w:sz="4" w:space="1" w:color="D97706"/>
        </w:pBdr>
        <w:spacing w:before="4" w:after="160"/>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638"/>
      </w:tblGrid>
      <w:tr w:rsidR="00D44E73" w14:paraId="13FA18CC" w14:textId="77777777">
        <w:tc>
          <w:tcPr>
            <w:tcW w:w="2200" w:type="dxa"/>
            <w:tcBorders>
              <w:top w:val="single" w:sz="1" w:space="0" w:color="CCCCCC"/>
              <w:left w:val="single" w:sz="1" w:space="0" w:color="CCCCCC"/>
              <w:bottom w:val="single" w:sz="1" w:space="0" w:color="CCCCCC"/>
              <w:right w:val="single" w:sz="1" w:space="0" w:color="CCCCCC"/>
            </w:tcBorders>
            <w:shd w:val="clear" w:color="auto" w:fill="FEF3C7"/>
            <w:tcMar>
              <w:top w:w="90" w:type="dxa"/>
              <w:left w:w="120" w:type="dxa"/>
              <w:bottom w:w="90" w:type="dxa"/>
              <w:right w:w="120" w:type="dxa"/>
            </w:tcMar>
          </w:tcPr>
          <w:p w14:paraId="5D34D4C3" w14:textId="77777777" w:rsidR="00D44E73" w:rsidRDefault="00C65EF1">
            <w:r>
              <w:rPr>
                <w:b/>
                <w:bCs/>
                <w:color w:val="0891B2"/>
                <w:sz w:val="18"/>
                <w:szCs w:val="18"/>
              </w:rPr>
              <w:t>Categoría</w:t>
            </w:r>
          </w:p>
        </w:tc>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4ED31C86" w14:textId="77777777" w:rsidR="00D44E73" w:rsidRDefault="00C65EF1">
            <w:r>
              <w:rPr>
                <w:color w:val="1E293B"/>
                <w:sz w:val="18"/>
                <w:szCs w:val="18"/>
              </w:rPr>
              <w:t>Eficiencia de la flota — aprovechamiento del parque automotor</w:t>
            </w:r>
          </w:p>
        </w:tc>
      </w:tr>
      <w:tr w:rsidR="00D44E73" w14:paraId="6A8B73AF" w14:textId="77777777">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90" w:type="dxa"/>
              <w:left w:w="120" w:type="dxa"/>
              <w:bottom w:w="90" w:type="dxa"/>
              <w:right w:w="120" w:type="dxa"/>
            </w:tcMar>
          </w:tcPr>
          <w:p w14:paraId="7C9614F6" w14:textId="77777777" w:rsidR="00D44E73" w:rsidRDefault="00C65EF1">
            <w:r>
              <w:rPr>
                <w:b/>
                <w:bCs/>
                <w:color w:val="0891B2"/>
                <w:sz w:val="18"/>
                <w:szCs w:val="18"/>
              </w:rPr>
              <w:t>Definición</w:t>
            </w:r>
          </w:p>
        </w:tc>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24AF0CD1" w14:textId="77777777" w:rsidR="00D44E73" w:rsidRDefault="00C65EF1">
            <w:r>
              <w:rPr>
                <w:color w:val="1E293B"/>
                <w:sz w:val="18"/>
                <w:szCs w:val="18"/>
              </w:rPr>
              <w:t>Mide cuántos pasajeros transporta en promedio cada vehículo habilitado en el sistema. Revela si la flota disponible está siendo bien utilizada o si hay un exceso de oferta vehicular frente a la demanda real de pasajeros.</w:t>
            </w:r>
          </w:p>
        </w:tc>
      </w:tr>
      <w:tr w:rsidR="00D44E73" w14:paraId="0FA00C18" w14:textId="77777777">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90" w:type="dxa"/>
              <w:left w:w="120" w:type="dxa"/>
              <w:bottom w:w="90" w:type="dxa"/>
              <w:right w:w="120" w:type="dxa"/>
            </w:tcMar>
          </w:tcPr>
          <w:p w14:paraId="02E1DE8A" w14:textId="77777777" w:rsidR="00D44E73" w:rsidRDefault="00C65EF1">
            <w:r>
              <w:rPr>
                <w:b/>
                <w:bCs/>
                <w:color w:val="0891B2"/>
                <w:sz w:val="18"/>
                <w:szCs w:val="18"/>
              </w:rPr>
              <w:lastRenderedPageBreak/>
              <w:t>Fórmula</w:t>
            </w:r>
          </w:p>
        </w:tc>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2E22FF11" w14:textId="77777777" w:rsidR="00D44E73" w:rsidRDefault="00C65EF1">
            <w:r>
              <w:rPr>
                <w:color w:val="1E293B"/>
                <w:sz w:val="18"/>
                <w:szCs w:val="18"/>
              </w:rPr>
              <w:t>IPV = Total de pasajeros movilizados en el periodo ÷ Número de vehículos en operación en ese periodo</w:t>
            </w:r>
          </w:p>
        </w:tc>
      </w:tr>
      <w:tr w:rsidR="00D44E73" w14:paraId="0F4E5D6E" w14:textId="77777777">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90" w:type="dxa"/>
              <w:left w:w="120" w:type="dxa"/>
              <w:bottom w:w="90" w:type="dxa"/>
              <w:right w:w="120" w:type="dxa"/>
            </w:tcMar>
          </w:tcPr>
          <w:p w14:paraId="09FCA1D4" w14:textId="77777777" w:rsidR="00D44E73" w:rsidRDefault="00C65EF1">
            <w:r>
              <w:rPr>
                <w:b/>
                <w:bCs/>
                <w:color w:val="0891B2"/>
                <w:sz w:val="18"/>
                <w:szCs w:val="18"/>
              </w:rPr>
              <w:t>Interpretación</w:t>
            </w:r>
          </w:p>
        </w:tc>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3BD902D4" w14:textId="77777777" w:rsidR="00D44E73" w:rsidRDefault="00C65EF1">
            <w:r>
              <w:rPr>
                <w:color w:val="1E293B"/>
                <w:sz w:val="18"/>
                <w:szCs w:val="18"/>
              </w:rPr>
              <w:t>IPV alto: los vehículos están siendo muy bien aprovechados — posiblemente hay poca flota para tanta demanda. IPV bajo: hay más vehículos de los que la demanda justifica — indica ineficiencia operativa o rutas redundantes. Complementa al IPK: un IPK alto con IPV bajo sugiere rutas cortas pero muy transitadas.</w:t>
            </w:r>
          </w:p>
        </w:tc>
      </w:tr>
      <w:tr w:rsidR="00D44E73" w14:paraId="21D02C40" w14:textId="77777777">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90" w:type="dxa"/>
              <w:left w:w="120" w:type="dxa"/>
              <w:bottom w:w="90" w:type="dxa"/>
              <w:right w:w="120" w:type="dxa"/>
            </w:tcMar>
          </w:tcPr>
          <w:p w14:paraId="4C62F357" w14:textId="77777777" w:rsidR="00D44E73" w:rsidRDefault="00C65EF1">
            <w:r>
              <w:rPr>
                <w:b/>
                <w:bCs/>
                <w:color w:val="0891B2"/>
                <w:sz w:val="18"/>
                <w:szCs w:val="18"/>
              </w:rPr>
              <w:t>Fuente de datos</w:t>
            </w:r>
          </w:p>
        </w:tc>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B1E3B28" w14:textId="77777777" w:rsidR="00D44E73" w:rsidRDefault="00C65EF1">
            <w:r>
              <w:rPr>
                <w:color w:val="1E293B"/>
                <w:sz w:val="18"/>
                <w:szCs w:val="18"/>
              </w:rPr>
              <w:t>DANE – ETUP: total de pasajeros movilizados. Mintransporte – Datos Abiertos: parque automotor habilitado por empresa/ciudad. Ambas fuentes en CSV, requieren un join por ciudad y periodo.</w:t>
            </w:r>
          </w:p>
        </w:tc>
      </w:tr>
      <w:tr w:rsidR="00D44E73" w14:paraId="54646F0E" w14:textId="77777777">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90" w:type="dxa"/>
              <w:left w:w="120" w:type="dxa"/>
              <w:bottom w:w="90" w:type="dxa"/>
              <w:right w:w="120" w:type="dxa"/>
            </w:tcMar>
          </w:tcPr>
          <w:p w14:paraId="4A3E4800" w14:textId="77777777" w:rsidR="00D44E73" w:rsidRDefault="00C65EF1">
            <w:r>
              <w:rPr>
                <w:b/>
                <w:bCs/>
                <w:color w:val="0891B2"/>
                <w:sz w:val="18"/>
                <w:szCs w:val="18"/>
              </w:rPr>
              <w:t>Responsable de cálculo</w:t>
            </w:r>
          </w:p>
        </w:tc>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525CFD0B" w14:textId="6B88B3DE" w:rsidR="00D44E73" w:rsidRDefault="00C65EF1">
            <w:r>
              <w:rPr>
                <w:color w:val="1E293B"/>
                <w:sz w:val="18"/>
                <w:szCs w:val="18"/>
              </w:rPr>
              <w:t xml:space="preserve">María Alejandra Valencia (DE) hace el join entre ETUP y Mintransporte en </w:t>
            </w:r>
            <w:r w:rsidR="00F91674">
              <w:rPr>
                <w:color w:val="1E293B"/>
                <w:sz w:val="18"/>
                <w:szCs w:val="18"/>
              </w:rPr>
              <w:t>Supabase</w:t>
            </w:r>
            <w:r>
              <w:rPr>
                <w:color w:val="1E293B"/>
                <w:sz w:val="18"/>
                <w:szCs w:val="18"/>
              </w:rPr>
              <w:t>. Juan Zúñiga Giraldo (DA) calcula el IPV y realiza el comparativo por ciudad.</w:t>
            </w:r>
          </w:p>
        </w:tc>
      </w:tr>
      <w:tr w:rsidR="00D44E73" w14:paraId="702A789B" w14:textId="77777777">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90" w:type="dxa"/>
              <w:left w:w="120" w:type="dxa"/>
              <w:bottom w:w="90" w:type="dxa"/>
              <w:right w:w="120" w:type="dxa"/>
            </w:tcMar>
          </w:tcPr>
          <w:p w14:paraId="2C0540AE" w14:textId="77777777" w:rsidR="00D44E73" w:rsidRDefault="00C65EF1">
            <w:r>
              <w:rPr>
                <w:b/>
                <w:bCs/>
                <w:color w:val="0891B2"/>
                <w:sz w:val="18"/>
                <w:szCs w:val="18"/>
              </w:rPr>
              <w:t>Visualización recomendada</w:t>
            </w:r>
          </w:p>
        </w:tc>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608F2FD2" w14:textId="77777777" w:rsidR="00D44E73" w:rsidRDefault="00C65EF1">
            <w:r>
              <w:rPr>
                <w:color w:val="1E293B"/>
                <w:sz w:val="18"/>
                <w:szCs w:val="18"/>
              </w:rPr>
              <w:t>Barras agrupadas por ciudad: dos barras por ciudad (IPK e IPV) para mostrar la relación entre ambos indicadores. Permite comparar directamente cuáles ciudades tienen sistemas más eficientes.</w:t>
            </w:r>
          </w:p>
        </w:tc>
      </w:tr>
      <w:tr w:rsidR="00D44E73" w14:paraId="65BD31B4" w14:textId="77777777">
        <w:tc>
          <w:tcPr>
            <w:tcW w:w="2200" w:type="dxa"/>
            <w:tcBorders>
              <w:top w:val="single" w:sz="1" w:space="0" w:color="CCCCCC"/>
              <w:left w:val="single" w:sz="1" w:space="0" w:color="CCCCCC"/>
              <w:bottom w:val="single" w:sz="1" w:space="0" w:color="CCCCCC"/>
              <w:right w:val="single" w:sz="1" w:space="0" w:color="CCCCCC"/>
            </w:tcBorders>
            <w:shd w:val="clear" w:color="auto" w:fill="FEF3C7"/>
            <w:tcMar>
              <w:top w:w="90" w:type="dxa"/>
              <w:left w:w="120" w:type="dxa"/>
              <w:bottom w:w="90" w:type="dxa"/>
              <w:right w:w="120" w:type="dxa"/>
            </w:tcMar>
          </w:tcPr>
          <w:p w14:paraId="2861D30A" w14:textId="77777777" w:rsidR="00D44E73" w:rsidRDefault="00C65EF1">
            <w:r>
              <w:rPr>
                <w:b/>
                <w:bCs/>
                <w:color w:val="0891B2"/>
                <w:sz w:val="18"/>
                <w:szCs w:val="18"/>
              </w:rPr>
              <w:t>Intercambiable con</w:t>
            </w:r>
          </w:p>
        </w:tc>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4BE9DC81" w14:textId="77777777" w:rsidR="00D44E73" w:rsidRDefault="00C65EF1">
            <w:r>
              <w:rPr>
                <w:color w:val="1E293B"/>
                <w:sz w:val="18"/>
                <w:szCs w:val="18"/>
              </w:rPr>
              <w:t>KPI 2 (Tasa de Ocupación) si los datos de capacidad de flota por ruta de Mintransporte no están disponibles con suficiente granularidad.</w:t>
            </w:r>
          </w:p>
        </w:tc>
      </w:tr>
    </w:tbl>
    <w:p w14:paraId="2628B55C" w14:textId="77777777" w:rsidR="00D44E73" w:rsidRDefault="00D44E73">
      <w:pPr>
        <w:spacing w:after="160"/>
      </w:pPr>
    </w:p>
    <w:p w14:paraId="02C264A4" w14:textId="77777777" w:rsidR="00D44E73" w:rsidRDefault="00C65EF1">
      <w:r>
        <w:br w:type="page"/>
      </w:r>
    </w:p>
    <w:p w14:paraId="769B8F5D" w14:textId="77777777" w:rsidR="00D44E73" w:rsidRDefault="00C65EF1">
      <w:pPr>
        <w:pStyle w:val="Ttulo1"/>
      </w:pPr>
      <w:r>
        <w:lastRenderedPageBreak/>
        <w:t>5. Compatibilidad de KPIs con las Fuentes de Datos</w:t>
      </w:r>
    </w:p>
    <w:p w14:paraId="48D7CDEF" w14:textId="77777777" w:rsidR="00D44E73" w:rsidRDefault="00D44E73">
      <w:pPr>
        <w:pBdr>
          <w:bottom w:val="single" w:sz="4" w:space="1" w:color="2563EB"/>
        </w:pBdr>
        <w:spacing w:before="4" w:after="160"/>
      </w:pPr>
    </w:p>
    <w:p w14:paraId="1A043101" w14:textId="77777777" w:rsidR="00D44E73" w:rsidRDefault="00C65EF1">
      <w:pPr>
        <w:spacing w:after="120" w:line="276" w:lineRule="auto"/>
        <w:jc w:val="both"/>
      </w:pPr>
      <w:r>
        <w:rPr>
          <w:color w:val="1E293B"/>
        </w:rPr>
        <w:t>La siguiente tabla cruza cada KPI con las fuentes de datos disponibles para el Equipo G2, indicando cuál es la fuente principal y cuáles son fuentes de apoyo o validación. María (DE) debe verificar la disponibilidad de los datos antes del 29 de abril (hito de Etapa 2).</w:t>
      </w:r>
    </w:p>
    <w:p w14:paraId="2DD8AB69" w14:textId="77777777" w:rsidR="00D44E73" w:rsidRDefault="00D44E73">
      <w:pPr>
        <w:spacing w:after="160"/>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8"/>
        <w:gridCol w:w="1671"/>
        <w:gridCol w:w="1694"/>
        <w:gridCol w:w="1723"/>
        <w:gridCol w:w="1582"/>
      </w:tblGrid>
      <w:tr w:rsidR="00D44E73" w14:paraId="09C76D13" w14:textId="77777777">
        <w:tc>
          <w:tcPr>
            <w:tcW w:w="2200" w:type="dxa"/>
            <w:tcBorders>
              <w:top w:val="single" w:sz="1" w:space="0" w:color="CCCCCC"/>
              <w:left w:val="single" w:sz="1" w:space="0" w:color="CCCCCC"/>
              <w:bottom w:val="single" w:sz="1" w:space="0" w:color="CCCCCC"/>
              <w:right w:val="single" w:sz="1" w:space="0" w:color="CCCCCC"/>
            </w:tcBorders>
            <w:shd w:val="clear" w:color="auto" w:fill="2563EB"/>
            <w:tcMar>
              <w:top w:w="90" w:type="dxa"/>
              <w:left w:w="120" w:type="dxa"/>
              <w:bottom w:w="90" w:type="dxa"/>
              <w:right w:w="120" w:type="dxa"/>
            </w:tcMar>
          </w:tcPr>
          <w:p w14:paraId="6C34AFE3" w14:textId="77777777" w:rsidR="00D44E73" w:rsidRDefault="00C65EF1">
            <w:r>
              <w:rPr>
                <w:b/>
                <w:bCs/>
                <w:caps/>
                <w:color w:val="FFFFFF"/>
                <w:sz w:val="17"/>
                <w:szCs w:val="17"/>
              </w:rPr>
              <w:t>KPI</w:t>
            </w:r>
          </w:p>
        </w:tc>
        <w:tc>
          <w:tcPr>
            <w:tcW w:w="1700" w:type="dxa"/>
            <w:tcBorders>
              <w:top w:val="single" w:sz="1" w:space="0" w:color="CCCCCC"/>
              <w:left w:val="single" w:sz="1" w:space="0" w:color="CCCCCC"/>
              <w:bottom w:val="single" w:sz="1" w:space="0" w:color="CCCCCC"/>
              <w:right w:val="single" w:sz="1" w:space="0" w:color="CCCCCC"/>
            </w:tcBorders>
            <w:shd w:val="clear" w:color="auto" w:fill="2563EB"/>
            <w:tcMar>
              <w:top w:w="90" w:type="dxa"/>
              <w:left w:w="120" w:type="dxa"/>
              <w:bottom w:w="90" w:type="dxa"/>
              <w:right w:w="120" w:type="dxa"/>
            </w:tcMar>
          </w:tcPr>
          <w:p w14:paraId="3C4C8203" w14:textId="77777777" w:rsidR="00D44E73" w:rsidRDefault="00C65EF1">
            <w:r>
              <w:rPr>
                <w:b/>
                <w:bCs/>
                <w:caps/>
                <w:color w:val="FFFFFF"/>
                <w:sz w:val="17"/>
                <w:szCs w:val="17"/>
              </w:rPr>
              <w:t>DANE – ETUP</w:t>
            </w:r>
          </w:p>
        </w:tc>
        <w:tc>
          <w:tcPr>
            <w:tcW w:w="1700" w:type="dxa"/>
            <w:tcBorders>
              <w:top w:val="single" w:sz="1" w:space="0" w:color="CCCCCC"/>
              <w:left w:val="single" w:sz="1" w:space="0" w:color="CCCCCC"/>
              <w:bottom w:val="single" w:sz="1" w:space="0" w:color="CCCCCC"/>
              <w:right w:val="single" w:sz="1" w:space="0" w:color="CCCCCC"/>
            </w:tcBorders>
            <w:shd w:val="clear" w:color="auto" w:fill="2563EB"/>
            <w:tcMar>
              <w:top w:w="90" w:type="dxa"/>
              <w:left w:w="120" w:type="dxa"/>
              <w:bottom w:w="90" w:type="dxa"/>
              <w:right w:w="120" w:type="dxa"/>
            </w:tcMar>
          </w:tcPr>
          <w:p w14:paraId="5E249251" w14:textId="77777777" w:rsidR="00D44E73" w:rsidRDefault="00C65EF1">
            <w:r>
              <w:rPr>
                <w:b/>
                <w:bCs/>
                <w:caps/>
                <w:color w:val="FFFFFF"/>
                <w:sz w:val="17"/>
                <w:szCs w:val="17"/>
              </w:rPr>
              <w:t>datos.gov.co</w:t>
            </w:r>
          </w:p>
        </w:tc>
        <w:tc>
          <w:tcPr>
            <w:tcW w:w="1700" w:type="dxa"/>
            <w:tcBorders>
              <w:top w:val="single" w:sz="1" w:space="0" w:color="CCCCCC"/>
              <w:left w:val="single" w:sz="1" w:space="0" w:color="CCCCCC"/>
              <w:bottom w:val="single" w:sz="1" w:space="0" w:color="CCCCCC"/>
              <w:right w:val="single" w:sz="1" w:space="0" w:color="CCCCCC"/>
            </w:tcBorders>
            <w:shd w:val="clear" w:color="auto" w:fill="2563EB"/>
            <w:tcMar>
              <w:top w:w="90" w:type="dxa"/>
              <w:left w:w="120" w:type="dxa"/>
              <w:bottom w:w="90" w:type="dxa"/>
              <w:right w:w="120" w:type="dxa"/>
            </w:tcMar>
          </w:tcPr>
          <w:p w14:paraId="3C0E167A" w14:textId="77777777" w:rsidR="00D44E73" w:rsidRDefault="00C65EF1">
            <w:r>
              <w:rPr>
                <w:b/>
                <w:bCs/>
                <w:caps/>
                <w:color w:val="FFFFFF"/>
                <w:sz w:val="17"/>
                <w:szCs w:val="17"/>
              </w:rPr>
              <w:t>Mintransporte</w:t>
            </w:r>
          </w:p>
        </w:tc>
        <w:tc>
          <w:tcPr>
            <w:tcW w:w="1538" w:type="dxa"/>
            <w:tcBorders>
              <w:top w:val="single" w:sz="1" w:space="0" w:color="CCCCCC"/>
              <w:left w:val="single" w:sz="1" w:space="0" w:color="CCCCCC"/>
              <w:bottom w:val="single" w:sz="1" w:space="0" w:color="CCCCCC"/>
              <w:right w:val="single" w:sz="1" w:space="0" w:color="CCCCCC"/>
            </w:tcBorders>
            <w:shd w:val="clear" w:color="auto" w:fill="2563EB"/>
            <w:tcMar>
              <w:top w:w="90" w:type="dxa"/>
              <w:left w:w="120" w:type="dxa"/>
              <w:bottom w:w="90" w:type="dxa"/>
              <w:right w:w="120" w:type="dxa"/>
            </w:tcMar>
          </w:tcPr>
          <w:p w14:paraId="03811320" w14:textId="77777777" w:rsidR="00D44E73" w:rsidRDefault="00C65EF1">
            <w:r>
              <w:rPr>
                <w:b/>
                <w:bCs/>
                <w:caps/>
                <w:color w:val="FFFFFF"/>
                <w:sz w:val="17"/>
                <w:szCs w:val="17"/>
              </w:rPr>
              <w:t>Kaggle / Complemento</w:t>
            </w:r>
          </w:p>
        </w:tc>
      </w:tr>
      <w:tr w:rsidR="00D44E73" w14:paraId="0B93590B"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42B01917" w14:textId="77777777" w:rsidR="00D44E73" w:rsidRDefault="00C65EF1">
            <w:r>
              <w:rPr>
                <w:b/>
                <w:bCs/>
                <w:color w:val="1E293B"/>
                <w:sz w:val="18"/>
                <w:szCs w:val="18"/>
              </w:rPr>
              <w:t>1 · IPK</w:t>
            </w:r>
          </w:p>
        </w:tc>
        <w:tc>
          <w:tcPr>
            <w:tcW w:w="1700" w:type="dxa"/>
            <w:tcBorders>
              <w:top w:val="single" w:sz="1" w:space="0" w:color="CCCCCC"/>
              <w:left w:val="single" w:sz="1" w:space="0" w:color="CCCCCC"/>
              <w:bottom w:val="single" w:sz="1" w:space="0" w:color="CCCCCC"/>
              <w:right w:val="single" w:sz="1" w:space="0" w:color="CCCCCC"/>
            </w:tcBorders>
            <w:shd w:val="clear" w:color="auto" w:fill="DCFCE7"/>
            <w:tcMar>
              <w:top w:w="90" w:type="dxa"/>
              <w:left w:w="120" w:type="dxa"/>
              <w:bottom w:w="90" w:type="dxa"/>
              <w:right w:w="120" w:type="dxa"/>
            </w:tcMar>
          </w:tcPr>
          <w:p w14:paraId="78BF611E" w14:textId="77777777" w:rsidR="00D44E73" w:rsidRDefault="00C65EF1">
            <w:r>
              <w:rPr>
                <w:b/>
                <w:bCs/>
                <w:color w:val="16A34A"/>
                <w:sz w:val="18"/>
                <w:szCs w:val="18"/>
              </w:rPr>
              <w:t>✅ Principal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60FDACF7" w14:textId="77777777" w:rsidR="00D44E73" w:rsidRDefault="00C65EF1">
            <w:r>
              <w:rPr>
                <w:color w:val="1E293B"/>
                <w:sz w:val="18"/>
                <w:szCs w:val="18"/>
              </w:rPr>
              <w:t>Complemento</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7EE15D50" w14:textId="77777777" w:rsidR="00D44E73" w:rsidRDefault="00C65EF1">
            <w:r>
              <w:rPr>
                <w:color w:val="1E293B"/>
                <w:sz w:val="18"/>
                <w:szCs w:val="18"/>
              </w:rPr>
              <w:t>Apoyo flota</w:t>
            </w:r>
          </w:p>
        </w:tc>
        <w:tc>
          <w:tcPr>
            <w:tcW w:w="1538"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26C5C13F" w14:textId="77777777" w:rsidR="00D44E73" w:rsidRDefault="00C65EF1">
            <w:r>
              <w:rPr>
                <w:color w:val="1E293B"/>
                <w:sz w:val="18"/>
                <w:szCs w:val="18"/>
              </w:rPr>
              <w:t>Referencia comparativa</w:t>
            </w:r>
          </w:p>
        </w:tc>
      </w:tr>
      <w:tr w:rsidR="00D44E73" w14:paraId="713E2B22"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2ECBB597" w14:textId="77777777" w:rsidR="00D44E73" w:rsidRDefault="00C65EF1">
            <w:r>
              <w:rPr>
                <w:b/>
                <w:bCs/>
                <w:color w:val="1E293B"/>
                <w:sz w:val="18"/>
                <w:szCs w:val="18"/>
              </w:rPr>
              <w:t>2 · Tasa de Ocupación</w:t>
            </w:r>
          </w:p>
        </w:tc>
        <w:tc>
          <w:tcPr>
            <w:tcW w:w="1700" w:type="dxa"/>
            <w:tcBorders>
              <w:top w:val="single" w:sz="1" w:space="0" w:color="CCCCCC"/>
              <w:left w:val="single" w:sz="1" w:space="0" w:color="CCCCCC"/>
              <w:bottom w:val="single" w:sz="1" w:space="0" w:color="CCCCCC"/>
              <w:right w:val="single" w:sz="1" w:space="0" w:color="CCCCCC"/>
            </w:tcBorders>
            <w:shd w:val="clear" w:color="auto" w:fill="DCFCE7"/>
            <w:tcMar>
              <w:top w:w="90" w:type="dxa"/>
              <w:left w:w="120" w:type="dxa"/>
              <w:bottom w:w="90" w:type="dxa"/>
              <w:right w:w="120" w:type="dxa"/>
            </w:tcMar>
          </w:tcPr>
          <w:p w14:paraId="58023D57" w14:textId="77777777" w:rsidR="00D44E73" w:rsidRDefault="00C65EF1">
            <w:r>
              <w:rPr>
                <w:b/>
                <w:bCs/>
                <w:color w:val="16A34A"/>
                <w:sz w:val="18"/>
                <w:szCs w:val="18"/>
              </w:rPr>
              <w:t>✅ Principal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68F82A7D" w14:textId="77777777" w:rsidR="00D44E73" w:rsidRDefault="00C65EF1">
            <w:r>
              <w:rPr>
                <w:color w:val="1E293B"/>
                <w:sz w:val="18"/>
                <w:szCs w:val="18"/>
              </w:rPr>
              <w:t>Rutas y capacidad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1382EF3B" w14:textId="77777777" w:rsidR="00D44E73" w:rsidRDefault="00C65EF1">
            <w:r>
              <w:rPr>
                <w:color w:val="1E293B"/>
                <w:sz w:val="18"/>
                <w:szCs w:val="18"/>
              </w:rPr>
              <w:t>Parque automotor</w:t>
            </w:r>
          </w:p>
        </w:tc>
        <w:tc>
          <w:tcPr>
            <w:tcW w:w="1538"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21205A8A" w14:textId="77777777" w:rsidR="00D44E73" w:rsidRDefault="00C65EF1">
            <w:r>
              <w:rPr>
                <w:color w:val="1E293B"/>
                <w:sz w:val="18"/>
                <w:szCs w:val="18"/>
              </w:rPr>
              <w:t>—</w:t>
            </w:r>
          </w:p>
        </w:tc>
      </w:tr>
      <w:tr w:rsidR="00D44E73" w14:paraId="259DB32F"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7909B0BB" w14:textId="77777777" w:rsidR="00D44E73" w:rsidRDefault="00C65EF1">
            <w:r>
              <w:rPr>
                <w:b/>
                <w:bCs/>
                <w:color w:val="1E293B"/>
                <w:sz w:val="18"/>
                <w:szCs w:val="18"/>
              </w:rPr>
              <w:t>3 · Intervalo de Operación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3CE0008" w14:textId="77777777" w:rsidR="00D44E73" w:rsidRDefault="00C65EF1">
            <w:r>
              <w:rPr>
                <w:color w:val="1E293B"/>
                <w:sz w:val="18"/>
                <w:szCs w:val="18"/>
              </w:rPr>
              <w:t>Validación</w:t>
            </w:r>
          </w:p>
        </w:tc>
        <w:tc>
          <w:tcPr>
            <w:tcW w:w="1700" w:type="dxa"/>
            <w:tcBorders>
              <w:top w:val="single" w:sz="1" w:space="0" w:color="CCCCCC"/>
              <w:left w:val="single" w:sz="1" w:space="0" w:color="CCCCCC"/>
              <w:bottom w:val="single" w:sz="1" w:space="0" w:color="CCCCCC"/>
              <w:right w:val="single" w:sz="1" w:space="0" w:color="CCCCCC"/>
            </w:tcBorders>
            <w:shd w:val="clear" w:color="auto" w:fill="DCFCE7"/>
            <w:tcMar>
              <w:top w:w="90" w:type="dxa"/>
              <w:left w:w="120" w:type="dxa"/>
              <w:bottom w:w="90" w:type="dxa"/>
              <w:right w:w="120" w:type="dxa"/>
            </w:tcMar>
          </w:tcPr>
          <w:p w14:paraId="10E3DD65" w14:textId="77777777" w:rsidR="00D44E73" w:rsidRDefault="00C65EF1">
            <w:r>
              <w:rPr>
                <w:b/>
                <w:bCs/>
                <w:color w:val="16A34A"/>
                <w:sz w:val="18"/>
                <w:szCs w:val="18"/>
              </w:rPr>
              <w:t>✅ Principal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10B11ECC" w14:textId="77777777" w:rsidR="00D44E73" w:rsidRDefault="00C65EF1">
            <w:r>
              <w:rPr>
                <w:color w:val="1E293B"/>
                <w:sz w:val="18"/>
                <w:szCs w:val="18"/>
              </w:rPr>
              <w:t>—</w:t>
            </w:r>
          </w:p>
        </w:tc>
        <w:tc>
          <w:tcPr>
            <w:tcW w:w="1538"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75F726F0" w14:textId="77777777" w:rsidR="00D44E73" w:rsidRDefault="00C65EF1">
            <w:r>
              <w:rPr>
                <w:color w:val="1E293B"/>
                <w:sz w:val="18"/>
                <w:szCs w:val="18"/>
              </w:rPr>
              <w:t>—</w:t>
            </w:r>
          </w:p>
        </w:tc>
      </w:tr>
      <w:tr w:rsidR="00D44E73" w14:paraId="70DE297A"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2DEFDE6D" w14:textId="77777777" w:rsidR="00D44E73" w:rsidRDefault="00C65EF1">
            <w:r>
              <w:rPr>
                <w:b/>
                <w:bCs/>
                <w:color w:val="1E293B"/>
                <w:sz w:val="18"/>
                <w:szCs w:val="18"/>
              </w:rPr>
              <w:t>4 · Accidentalidad Vial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6634D8F5" w14:textId="77777777" w:rsidR="00D44E73" w:rsidRDefault="00C65EF1">
            <w:r>
              <w:rPr>
                <w:color w:val="1E293B"/>
                <w:sz w:val="18"/>
                <w:szCs w:val="18"/>
              </w:rPr>
              <w:t>—</w:t>
            </w:r>
          </w:p>
        </w:tc>
        <w:tc>
          <w:tcPr>
            <w:tcW w:w="1700" w:type="dxa"/>
            <w:tcBorders>
              <w:top w:val="single" w:sz="1" w:space="0" w:color="CCCCCC"/>
              <w:left w:val="single" w:sz="1" w:space="0" w:color="CCCCCC"/>
              <w:bottom w:val="single" w:sz="1" w:space="0" w:color="CCCCCC"/>
              <w:right w:val="single" w:sz="1" w:space="0" w:color="CCCCCC"/>
            </w:tcBorders>
            <w:shd w:val="clear" w:color="auto" w:fill="DCFCE7"/>
            <w:tcMar>
              <w:top w:w="90" w:type="dxa"/>
              <w:left w:w="120" w:type="dxa"/>
              <w:bottom w:w="90" w:type="dxa"/>
              <w:right w:w="120" w:type="dxa"/>
            </w:tcMar>
          </w:tcPr>
          <w:p w14:paraId="14741549" w14:textId="77777777" w:rsidR="00D44E73" w:rsidRDefault="00C65EF1">
            <w:r>
              <w:rPr>
                <w:b/>
                <w:bCs/>
                <w:color w:val="16A34A"/>
                <w:sz w:val="18"/>
                <w:szCs w:val="18"/>
              </w:rPr>
              <w:t>✅ Principal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446142AC" w14:textId="77777777" w:rsidR="00D44E73" w:rsidRDefault="00C65EF1">
            <w:r>
              <w:rPr>
                <w:color w:val="1E293B"/>
                <w:sz w:val="18"/>
                <w:szCs w:val="18"/>
              </w:rPr>
              <w:t>—</w:t>
            </w:r>
          </w:p>
        </w:tc>
        <w:tc>
          <w:tcPr>
            <w:tcW w:w="1538"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6247A051" w14:textId="77777777" w:rsidR="00D44E73" w:rsidRDefault="00C65EF1">
            <w:r>
              <w:rPr>
                <w:color w:val="1E293B"/>
                <w:sz w:val="18"/>
                <w:szCs w:val="18"/>
              </w:rPr>
              <w:t>Referencia internacional</w:t>
            </w:r>
          </w:p>
        </w:tc>
      </w:tr>
      <w:tr w:rsidR="00D44E73" w14:paraId="7279346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15EA164C" w14:textId="77777777" w:rsidR="00D44E73" w:rsidRDefault="00C65EF1">
            <w:r>
              <w:rPr>
                <w:b/>
                <w:bCs/>
                <w:color w:val="1E293B"/>
                <w:sz w:val="18"/>
                <w:szCs w:val="18"/>
              </w:rPr>
              <w:t>5* · Tendencia Pasajeros</w:t>
            </w:r>
          </w:p>
        </w:tc>
        <w:tc>
          <w:tcPr>
            <w:tcW w:w="1700" w:type="dxa"/>
            <w:tcBorders>
              <w:top w:val="single" w:sz="1" w:space="0" w:color="CCCCCC"/>
              <w:left w:val="single" w:sz="1" w:space="0" w:color="CCCCCC"/>
              <w:bottom w:val="single" w:sz="1" w:space="0" w:color="CCCCCC"/>
              <w:right w:val="single" w:sz="1" w:space="0" w:color="CCCCCC"/>
            </w:tcBorders>
            <w:shd w:val="clear" w:color="auto" w:fill="FEF3C7"/>
            <w:tcMar>
              <w:top w:w="90" w:type="dxa"/>
              <w:left w:w="120" w:type="dxa"/>
              <w:bottom w:w="90" w:type="dxa"/>
              <w:right w:w="120" w:type="dxa"/>
            </w:tcMar>
          </w:tcPr>
          <w:p w14:paraId="50662784" w14:textId="77777777" w:rsidR="00D44E73" w:rsidRDefault="00C65EF1">
            <w:r>
              <w:rPr>
                <w:b/>
                <w:bCs/>
                <w:color w:val="D97706"/>
                <w:sz w:val="18"/>
                <w:szCs w:val="18"/>
              </w:rPr>
              <w:t>✅ Principal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7A06DED9" w14:textId="77777777" w:rsidR="00D44E73" w:rsidRDefault="00C65EF1">
            <w:r>
              <w:rPr>
                <w:color w:val="1E293B"/>
                <w:sz w:val="18"/>
                <w:szCs w:val="18"/>
              </w:rPr>
              <w: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74A01A3F" w14:textId="77777777" w:rsidR="00D44E73" w:rsidRDefault="00C65EF1">
            <w:r>
              <w:rPr>
                <w:color w:val="1E293B"/>
                <w:sz w:val="18"/>
                <w:szCs w:val="18"/>
              </w:rPr>
              <w:t>—</w:t>
            </w:r>
          </w:p>
        </w:tc>
        <w:tc>
          <w:tcPr>
            <w:tcW w:w="1538"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3D1BE6FC" w14:textId="77777777" w:rsidR="00D44E73" w:rsidRDefault="00C65EF1">
            <w:r>
              <w:rPr>
                <w:color w:val="1E293B"/>
                <w:sz w:val="18"/>
                <w:szCs w:val="18"/>
              </w:rPr>
              <w:t>—</w:t>
            </w:r>
          </w:p>
        </w:tc>
      </w:tr>
      <w:tr w:rsidR="00D44E73" w14:paraId="7A53762F"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2EDB371E" w14:textId="77777777" w:rsidR="00D44E73" w:rsidRDefault="00C65EF1">
            <w:r>
              <w:rPr>
                <w:b/>
                <w:bCs/>
                <w:color w:val="1E293B"/>
                <w:sz w:val="18"/>
                <w:szCs w:val="18"/>
              </w:rPr>
              <w:t>6* · IPV</w:t>
            </w:r>
          </w:p>
        </w:tc>
        <w:tc>
          <w:tcPr>
            <w:tcW w:w="1700" w:type="dxa"/>
            <w:tcBorders>
              <w:top w:val="single" w:sz="1" w:space="0" w:color="CCCCCC"/>
              <w:left w:val="single" w:sz="1" w:space="0" w:color="CCCCCC"/>
              <w:bottom w:val="single" w:sz="1" w:space="0" w:color="CCCCCC"/>
              <w:right w:val="single" w:sz="1" w:space="0" w:color="CCCCCC"/>
            </w:tcBorders>
            <w:shd w:val="clear" w:color="auto" w:fill="FEF3C7"/>
            <w:tcMar>
              <w:top w:w="90" w:type="dxa"/>
              <w:left w:w="120" w:type="dxa"/>
              <w:bottom w:w="90" w:type="dxa"/>
              <w:right w:w="120" w:type="dxa"/>
            </w:tcMar>
          </w:tcPr>
          <w:p w14:paraId="2ADE57A3" w14:textId="77777777" w:rsidR="00D44E73" w:rsidRDefault="00C65EF1">
            <w:r>
              <w:rPr>
                <w:b/>
                <w:bCs/>
                <w:color w:val="D97706"/>
                <w:sz w:val="18"/>
                <w:szCs w:val="18"/>
              </w:rPr>
              <w:t>✅ Pasajeros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2ED4C49C" w14:textId="77777777" w:rsidR="00D44E73" w:rsidRDefault="00C65EF1">
            <w:r>
              <w:rPr>
                <w:color w:val="1E293B"/>
                <w:sz w:val="18"/>
                <w:szCs w:val="18"/>
              </w:rPr>
              <w:t>—</w:t>
            </w:r>
          </w:p>
        </w:tc>
        <w:tc>
          <w:tcPr>
            <w:tcW w:w="1700" w:type="dxa"/>
            <w:tcBorders>
              <w:top w:val="single" w:sz="1" w:space="0" w:color="CCCCCC"/>
              <w:left w:val="single" w:sz="1" w:space="0" w:color="CCCCCC"/>
              <w:bottom w:val="single" w:sz="1" w:space="0" w:color="CCCCCC"/>
              <w:right w:val="single" w:sz="1" w:space="0" w:color="CCCCCC"/>
            </w:tcBorders>
            <w:shd w:val="clear" w:color="auto" w:fill="FEF3C7"/>
            <w:tcMar>
              <w:top w:w="90" w:type="dxa"/>
              <w:left w:w="120" w:type="dxa"/>
              <w:bottom w:w="90" w:type="dxa"/>
              <w:right w:w="120" w:type="dxa"/>
            </w:tcMar>
          </w:tcPr>
          <w:p w14:paraId="33875795" w14:textId="77777777" w:rsidR="00D44E73" w:rsidRDefault="00C65EF1">
            <w:r>
              <w:rPr>
                <w:b/>
                <w:bCs/>
                <w:color w:val="D97706"/>
                <w:sz w:val="18"/>
                <w:szCs w:val="18"/>
              </w:rPr>
              <w:t>✅ Flota</w:t>
            </w:r>
          </w:p>
        </w:tc>
        <w:tc>
          <w:tcPr>
            <w:tcW w:w="1538"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6A37D0D5" w14:textId="77777777" w:rsidR="00D44E73" w:rsidRDefault="00C65EF1">
            <w:r>
              <w:rPr>
                <w:color w:val="1E293B"/>
                <w:sz w:val="18"/>
                <w:szCs w:val="18"/>
              </w:rPr>
              <w:t>—</w:t>
            </w:r>
          </w:p>
        </w:tc>
      </w:tr>
    </w:tbl>
    <w:p w14:paraId="6EE9DE1C" w14:textId="77777777" w:rsidR="00D44E73" w:rsidRDefault="00D44E73">
      <w:pPr>
        <w:spacing w:after="160"/>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8838"/>
      </w:tblGrid>
      <w:tr w:rsidR="00D44E73" w14:paraId="5CB93EBA" w14:textId="77777777">
        <w:tc>
          <w:tcPr>
            <w:tcW w:w="8838" w:type="dxa"/>
            <w:tcBorders>
              <w:top w:val="none" w:sz="0" w:space="0" w:color="FFFFFF"/>
              <w:left w:val="single" w:sz="12" w:space="0" w:color="0891B2"/>
              <w:bottom w:val="none" w:sz="0" w:space="0" w:color="FFFFFF"/>
              <w:right w:val="none" w:sz="0" w:space="0" w:color="FFFFFF"/>
            </w:tcBorders>
            <w:shd w:val="clear" w:color="auto" w:fill="ECFEFF"/>
            <w:tcMar>
              <w:top w:w="60" w:type="dxa"/>
              <w:left w:w="140" w:type="dxa"/>
              <w:bottom w:w="60" w:type="dxa"/>
              <w:right w:w="100" w:type="dxa"/>
            </w:tcMar>
          </w:tcPr>
          <w:p w14:paraId="1CFACDE3" w14:textId="77777777" w:rsidR="00D44E73" w:rsidRDefault="00C65EF1">
            <w:pPr>
              <w:spacing w:line="260" w:lineRule="auto"/>
            </w:pPr>
            <w:r>
              <w:rPr>
                <w:b/>
                <w:bCs/>
                <w:color w:val="1E293B"/>
                <w:sz w:val="21"/>
                <w:szCs w:val="21"/>
              </w:rPr>
              <w:t>Protocolo de verificación de datos (responsable: María DE con apoyo de Juan DA)</w:t>
            </w:r>
          </w:p>
        </w:tc>
      </w:tr>
      <w:tr w:rsidR="00D44E73" w14:paraId="57C902FA" w14:textId="77777777">
        <w:tc>
          <w:tcPr>
            <w:tcW w:w="8838" w:type="dxa"/>
            <w:tcBorders>
              <w:top w:val="none" w:sz="0" w:space="0" w:color="FFFFFF"/>
              <w:left w:val="single" w:sz="12" w:space="0" w:color="0891B2"/>
              <w:bottom w:val="none" w:sz="0" w:space="0" w:color="FFFFFF"/>
              <w:right w:val="none" w:sz="0" w:space="0" w:color="FFFFFF"/>
            </w:tcBorders>
            <w:shd w:val="clear" w:color="auto" w:fill="ECFEFF"/>
            <w:tcMar>
              <w:top w:w="60" w:type="dxa"/>
              <w:left w:w="140" w:type="dxa"/>
              <w:bottom w:w="60" w:type="dxa"/>
              <w:right w:w="100" w:type="dxa"/>
            </w:tcMar>
          </w:tcPr>
          <w:p w14:paraId="49A8476D" w14:textId="77777777" w:rsidR="00D44E73" w:rsidRDefault="00C65EF1">
            <w:pPr>
              <w:spacing w:line="260" w:lineRule="auto"/>
            </w:pPr>
            <w:r>
              <w:rPr>
                <w:color w:val="1E293B"/>
                <w:sz w:val="21"/>
                <w:szCs w:val="21"/>
              </w:rPr>
              <w:t>Antes de calcular cualquier KPI, ejecutar en Colab: df.shape, df.dtypes y df.isnull().sum(). Si los valores nulos superan el 20% en las columnas relevantes del KPI, notificar a Angy (PM) para evaluar si se activa el KPI opcional correspondiente.</w:t>
            </w:r>
          </w:p>
        </w:tc>
      </w:tr>
    </w:tbl>
    <w:p w14:paraId="55841D9D" w14:textId="77777777" w:rsidR="00D44E73" w:rsidRDefault="00D44E73">
      <w:pPr>
        <w:spacing w:after="160"/>
      </w:pPr>
    </w:p>
    <w:p w14:paraId="48710659" w14:textId="77777777" w:rsidR="00D44E73" w:rsidRDefault="00C65EF1">
      <w:pPr>
        <w:pStyle w:val="Ttulo1"/>
      </w:pPr>
      <w:r>
        <w:t>6. Asignación de Responsabilidades por KPI</w:t>
      </w:r>
    </w:p>
    <w:p w14:paraId="330D56E7" w14:textId="77777777" w:rsidR="00D44E73" w:rsidRDefault="00D44E73">
      <w:pPr>
        <w:pBdr>
          <w:bottom w:val="single" w:sz="4" w:space="1" w:color="2563EB"/>
        </w:pBdr>
        <w:spacing w:before="4" w:after="160"/>
      </w:pPr>
    </w:p>
    <w:p w14:paraId="21CBBC34" w14:textId="77777777" w:rsidR="00D44E73" w:rsidRDefault="00C65EF1">
      <w:pPr>
        <w:spacing w:after="120" w:line="276" w:lineRule="auto"/>
        <w:jc w:val="both"/>
      </w:pPr>
      <w:r>
        <w:rPr>
          <w:color w:val="1E293B"/>
        </w:rPr>
        <w:t>Cada KPI tiene un dueño claro en cada etapa del ciclo: descarga y limpieza (Data Engineer), cálculo y análisis (Data Analyst), visualización en el dashboard (BI Developer) y validación final (PM). Angy (PM) verifica que cada KPI esté funcionando correctamente en el dashboard antes de cerrar el Entregable 03 el 20 de mayo.</w:t>
      </w:r>
    </w:p>
    <w:p w14:paraId="1FFFDA07" w14:textId="77777777" w:rsidR="00D44E73" w:rsidRDefault="00D44E73">
      <w:pPr>
        <w:spacing w:after="160"/>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1800"/>
        <w:gridCol w:w="1638"/>
        <w:gridCol w:w="1600"/>
      </w:tblGrid>
      <w:tr w:rsidR="00D44E73" w14:paraId="27010BB5" w14:textId="77777777">
        <w:tc>
          <w:tcPr>
            <w:tcW w:w="2000" w:type="dxa"/>
            <w:tcBorders>
              <w:top w:val="single" w:sz="1" w:space="0" w:color="CCCCCC"/>
              <w:left w:val="single" w:sz="1" w:space="0" w:color="CCCCCC"/>
              <w:bottom w:val="single" w:sz="1" w:space="0" w:color="CCCCCC"/>
              <w:right w:val="single" w:sz="1" w:space="0" w:color="CCCCCC"/>
            </w:tcBorders>
            <w:shd w:val="clear" w:color="auto" w:fill="2563EB"/>
            <w:tcMar>
              <w:top w:w="90" w:type="dxa"/>
              <w:left w:w="120" w:type="dxa"/>
              <w:bottom w:w="90" w:type="dxa"/>
              <w:right w:w="120" w:type="dxa"/>
            </w:tcMar>
          </w:tcPr>
          <w:p w14:paraId="355C0ECB" w14:textId="77777777" w:rsidR="00D44E73" w:rsidRDefault="00C65EF1">
            <w:r>
              <w:rPr>
                <w:b/>
                <w:bCs/>
                <w:caps/>
                <w:color w:val="FFFFFF"/>
                <w:sz w:val="17"/>
                <w:szCs w:val="17"/>
              </w:rPr>
              <w:t>KPI</w:t>
            </w:r>
          </w:p>
        </w:tc>
        <w:tc>
          <w:tcPr>
            <w:tcW w:w="1800" w:type="dxa"/>
            <w:tcBorders>
              <w:top w:val="single" w:sz="1" w:space="0" w:color="CCCCCC"/>
              <w:left w:val="single" w:sz="1" w:space="0" w:color="CCCCCC"/>
              <w:bottom w:val="single" w:sz="1" w:space="0" w:color="CCCCCC"/>
              <w:right w:val="single" w:sz="1" w:space="0" w:color="CCCCCC"/>
            </w:tcBorders>
            <w:shd w:val="clear" w:color="auto" w:fill="2563EB"/>
            <w:tcMar>
              <w:top w:w="90" w:type="dxa"/>
              <w:left w:w="120" w:type="dxa"/>
              <w:bottom w:w="90" w:type="dxa"/>
              <w:right w:w="120" w:type="dxa"/>
            </w:tcMar>
          </w:tcPr>
          <w:p w14:paraId="27B049D4" w14:textId="77777777" w:rsidR="00D44E73" w:rsidRDefault="00C65EF1">
            <w:r>
              <w:rPr>
                <w:b/>
                <w:bCs/>
                <w:caps/>
                <w:color w:val="FFFFFF"/>
                <w:sz w:val="17"/>
                <w:szCs w:val="17"/>
              </w:rPr>
              <w:t>Descarga y limpieza</w:t>
            </w:r>
          </w:p>
        </w:tc>
        <w:tc>
          <w:tcPr>
            <w:tcW w:w="1800" w:type="dxa"/>
            <w:tcBorders>
              <w:top w:val="single" w:sz="1" w:space="0" w:color="CCCCCC"/>
              <w:left w:val="single" w:sz="1" w:space="0" w:color="CCCCCC"/>
              <w:bottom w:val="single" w:sz="1" w:space="0" w:color="CCCCCC"/>
              <w:right w:val="single" w:sz="1" w:space="0" w:color="CCCCCC"/>
            </w:tcBorders>
            <w:shd w:val="clear" w:color="auto" w:fill="2563EB"/>
            <w:tcMar>
              <w:top w:w="90" w:type="dxa"/>
              <w:left w:w="120" w:type="dxa"/>
              <w:bottom w:w="90" w:type="dxa"/>
              <w:right w:w="120" w:type="dxa"/>
            </w:tcMar>
          </w:tcPr>
          <w:p w14:paraId="310D19D1" w14:textId="77777777" w:rsidR="00D44E73" w:rsidRDefault="00C65EF1">
            <w:r>
              <w:rPr>
                <w:b/>
                <w:bCs/>
                <w:caps/>
                <w:color w:val="FFFFFF"/>
                <w:sz w:val="17"/>
                <w:szCs w:val="17"/>
              </w:rPr>
              <w:t>Cálculo y análisis</w:t>
            </w:r>
          </w:p>
        </w:tc>
        <w:tc>
          <w:tcPr>
            <w:tcW w:w="1638" w:type="dxa"/>
            <w:tcBorders>
              <w:top w:val="single" w:sz="1" w:space="0" w:color="CCCCCC"/>
              <w:left w:val="single" w:sz="1" w:space="0" w:color="CCCCCC"/>
              <w:bottom w:val="single" w:sz="1" w:space="0" w:color="CCCCCC"/>
              <w:right w:val="single" w:sz="1" w:space="0" w:color="CCCCCC"/>
            </w:tcBorders>
            <w:shd w:val="clear" w:color="auto" w:fill="2563EB"/>
            <w:tcMar>
              <w:top w:w="90" w:type="dxa"/>
              <w:left w:w="120" w:type="dxa"/>
              <w:bottom w:w="90" w:type="dxa"/>
              <w:right w:w="120" w:type="dxa"/>
            </w:tcMar>
          </w:tcPr>
          <w:p w14:paraId="5EA42B8F" w14:textId="77777777" w:rsidR="00D44E73" w:rsidRDefault="00C65EF1">
            <w:r>
              <w:rPr>
                <w:b/>
                <w:bCs/>
                <w:caps/>
                <w:color w:val="FFFFFF"/>
                <w:sz w:val="17"/>
                <w:szCs w:val="17"/>
              </w:rPr>
              <w:t>Visualización</w:t>
            </w:r>
          </w:p>
        </w:tc>
        <w:tc>
          <w:tcPr>
            <w:tcW w:w="1600" w:type="dxa"/>
            <w:tcBorders>
              <w:top w:val="single" w:sz="1" w:space="0" w:color="CCCCCC"/>
              <w:left w:val="single" w:sz="1" w:space="0" w:color="CCCCCC"/>
              <w:bottom w:val="single" w:sz="1" w:space="0" w:color="CCCCCC"/>
              <w:right w:val="single" w:sz="1" w:space="0" w:color="CCCCCC"/>
            </w:tcBorders>
            <w:shd w:val="clear" w:color="auto" w:fill="2563EB"/>
            <w:tcMar>
              <w:top w:w="90" w:type="dxa"/>
              <w:left w:w="120" w:type="dxa"/>
              <w:bottom w:w="90" w:type="dxa"/>
              <w:right w:w="120" w:type="dxa"/>
            </w:tcMar>
          </w:tcPr>
          <w:p w14:paraId="5B27F579" w14:textId="77777777" w:rsidR="00D44E73" w:rsidRDefault="00C65EF1">
            <w:r>
              <w:rPr>
                <w:b/>
                <w:bCs/>
                <w:caps/>
                <w:color w:val="FFFFFF"/>
                <w:sz w:val="17"/>
                <w:szCs w:val="17"/>
              </w:rPr>
              <w:t>Validación PM</w:t>
            </w:r>
          </w:p>
        </w:tc>
      </w:tr>
      <w:tr w:rsidR="00D44E73" w14:paraId="5D26A31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6E2AF60B" w14:textId="77777777" w:rsidR="00D44E73" w:rsidRDefault="00C65EF1">
            <w:r>
              <w:rPr>
                <w:b/>
                <w:bCs/>
                <w:color w:val="1E293B"/>
                <w:sz w:val="18"/>
                <w:szCs w:val="18"/>
              </w:rPr>
              <w:t>1 · IPK</w:t>
            </w:r>
          </w:p>
        </w:tc>
        <w:tc>
          <w:tcPr>
            <w:tcW w:w="1800" w:type="dxa"/>
            <w:tcBorders>
              <w:top w:val="single" w:sz="1" w:space="0" w:color="CCCCCC"/>
              <w:left w:val="single" w:sz="1" w:space="0" w:color="CCCCCC"/>
              <w:bottom w:val="single" w:sz="1" w:space="0" w:color="CCCCCC"/>
              <w:right w:val="single" w:sz="1" w:space="0" w:color="CCCCCC"/>
            </w:tcBorders>
            <w:shd w:val="clear" w:color="auto" w:fill="CFFAFE"/>
            <w:tcMar>
              <w:top w:w="90" w:type="dxa"/>
              <w:left w:w="120" w:type="dxa"/>
              <w:bottom w:w="90" w:type="dxa"/>
              <w:right w:w="120" w:type="dxa"/>
            </w:tcMar>
          </w:tcPr>
          <w:p w14:paraId="012DF54B" w14:textId="77777777" w:rsidR="00D44E73" w:rsidRDefault="00C65EF1">
            <w:r>
              <w:rPr>
                <w:b/>
                <w:bCs/>
                <w:color w:val="0891B2"/>
                <w:sz w:val="18"/>
                <w:szCs w:val="18"/>
              </w:rPr>
              <w:t>María (DE)</w:t>
            </w:r>
          </w:p>
        </w:tc>
        <w:tc>
          <w:tcPr>
            <w:tcW w:w="1800" w:type="dxa"/>
            <w:tcBorders>
              <w:top w:val="single" w:sz="1" w:space="0" w:color="CCCCCC"/>
              <w:left w:val="single" w:sz="1" w:space="0" w:color="CCCCCC"/>
              <w:bottom w:val="single" w:sz="1" w:space="0" w:color="CCCCCC"/>
              <w:right w:val="single" w:sz="1" w:space="0" w:color="CCCCCC"/>
            </w:tcBorders>
            <w:shd w:val="clear" w:color="auto" w:fill="EDE9FE"/>
            <w:tcMar>
              <w:top w:w="90" w:type="dxa"/>
              <w:left w:w="120" w:type="dxa"/>
              <w:bottom w:w="90" w:type="dxa"/>
              <w:right w:w="120" w:type="dxa"/>
            </w:tcMar>
          </w:tcPr>
          <w:p w14:paraId="5B27E3EF" w14:textId="77777777" w:rsidR="00D44E73" w:rsidRDefault="00C65EF1">
            <w:r>
              <w:rPr>
                <w:b/>
                <w:bCs/>
                <w:color w:val="7C3AED"/>
                <w:sz w:val="18"/>
                <w:szCs w:val="18"/>
              </w:rPr>
              <w:t>Juan (DA)</w:t>
            </w:r>
          </w:p>
        </w:tc>
        <w:tc>
          <w:tcPr>
            <w:tcW w:w="1638" w:type="dxa"/>
            <w:tcBorders>
              <w:top w:val="single" w:sz="1" w:space="0" w:color="CCCCCC"/>
              <w:left w:val="single" w:sz="1" w:space="0" w:color="CCCCCC"/>
              <w:bottom w:val="single" w:sz="1" w:space="0" w:color="CCCCCC"/>
              <w:right w:val="single" w:sz="1" w:space="0" w:color="CCCCCC"/>
            </w:tcBorders>
            <w:shd w:val="clear" w:color="auto" w:fill="DBEAFE"/>
            <w:tcMar>
              <w:top w:w="90" w:type="dxa"/>
              <w:left w:w="120" w:type="dxa"/>
              <w:bottom w:w="90" w:type="dxa"/>
              <w:right w:w="120" w:type="dxa"/>
            </w:tcMar>
          </w:tcPr>
          <w:p w14:paraId="24602FAE" w14:textId="77777777" w:rsidR="00D44E73" w:rsidRDefault="00C65EF1">
            <w:r>
              <w:rPr>
                <w:b/>
                <w:bCs/>
                <w:color w:val="2563EB"/>
                <w:sz w:val="18"/>
                <w:szCs w:val="18"/>
              </w:rPr>
              <w:t>Luz (BI)</w:t>
            </w:r>
          </w:p>
        </w:tc>
        <w:tc>
          <w:tcPr>
            <w:tcW w:w="1600" w:type="dxa"/>
            <w:tcBorders>
              <w:top w:val="single" w:sz="1" w:space="0" w:color="CCCCCC"/>
              <w:left w:val="single" w:sz="1" w:space="0" w:color="CCCCCC"/>
              <w:bottom w:val="single" w:sz="1" w:space="0" w:color="CCCCCC"/>
              <w:right w:val="single" w:sz="1" w:space="0" w:color="CCCCCC"/>
            </w:tcBorders>
            <w:shd w:val="clear" w:color="auto" w:fill="FEF3C7"/>
            <w:tcMar>
              <w:top w:w="90" w:type="dxa"/>
              <w:left w:w="120" w:type="dxa"/>
              <w:bottom w:w="90" w:type="dxa"/>
              <w:right w:w="120" w:type="dxa"/>
            </w:tcMar>
          </w:tcPr>
          <w:p w14:paraId="1911DBB6" w14:textId="77777777" w:rsidR="00D44E73" w:rsidRDefault="00C65EF1">
            <w:r>
              <w:rPr>
                <w:b/>
                <w:bCs/>
                <w:color w:val="D97706"/>
                <w:sz w:val="18"/>
                <w:szCs w:val="18"/>
              </w:rPr>
              <w:t>Angy (PM)</w:t>
            </w:r>
          </w:p>
        </w:tc>
      </w:tr>
      <w:tr w:rsidR="00D44E73" w14:paraId="5D3B95C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2E4C931C" w14:textId="77777777" w:rsidR="00D44E73" w:rsidRDefault="00C65EF1">
            <w:r>
              <w:rPr>
                <w:b/>
                <w:bCs/>
                <w:color w:val="1E293B"/>
                <w:sz w:val="18"/>
                <w:szCs w:val="18"/>
              </w:rPr>
              <w:lastRenderedPageBreak/>
              <w:t>2 · Tasa de Ocupación</w:t>
            </w:r>
          </w:p>
        </w:tc>
        <w:tc>
          <w:tcPr>
            <w:tcW w:w="1800" w:type="dxa"/>
            <w:tcBorders>
              <w:top w:val="single" w:sz="1" w:space="0" w:color="CCCCCC"/>
              <w:left w:val="single" w:sz="1" w:space="0" w:color="CCCCCC"/>
              <w:bottom w:val="single" w:sz="1" w:space="0" w:color="CCCCCC"/>
              <w:right w:val="single" w:sz="1" w:space="0" w:color="CCCCCC"/>
            </w:tcBorders>
            <w:shd w:val="clear" w:color="auto" w:fill="CFFAFE"/>
            <w:tcMar>
              <w:top w:w="90" w:type="dxa"/>
              <w:left w:w="120" w:type="dxa"/>
              <w:bottom w:w="90" w:type="dxa"/>
              <w:right w:w="120" w:type="dxa"/>
            </w:tcMar>
          </w:tcPr>
          <w:p w14:paraId="4AB47183" w14:textId="77777777" w:rsidR="00D44E73" w:rsidRDefault="00C65EF1">
            <w:r>
              <w:rPr>
                <w:b/>
                <w:bCs/>
                <w:color w:val="0891B2"/>
                <w:sz w:val="18"/>
                <w:szCs w:val="18"/>
              </w:rPr>
              <w:t>María (DE)</w:t>
            </w:r>
          </w:p>
        </w:tc>
        <w:tc>
          <w:tcPr>
            <w:tcW w:w="1800" w:type="dxa"/>
            <w:tcBorders>
              <w:top w:val="single" w:sz="1" w:space="0" w:color="CCCCCC"/>
              <w:left w:val="single" w:sz="1" w:space="0" w:color="CCCCCC"/>
              <w:bottom w:val="single" w:sz="1" w:space="0" w:color="CCCCCC"/>
              <w:right w:val="single" w:sz="1" w:space="0" w:color="CCCCCC"/>
            </w:tcBorders>
            <w:shd w:val="clear" w:color="auto" w:fill="EDE9FE"/>
            <w:tcMar>
              <w:top w:w="90" w:type="dxa"/>
              <w:left w:w="120" w:type="dxa"/>
              <w:bottom w:w="90" w:type="dxa"/>
              <w:right w:w="120" w:type="dxa"/>
            </w:tcMar>
          </w:tcPr>
          <w:p w14:paraId="07738E5A" w14:textId="77777777" w:rsidR="00D44E73" w:rsidRDefault="00C65EF1">
            <w:r>
              <w:rPr>
                <w:b/>
                <w:bCs/>
                <w:color w:val="7C3AED"/>
                <w:sz w:val="18"/>
                <w:szCs w:val="18"/>
              </w:rPr>
              <w:t>Juan (DA)</w:t>
            </w:r>
          </w:p>
        </w:tc>
        <w:tc>
          <w:tcPr>
            <w:tcW w:w="1638" w:type="dxa"/>
            <w:tcBorders>
              <w:top w:val="single" w:sz="1" w:space="0" w:color="CCCCCC"/>
              <w:left w:val="single" w:sz="1" w:space="0" w:color="CCCCCC"/>
              <w:bottom w:val="single" w:sz="1" w:space="0" w:color="CCCCCC"/>
              <w:right w:val="single" w:sz="1" w:space="0" w:color="CCCCCC"/>
            </w:tcBorders>
            <w:shd w:val="clear" w:color="auto" w:fill="DBEAFE"/>
            <w:tcMar>
              <w:top w:w="90" w:type="dxa"/>
              <w:left w:w="120" w:type="dxa"/>
              <w:bottom w:w="90" w:type="dxa"/>
              <w:right w:w="120" w:type="dxa"/>
            </w:tcMar>
          </w:tcPr>
          <w:p w14:paraId="7728CB6A" w14:textId="77777777" w:rsidR="00D44E73" w:rsidRDefault="00C65EF1">
            <w:r>
              <w:rPr>
                <w:b/>
                <w:bCs/>
                <w:color w:val="2563EB"/>
                <w:sz w:val="18"/>
                <w:szCs w:val="18"/>
              </w:rPr>
              <w:t>Luz (BI)</w:t>
            </w:r>
          </w:p>
        </w:tc>
        <w:tc>
          <w:tcPr>
            <w:tcW w:w="1600" w:type="dxa"/>
            <w:tcBorders>
              <w:top w:val="single" w:sz="1" w:space="0" w:color="CCCCCC"/>
              <w:left w:val="single" w:sz="1" w:space="0" w:color="CCCCCC"/>
              <w:bottom w:val="single" w:sz="1" w:space="0" w:color="CCCCCC"/>
              <w:right w:val="single" w:sz="1" w:space="0" w:color="CCCCCC"/>
            </w:tcBorders>
            <w:shd w:val="clear" w:color="auto" w:fill="FEF3C7"/>
            <w:tcMar>
              <w:top w:w="90" w:type="dxa"/>
              <w:left w:w="120" w:type="dxa"/>
              <w:bottom w:w="90" w:type="dxa"/>
              <w:right w:w="120" w:type="dxa"/>
            </w:tcMar>
          </w:tcPr>
          <w:p w14:paraId="73108E9A" w14:textId="77777777" w:rsidR="00D44E73" w:rsidRDefault="00C65EF1">
            <w:r>
              <w:rPr>
                <w:b/>
                <w:bCs/>
                <w:color w:val="D97706"/>
                <w:sz w:val="18"/>
                <w:szCs w:val="18"/>
              </w:rPr>
              <w:t>Angy (PM)</w:t>
            </w:r>
          </w:p>
        </w:tc>
      </w:tr>
      <w:tr w:rsidR="00D44E73" w14:paraId="70FD9ED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51ED68BA" w14:textId="77777777" w:rsidR="00D44E73" w:rsidRDefault="00C65EF1">
            <w:r>
              <w:rPr>
                <w:b/>
                <w:bCs/>
                <w:color w:val="1E293B"/>
                <w:sz w:val="18"/>
                <w:szCs w:val="18"/>
              </w:rPr>
              <w:t>3 · Intervalo de Operación</w:t>
            </w:r>
          </w:p>
        </w:tc>
        <w:tc>
          <w:tcPr>
            <w:tcW w:w="1800" w:type="dxa"/>
            <w:tcBorders>
              <w:top w:val="single" w:sz="1" w:space="0" w:color="CCCCCC"/>
              <w:left w:val="single" w:sz="1" w:space="0" w:color="CCCCCC"/>
              <w:bottom w:val="single" w:sz="1" w:space="0" w:color="CCCCCC"/>
              <w:right w:val="single" w:sz="1" w:space="0" w:color="CCCCCC"/>
            </w:tcBorders>
            <w:shd w:val="clear" w:color="auto" w:fill="CFFAFE"/>
            <w:tcMar>
              <w:top w:w="90" w:type="dxa"/>
              <w:left w:w="120" w:type="dxa"/>
              <w:bottom w:w="90" w:type="dxa"/>
              <w:right w:w="120" w:type="dxa"/>
            </w:tcMar>
          </w:tcPr>
          <w:p w14:paraId="1BD79053" w14:textId="77777777" w:rsidR="00D44E73" w:rsidRDefault="00C65EF1">
            <w:r>
              <w:rPr>
                <w:b/>
                <w:bCs/>
                <w:color w:val="0891B2"/>
                <w:sz w:val="18"/>
                <w:szCs w:val="18"/>
              </w:rPr>
              <w:t>María (DE)</w:t>
            </w:r>
          </w:p>
        </w:tc>
        <w:tc>
          <w:tcPr>
            <w:tcW w:w="1800" w:type="dxa"/>
            <w:tcBorders>
              <w:top w:val="single" w:sz="1" w:space="0" w:color="CCCCCC"/>
              <w:left w:val="single" w:sz="1" w:space="0" w:color="CCCCCC"/>
              <w:bottom w:val="single" w:sz="1" w:space="0" w:color="CCCCCC"/>
              <w:right w:val="single" w:sz="1" w:space="0" w:color="CCCCCC"/>
            </w:tcBorders>
            <w:shd w:val="clear" w:color="auto" w:fill="EDE9FE"/>
            <w:tcMar>
              <w:top w:w="90" w:type="dxa"/>
              <w:left w:w="120" w:type="dxa"/>
              <w:bottom w:w="90" w:type="dxa"/>
              <w:right w:w="120" w:type="dxa"/>
            </w:tcMar>
          </w:tcPr>
          <w:p w14:paraId="37C87115" w14:textId="77777777" w:rsidR="00D44E73" w:rsidRDefault="00C65EF1">
            <w:r>
              <w:rPr>
                <w:b/>
                <w:bCs/>
                <w:color w:val="7C3AED"/>
                <w:sz w:val="18"/>
                <w:szCs w:val="18"/>
              </w:rPr>
              <w:t>Juan (DA)</w:t>
            </w:r>
          </w:p>
        </w:tc>
        <w:tc>
          <w:tcPr>
            <w:tcW w:w="1638" w:type="dxa"/>
            <w:tcBorders>
              <w:top w:val="single" w:sz="1" w:space="0" w:color="CCCCCC"/>
              <w:left w:val="single" w:sz="1" w:space="0" w:color="CCCCCC"/>
              <w:bottom w:val="single" w:sz="1" w:space="0" w:color="CCCCCC"/>
              <w:right w:val="single" w:sz="1" w:space="0" w:color="CCCCCC"/>
            </w:tcBorders>
            <w:shd w:val="clear" w:color="auto" w:fill="DBEAFE"/>
            <w:tcMar>
              <w:top w:w="90" w:type="dxa"/>
              <w:left w:w="120" w:type="dxa"/>
              <w:bottom w:w="90" w:type="dxa"/>
              <w:right w:w="120" w:type="dxa"/>
            </w:tcMar>
          </w:tcPr>
          <w:p w14:paraId="1FA6FD8F" w14:textId="77777777" w:rsidR="00D44E73" w:rsidRDefault="00C65EF1">
            <w:r>
              <w:rPr>
                <w:b/>
                <w:bCs/>
                <w:color w:val="2563EB"/>
                <w:sz w:val="18"/>
                <w:szCs w:val="18"/>
              </w:rPr>
              <w:t>Luz (BI)</w:t>
            </w:r>
          </w:p>
        </w:tc>
        <w:tc>
          <w:tcPr>
            <w:tcW w:w="1600" w:type="dxa"/>
            <w:tcBorders>
              <w:top w:val="single" w:sz="1" w:space="0" w:color="CCCCCC"/>
              <w:left w:val="single" w:sz="1" w:space="0" w:color="CCCCCC"/>
              <w:bottom w:val="single" w:sz="1" w:space="0" w:color="CCCCCC"/>
              <w:right w:val="single" w:sz="1" w:space="0" w:color="CCCCCC"/>
            </w:tcBorders>
            <w:shd w:val="clear" w:color="auto" w:fill="FEF3C7"/>
            <w:tcMar>
              <w:top w:w="90" w:type="dxa"/>
              <w:left w:w="120" w:type="dxa"/>
              <w:bottom w:w="90" w:type="dxa"/>
              <w:right w:w="120" w:type="dxa"/>
            </w:tcMar>
          </w:tcPr>
          <w:p w14:paraId="645A2300" w14:textId="77777777" w:rsidR="00D44E73" w:rsidRDefault="00C65EF1">
            <w:r>
              <w:rPr>
                <w:b/>
                <w:bCs/>
                <w:color w:val="D97706"/>
                <w:sz w:val="18"/>
                <w:szCs w:val="18"/>
              </w:rPr>
              <w:t>Angy (PM)</w:t>
            </w:r>
          </w:p>
        </w:tc>
      </w:tr>
      <w:tr w:rsidR="00D44E73" w14:paraId="3CC1287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4CC3E198" w14:textId="77777777" w:rsidR="00D44E73" w:rsidRDefault="00C65EF1">
            <w:r>
              <w:rPr>
                <w:b/>
                <w:bCs/>
                <w:color w:val="1E293B"/>
                <w:sz w:val="18"/>
                <w:szCs w:val="18"/>
              </w:rPr>
              <w:t>4 · Accidentalidad Vial</w:t>
            </w:r>
          </w:p>
        </w:tc>
        <w:tc>
          <w:tcPr>
            <w:tcW w:w="1800" w:type="dxa"/>
            <w:tcBorders>
              <w:top w:val="single" w:sz="1" w:space="0" w:color="CCCCCC"/>
              <w:left w:val="single" w:sz="1" w:space="0" w:color="CCCCCC"/>
              <w:bottom w:val="single" w:sz="1" w:space="0" w:color="CCCCCC"/>
              <w:right w:val="single" w:sz="1" w:space="0" w:color="CCCCCC"/>
            </w:tcBorders>
            <w:shd w:val="clear" w:color="auto" w:fill="CFFAFE"/>
            <w:tcMar>
              <w:top w:w="90" w:type="dxa"/>
              <w:left w:w="120" w:type="dxa"/>
              <w:bottom w:w="90" w:type="dxa"/>
              <w:right w:w="120" w:type="dxa"/>
            </w:tcMar>
          </w:tcPr>
          <w:p w14:paraId="11B25A51" w14:textId="77777777" w:rsidR="00D44E73" w:rsidRDefault="00C65EF1">
            <w:r>
              <w:rPr>
                <w:b/>
                <w:bCs/>
                <w:color w:val="0891B2"/>
                <w:sz w:val="18"/>
                <w:szCs w:val="18"/>
              </w:rPr>
              <w:t>María (DE)</w:t>
            </w:r>
          </w:p>
        </w:tc>
        <w:tc>
          <w:tcPr>
            <w:tcW w:w="1800" w:type="dxa"/>
            <w:tcBorders>
              <w:top w:val="single" w:sz="1" w:space="0" w:color="CCCCCC"/>
              <w:left w:val="single" w:sz="1" w:space="0" w:color="CCCCCC"/>
              <w:bottom w:val="single" w:sz="1" w:space="0" w:color="CCCCCC"/>
              <w:right w:val="single" w:sz="1" w:space="0" w:color="CCCCCC"/>
            </w:tcBorders>
            <w:shd w:val="clear" w:color="auto" w:fill="EDE9FE"/>
            <w:tcMar>
              <w:top w:w="90" w:type="dxa"/>
              <w:left w:w="120" w:type="dxa"/>
              <w:bottom w:w="90" w:type="dxa"/>
              <w:right w:w="120" w:type="dxa"/>
            </w:tcMar>
          </w:tcPr>
          <w:p w14:paraId="023F7D97" w14:textId="77777777" w:rsidR="00D44E73" w:rsidRDefault="00C65EF1">
            <w:r>
              <w:rPr>
                <w:b/>
                <w:bCs/>
                <w:color w:val="7C3AED"/>
                <w:sz w:val="18"/>
                <w:szCs w:val="18"/>
              </w:rPr>
              <w:t>Juan (DA)</w:t>
            </w:r>
          </w:p>
        </w:tc>
        <w:tc>
          <w:tcPr>
            <w:tcW w:w="1638" w:type="dxa"/>
            <w:tcBorders>
              <w:top w:val="single" w:sz="1" w:space="0" w:color="CCCCCC"/>
              <w:left w:val="single" w:sz="1" w:space="0" w:color="CCCCCC"/>
              <w:bottom w:val="single" w:sz="1" w:space="0" w:color="CCCCCC"/>
              <w:right w:val="single" w:sz="1" w:space="0" w:color="CCCCCC"/>
            </w:tcBorders>
            <w:shd w:val="clear" w:color="auto" w:fill="DBEAFE"/>
            <w:tcMar>
              <w:top w:w="90" w:type="dxa"/>
              <w:left w:w="120" w:type="dxa"/>
              <w:bottom w:w="90" w:type="dxa"/>
              <w:right w:w="120" w:type="dxa"/>
            </w:tcMar>
          </w:tcPr>
          <w:p w14:paraId="58C1CB1E" w14:textId="77777777" w:rsidR="00D44E73" w:rsidRDefault="00C65EF1">
            <w:r>
              <w:rPr>
                <w:b/>
                <w:bCs/>
                <w:color w:val="2563EB"/>
                <w:sz w:val="18"/>
                <w:szCs w:val="18"/>
              </w:rPr>
              <w:t>Luz (BI)</w:t>
            </w:r>
          </w:p>
        </w:tc>
        <w:tc>
          <w:tcPr>
            <w:tcW w:w="1600" w:type="dxa"/>
            <w:tcBorders>
              <w:top w:val="single" w:sz="1" w:space="0" w:color="CCCCCC"/>
              <w:left w:val="single" w:sz="1" w:space="0" w:color="CCCCCC"/>
              <w:bottom w:val="single" w:sz="1" w:space="0" w:color="CCCCCC"/>
              <w:right w:val="single" w:sz="1" w:space="0" w:color="CCCCCC"/>
            </w:tcBorders>
            <w:shd w:val="clear" w:color="auto" w:fill="FEF3C7"/>
            <w:tcMar>
              <w:top w:w="90" w:type="dxa"/>
              <w:left w:w="120" w:type="dxa"/>
              <w:bottom w:w="90" w:type="dxa"/>
              <w:right w:w="120" w:type="dxa"/>
            </w:tcMar>
          </w:tcPr>
          <w:p w14:paraId="1D9A1FC2" w14:textId="77777777" w:rsidR="00D44E73" w:rsidRDefault="00C65EF1">
            <w:r>
              <w:rPr>
                <w:b/>
                <w:bCs/>
                <w:color w:val="D97706"/>
                <w:sz w:val="18"/>
                <w:szCs w:val="18"/>
              </w:rPr>
              <w:t>Angy (PM)</w:t>
            </w:r>
          </w:p>
        </w:tc>
      </w:tr>
      <w:tr w:rsidR="00D44E73" w14:paraId="71D7291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593B73DD" w14:textId="77777777" w:rsidR="00D44E73" w:rsidRDefault="00C65EF1">
            <w:r>
              <w:rPr>
                <w:b/>
                <w:bCs/>
                <w:color w:val="1E293B"/>
                <w:sz w:val="18"/>
                <w:szCs w:val="18"/>
              </w:rPr>
              <w:t>5* · Tendencia Pasajeros</w:t>
            </w:r>
          </w:p>
        </w:tc>
        <w:tc>
          <w:tcPr>
            <w:tcW w:w="1800" w:type="dxa"/>
            <w:tcBorders>
              <w:top w:val="single" w:sz="1" w:space="0" w:color="CCCCCC"/>
              <w:left w:val="single" w:sz="1" w:space="0" w:color="CCCCCC"/>
              <w:bottom w:val="single" w:sz="1" w:space="0" w:color="CCCCCC"/>
              <w:right w:val="single" w:sz="1" w:space="0" w:color="CCCCCC"/>
            </w:tcBorders>
            <w:shd w:val="clear" w:color="auto" w:fill="CFFAFE"/>
            <w:tcMar>
              <w:top w:w="90" w:type="dxa"/>
              <w:left w:w="120" w:type="dxa"/>
              <w:bottom w:w="90" w:type="dxa"/>
              <w:right w:w="120" w:type="dxa"/>
            </w:tcMar>
          </w:tcPr>
          <w:p w14:paraId="58D8DC6C" w14:textId="77777777" w:rsidR="00D44E73" w:rsidRDefault="00C65EF1">
            <w:r>
              <w:rPr>
                <w:b/>
                <w:bCs/>
                <w:color w:val="0891B2"/>
                <w:sz w:val="18"/>
                <w:szCs w:val="18"/>
              </w:rPr>
              <w:t>María (DE)</w:t>
            </w:r>
          </w:p>
        </w:tc>
        <w:tc>
          <w:tcPr>
            <w:tcW w:w="1800" w:type="dxa"/>
            <w:tcBorders>
              <w:top w:val="single" w:sz="1" w:space="0" w:color="CCCCCC"/>
              <w:left w:val="single" w:sz="1" w:space="0" w:color="CCCCCC"/>
              <w:bottom w:val="single" w:sz="1" w:space="0" w:color="CCCCCC"/>
              <w:right w:val="single" w:sz="1" w:space="0" w:color="CCCCCC"/>
            </w:tcBorders>
            <w:shd w:val="clear" w:color="auto" w:fill="EDE9FE"/>
            <w:tcMar>
              <w:top w:w="90" w:type="dxa"/>
              <w:left w:w="120" w:type="dxa"/>
              <w:bottom w:w="90" w:type="dxa"/>
              <w:right w:w="120" w:type="dxa"/>
            </w:tcMar>
          </w:tcPr>
          <w:p w14:paraId="128CEDBC" w14:textId="77777777" w:rsidR="00D44E73" w:rsidRDefault="00C65EF1">
            <w:r>
              <w:rPr>
                <w:b/>
                <w:bCs/>
                <w:color w:val="7C3AED"/>
                <w:sz w:val="18"/>
                <w:szCs w:val="18"/>
              </w:rPr>
              <w:t>Juan (DA)</w:t>
            </w:r>
          </w:p>
        </w:tc>
        <w:tc>
          <w:tcPr>
            <w:tcW w:w="1638" w:type="dxa"/>
            <w:tcBorders>
              <w:top w:val="single" w:sz="1" w:space="0" w:color="CCCCCC"/>
              <w:left w:val="single" w:sz="1" w:space="0" w:color="CCCCCC"/>
              <w:bottom w:val="single" w:sz="1" w:space="0" w:color="CCCCCC"/>
              <w:right w:val="single" w:sz="1" w:space="0" w:color="CCCCCC"/>
            </w:tcBorders>
            <w:shd w:val="clear" w:color="auto" w:fill="DBEAFE"/>
            <w:tcMar>
              <w:top w:w="90" w:type="dxa"/>
              <w:left w:w="120" w:type="dxa"/>
              <w:bottom w:w="90" w:type="dxa"/>
              <w:right w:w="120" w:type="dxa"/>
            </w:tcMar>
          </w:tcPr>
          <w:p w14:paraId="4388F840" w14:textId="77777777" w:rsidR="00D44E73" w:rsidRDefault="00C65EF1">
            <w:r>
              <w:rPr>
                <w:b/>
                <w:bCs/>
                <w:color w:val="2563EB"/>
                <w:sz w:val="18"/>
                <w:szCs w:val="18"/>
              </w:rPr>
              <w:t>Luz (BI)</w:t>
            </w:r>
          </w:p>
        </w:tc>
        <w:tc>
          <w:tcPr>
            <w:tcW w:w="1600" w:type="dxa"/>
            <w:tcBorders>
              <w:top w:val="single" w:sz="1" w:space="0" w:color="CCCCCC"/>
              <w:left w:val="single" w:sz="1" w:space="0" w:color="CCCCCC"/>
              <w:bottom w:val="single" w:sz="1" w:space="0" w:color="CCCCCC"/>
              <w:right w:val="single" w:sz="1" w:space="0" w:color="CCCCCC"/>
            </w:tcBorders>
            <w:shd w:val="clear" w:color="auto" w:fill="FEF3C7"/>
            <w:tcMar>
              <w:top w:w="90" w:type="dxa"/>
              <w:left w:w="120" w:type="dxa"/>
              <w:bottom w:w="90" w:type="dxa"/>
              <w:right w:w="120" w:type="dxa"/>
            </w:tcMar>
          </w:tcPr>
          <w:p w14:paraId="78A87681" w14:textId="77777777" w:rsidR="00D44E73" w:rsidRDefault="00C65EF1">
            <w:r>
              <w:rPr>
                <w:b/>
                <w:bCs/>
                <w:color w:val="D97706"/>
                <w:sz w:val="18"/>
                <w:szCs w:val="18"/>
              </w:rPr>
              <w:t>Angy (PM)</w:t>
            </w:r>
          </w:p>
        </w:tc>
      </w:tr>
      <w:tr w:rsidR="00D44E73" w14:paraId="5CCF5D8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66509632" w14:textId="77777777" w:rsidR="00D44E73" w:rsidRDefault="00C65EF1">
            <w:r>
              <w:rPr>
                <w:b/>
                <w:bCs/>
                <w:color w:val="1E293B"/>
                <w:sz w:val="18"/>
                <w:szCs w:val="18"/>
              </w:rPr>
              <w:t>6* · IPV</w:t>
            </w:r>
          </w:p>
        </w:tc>
        <w:tc>
          <w:tcPr>
            <w:tcW w:w="1800" w:type="dxa"/>
            <w:tcBorders>
              <w:top w:val="single" w:sz="1" w:space="0" w:color="CCCCCC"/>
              <w:left w:val="single" w:sz="1" w:space="0" w:color="CCCCCC"/>
              <w:bottom w:val="single" w:sz="1" w:space="0" w:color="CCCCCC"/>
              <w:right w:val="single" w:sz="1" w:space="0" w:color="CCCCCC"/>
            </w:tcBorders>
            <w:shd w:val="clear" w:color="auto" w:fill="CFFAFE"/>
            <w:tcMar>
              <w:top w:w="90" w:type="dxa"/>
              <w:left w:w="120" w:type="dxa"/>
              <w:bottom w:w="90" w:type="dxa"/>
              <w:right w:w="120" w:type="dxa"/>
            </w:tcMar>
          </w:tcPr>
          <w:p w14:paraId="3C9EEE95" w14:textId="77777777" w:rsidR="00D44E73" w:rsidRDefault="00C65EF1">
            <w:r>
              <w:rPr>
                <w:b/>
                <w:bCs/>
                <w:color w:val="0891B2"/>
                <w:sz w:val="18"/>
                <w:szCs w:val="18"/>
              </w:rPr>
              <w:t>María (DE)</w:t>
            </w:r>
          </w:p>
        </w:tc>
        <w:tc>
          <w:tcPr>
            <w:tcW w:w="1800" w:type="dxa"/>
            <w:tcBorders>
              <w:top w:val="single" w:sz="1" w:space="0" w:color="CCCCCC"/>
              <w:left w:val="single" w:sz="1" w:space="0" w:color="CCCCCC"/>
              <w:bottom w:val="single" w:sz="1" w:space="0" w:color="CCCCCC"/>
              <w:right w:val="single" w:sz="1" w:space="0" w:color="CCCCCC"/>
            </w:tcBorders>
            <w:shd w:val="clear" w:color="auto" w:fill="EDE9FE"/>
            <w:tcMar>
              <w:top w:w="90" w:type="dxa"/>
              <w:left w:w="120" w:type="dxa"/>
              <w:bottom w:w="90" w:type="dxa"/>
              <w:right w:w="120" w:type="dxa"/>
            </w:tcMar>
          </w:tcPr>
          <w:p w14:paraId="38338B9E" w14:textId="77777777" w:rsidR="00D44E73" w:rsidRDefault="00C65EF1">
            <w:r>
              <w:rPr>
                <w:b/>
                <w:bCs/>
                <w:color w:val="7C3AED"/>
                <w:sz w:val="18"/>
                <w:szCs w:val="18"/>
              </w:rPr>
              <w:t>Juan (DA)</w:t>
            </w:r>
          </w:p>
        </w:tc>
        <w:tc>
          <w:tcPr>
            <w:tcW w:w="1638" w:type="dxa"/>
            <w:tcBorders>
              <w:top w:val="single" w:sz="1" w:space="0" w:color="CCCCCC"/>
              <w:left w:val="single" w:sz="1" w:space="0" w:color="CCCCCC"/>
              <w:bottom w:val="single" w:sz="1" w:space="0" w:color="CCCCCC"/>
              <w:right w:val="single" w:sz="1" w:space="0" w:color="CCCCCC"/>
            </w:tcBorders>
            <w:shd w:val="clear" w:color="auto" w:fill="DBEAFE"/>
            <w:tcMar>
              <w:top w:w="90" w:type="dxa"/>
              <w:left w:w="120" w:type="dxa"/>
              <w:bottom w:w="90" w:type="dxa"/>
              <w:right w:w="120" w:type="dxa"/>
            </w:tcMar>
          </w:tcPr>
          <w:p w14:paraId="2C7FFCCC" w14:textId="77777777" w:rsidR="00D44E73" w:rsidRDefault="00C65EF1">
            <w:r>
              <w:rPr>
                <w:b/>
                <w:bCs/>
                <w:color w:val="2563EB"/>
                <w:sz w:val="18"/>
                <w:szCs w:val="18"/>
              </w:rPr>
              <w:t>Luz (BI)</w:t>
            </w:r>
          </w:p>
        </w:tc>
        <w:tc>
          <w:tcPr>
            <w:tcW w:w="1600" w:type="dxa"/>
            <w:tcBorders>
              <w:top w:val="single" w:sz="1" w:space="0" w:color="CCCCCC"/>
              <w:left w:val="single" w:sz="1" w:space="0" w:color="CCCCCC"/>
              <w:bottom w:val="single" w:sz="1" w:space="0" w:color="CCCCCC"/>
              <w:right w:val="single" w:sz="1" w:space="0" w:color="CCCCCC"/>
            </w:tcBorders>
            <w:shd w:val="clear" w:color="auto" w:fill="FEF3C7"/>
            <w:tcMar>
              <w:top w:w="90" w:type="dxa"/>
              <w:left w:w="120" w:type="dxa"/>
              <w:bottom w:w="90" w:type="dxa"/>
              <w:right w:w="120" w:type="dxa"/>
            </w:tcMar>
          </w:tcPr>
          <w:p w14:paraId="4511F421" w14:textId="77777777" w:rsidR="00D44E73" w:rsidRDefault="00C65EF1">
            <w:r>
              <w:rPr>
                <w:b/>
                <w:bCs/>
                <w:color w:val="D97706"/>
                <w:sz w:val="18"/>
                <w:szCs w:val="18"/>
              </w:rPr>
              <w:t>Angy (PM)</w:t>
            </w:r>
          </w:p>
        </w:tc>
      </w:tr>
    </w:tbl>
    <w:p w14:paraId="1A44893F" w14:textId="77777777" w:rsidR="00D44E73" w:rsidRDefault="00D44E73">
      <w:pPr>
        <w:spacing w:after="160"/>
      </w:pPr>
    </w:p>
    <w:p w14:paraId="5251F101" w14:textId="77777777" w:rsidR="00D44E73" w:rsidRDefault="00C65EF1">
      <w:pPr>
        <w:pStyle w:val="Ttulo1"/>
      </w:pPr>
      <w:r>
        <w:t>7. Estructura Recomendada del Dashboard (Entregable 03)</w:t>
      </w:r>
    </w:p>
    <w:p w14:paraId="2C979944" w14:textId="77777777" w:rsidR="00D44E73" w:rsidRDefault="00D44E73">
      <w:pPr>
        <w:pBdr>
          <w:bottom w:val="single" w:sz="4" w:space="1" w:color="2563EB"/>
        </w:pBdr>
        <w:spacing w:before="4" w:after="160"/>
      </w:pPr>
    </w:p>
    <w:p w14:paraId="4EDFA0BE" w14:textId="77777777" w:rsidR="00D44E73" w:rsidRDefault="00C65EF1">
      <w:pPr>
        <w:spacing w:after="120" w:line="276" w:lineRule="auto"/>
        <w:jc w:val="both"/>
      </w:pPr>
      <w:r>
        <w:rPr>
          <w:color w:val="1E293B"/>
        </w:rPr>
        <w:t>Se recomienda organizar el dashboard de Lovable/Bolt en tres secciones o "páginas" para contar la historia de datos de manera progresiva y coherente frente a Grow Data:</w:t>
      </w:r>
    </w:p>
    <w:p w14:paraId="74266719" w14:textId="77777777" w:rsidR="00D44E73" w:rsidRDefault="00D44E73">
      <w:pPr>
        <w:spacing w:after="160"/>
      </w:pPr>
    </w:p>
    <w:p w14:paraId="004E0E44" w14:textId="77777777" w:rsidR="00D44E73" w:rsidRDefault="00C65EF1">
      <w:pPr>
        <w:pStyle w:val="Ttulo2"/>
      </w:pPr>
      <w:r>
        <w:t>Sección 1 — Contexto General del Sistema</w:t>
      </w:r>
    </w:p>
    <w:p w14:paraId="4D85F4A2" w14:textId="77777777" w:rsidR="00D44E73" w:rsidRDefault="00C65EF1">
      <w:pPr>
        <w:spacing w:after="120" w:line="276" w:lineRule="auto"/>
        <w:jc w:val="both"/>
      </w:pPr>
      <w:r>
        <w:rPr>
          <w:color w:val="1E293B"/>
        </w:rPr>
        <w:t>Objetivo: mostrar el estado general del transporte público colombiano en el periodo analizado.</w:t>
      </w:r>
    </w:p>
    <w:p w14:paraId="2706D1F5" w14:textId="77777777" w:rsidR="00D44E73" w:rsidRDefault="00C65EF1">
      <w:pPr>
        <w:pStyle w:val="Prrafodelista"/>
        <w:numPr>
          <w:ilvl w:val="0"/>
          <w:numId w:val="2"/>
        </w:numPr>
        <w:spacing w:before="40" w:after="40" w:line="276" w:lineRule="auto"/>
      </w:pPr>
      <w:r>
        <w:rPr>
          <w:color w:val="1E293B"/>
        </w:rPr>
        <w:t>KPI 1 (IPK) por ciudad: barras comparativas. El usuario entiende de inmediato qué ciudades tienen sistemas eficientes.</w:t>
      </w:r>
    </w:p>
    <w:p w14:paraId="4BB16378" w14:textId="77777777" w:rsidR="00D44E73" w:rsidRDefault="00C65EF1">
      <w:pPr>
        <w:pStyle w:val="Prrafodelista"/>
        <w:numPr>
          <w:ilvl w:val="0"/>
          <w:numId w:val="2"/>
        </w:numPr>
        <w:spacing w:before="40" w:after="40" w:line="276" w:lineRule="auto"/>
      </w:pPr>
      <w:r>
        <w:rPr>
          <w:color w:val="1E293B"/>
        </w:rPr>
        <w:t>KPI 5* (Tendencia de pasajeros): línea de tiempo si el equipo elige este opcional. Da el contexto histórico.</w:t>
      </w:r>
    </w:p>
    <w:p w14:paraId="6F41C6A9" w14:textId="77777777" w:rsidR="00D44E73" w:rsidRDefault="00C65EF1">
      <w:pPr>
        <w:pStyle w:val="Prrafodelista"/>
        <w:numPr>
          <w:ilvl w:val="0"/>
          <w:numId w:val="2"/>
        </w:numPr>
        <w:spacing w:before="40" w:after="40" w:line="276" w:lineRule="auto"/>
      </w:pPr>
      <w:r>
        <w:rPr>
          <w:color w:val="1E293B"/>
        </w:rPr>
        <w:t>Filtros disponibles: ciudad, año, trimestre.</w:t>
      </w:r>
    </w:p>
    <w:p w14:paraId="496F39F4" w14:textId="77777777" w:rsidR="00D44E73" w:rsidRDefault="00D44E73">
      <w:pPr>
        <w:spacing w:after="160"/>
      </w:pPr>
    </w:p>
    <w:p w14:paraId="4B0F2985" w14:textId="77777777" w:rsidR="00D44E73" w:rsidRDefault="00C65EF1">
      <w:pPr>
        <w:pStyle w:val="Ttulo2"/>
      </w:pPr>
      <w:r>
        <w:t>Sección 2 — Análisis Operativo de Rutas</w:t>
      </w:r>
    </w:p>
    <w:p w14:paraId="1FB8B207" w14:textId="77777777" w:rsidR="00D44E73" w:rsidRDefault="00C65EF1">
      <w:pPr>
        <w:spacing w:after="120" w:line="276" w:lineRule="auto"/>
        <w:jc w:val="both"/>
      </w:pPr>
      <w:r>
        <w:rPr>
          <w:color w:val="1E293B"/>
        </w:rPr>
        <w:t>Objetivo: profundizar en la operación — dónde hay congestión, dónde hay deficiencia de frecuencia.</w:t>
      </w:r>
    </w:p>
    <w:p w14:paraId="0B9280CD" w14:textId="77777777" w:rsidR="00D44E73" w:rsidRDefault="00C65EF1">
      <w:pPr>
        <w:pStyle w:val="Prrafodelista"/>
        <w:numPr>
          <w:ilvl w:val="0"/>
          <w:numId w:val="2"/>
        </w:numPr>
        <w:spacing w:before="40" w:after="40" w:line="276" w:lineRule="auto"/>
      </w:pPr>
      <w:r>
        <w:rPr>
          <w:color w:val="1E293B"/>
        </w:rPr>
        <w:t>KPI 2 (Tasa de Ocupación): heatmap de ruta vs hora. El punto más impactante del dashboard.</w:t>
      </w:r>
    </w:p>
    <w:p w14:paraId="0E63EC2D" w14:textId="77777777" w:rsidR="00D44E73" w:rsidRDefault="00C65EF1">
      <w:pPr>
        <w:pStyle w:val="Prrafodelista"/>
        <w:numPr>
          <w:ilvl w:val="0"/>
          <w:numId w:val="2"/>
        </w:numPr>
        <w:spacing w:before="40" w:after="40" w:line="276" w:lineRule="auto"/>
      </w:pPr>
      <w:r>
        <w:rPr>
          <w:color w:val="1E293B"/>
        </w:rPr>
        <w:t>KPI 3 (Intervalo de Operación): línea por ruta. Muestra dónde el usuario espera más.</w:t>
      </w:r>
    </w:p>
    <w:p w14:paraId="2A683A90" w14:textId="77777777" w:rsidR="00D44E73" w:rsidRDefault="00C65EF1">
      <w:pPr>
        <w:pStyle w:val="Prrafodelista"/>
        <w:numPr>
          <w:ilvl w:val="0"/>
          <w:numId w:val="2"/>
        </w:numPr>
        <w:spacing w:before="40" w:after="40" w:line="276" w:lineRule="auto"/>
      </w:pPr>
      <w:r>
        <w:rPr>
          <w:color w:val="1E293B"/>
        </w:rPr>
        <w:t>KPI 6* (IPV): si el equipo activa este opcional, va aquí como complemento del análisis de flota.</w:t>
      </w:r>
    </w:p>
    <w:p w14:paraId="7B9B7356" w14:textId="77777777" w:rsidR="00D44E73" w:rsidRDefault="00C65EF1">
      <w:pPr>
        <w:pStyle w:val="Prrafodelista"/>
        <w:numPr>
          <w:ilvl w:val="0"/>
          <w:numId w:val="2"/>
        </w:numPr>
        <w:spacing w:before="40" w:after="40" w:line="276" w:lineRule="auto"/>
      </w:pPr>
      <w:r>
        <w:rPr>
          <w:color w:val="1E293B"/>
        </w:rPr>
        <w:t>Filtros disponibles: ruta, franja horaria, operador.</w:t>
      </w:r>
    </w:p>
    <w:p w14:paraId="15A49FF5" w14:textId="77777777" w:rsidR="00D44E73" w:rsidRDefault="00D44E73">
      <w:pPr>
        <w:spacing w:after="160"/>
      </w:pPr>
    </w:p>
    <w:p w14:paraId="67993B44" w14:textId="77777777" w:rsidR="00D44E73" w:rsidRDefault="00C65EF1">
      <w:pPr>
        <w:pStyle w:val="Ttulo2"/>
      </w:pPr>
      <w:r>
        <w:lastRenderedPageBreak/>
        <w:t>Sección 3 — Seguridad Vial y Hallazgos Clave</w:t>
      </w:r>
    </w:p>
    <w:p w14:paraId="7C83818E" w14:textId="77777777" w:rsidR="00D44E73" w:rsidRDefault="00C65EF1">
      <w:pPr>
        <w:spacing w:after="120" w:line="276" w:lineRule="auto"/>
        <w:jc w:val="both"/>
      </w:pPr>
      <w:r>
        <w:rPr>
          <w:color w:val="1E293B"/>
        </w:rPr>
        <w:t>Objetivo: mostrar el impacto humano y generar las conclusiones del análisis para la presentación ante Grow Data.</w:t>
      </w:r>
    </w:p>
    <w:p w14:paraId="5C0E2D54" w14:textId="77777777" w:rsidR="00D44E73" w:rsidRDefault="00C65EF1">
      <w:pPr>
        <w:pStyle w:val="Prrafodelista"/>
        <w:numPr>
          <w:ilvl w:val="0"/>
          <w:numId w:val="2"/>
        </w:numPr>
        <w:spacing w:before="40" w:after="40" w:line="276" w:lineRule="auto"/>
      </w:pPr>
      <w:r>
        <w:rPr>
          <w:color w:val="1E293B"/>
        </w:rPr>
        <w:t>KPI 4 (Accidentalidad Vial): mapa de calor geoespacial. Es la visualización más poderosa.</w:t>
      </w:r>
    </w:p>
    <w:p w14:paraId="26EDDC63" w14:textId="77777777" w:rsidR="00D44E73" w:rsidRDefault="00C65EF1">
      <w:pPr>
        <w:pStyle w:val="Prrafodelista"/>
        <w:numPr>
          <w:ilvl w:val="0"/>
          <w:numId w:val="2"/>
        </w:numPr>
        <w:spacing w:before="40" w:after="40" w:line="276" w:lineRule="auto"/>
      </w:pPr>
      <w:r>
        <w:rPr>
          <w:color w:val="1E293B"/>
        </w:rPr>
        <w:t>Texto de hallazgos: 3–5 conclusiones clave derivadas del análisis de los KPIs anteriores.</w:t>
      </w:r>
    </w:p>
    <w:p w14:paraId="0E2C98E3" w14:textId="77777777" w:rsidR="00D44E73" w:rsidRDefault="00C65EF1">
      <w:pPr>
        <w:pStyle w:val="Prrafodelista"/>
        <w:numPr>
          <w:ilvl w:val="0"/>
          <w:numId w:val="2"/>
        </w:numPr>
        <w:spacing w:before="40" w:after="40" w:line="276" w:lineRule="auto"/>
      </w:pPr>
      <w:r>
        <w:rPr>
          <w:color w:val="1E293B"/>
        </w:rPr>
        <w:t>Recomendaciones de política: 2–3 acciones que los datos sugieren implementar.</w:t>
      </w:r>
    </w:p>
    <w:p w14:paraId="5FF1E48D" w14:textId="77777777" w:rsidR="00D44E73" w:rsidRDefault="00D44E73">
      <w:pPr>
        <w:spacing w:after="160"/>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8838"/>
      </w:tblGrid>
      <w:tr w:rsidR="00D44E73" w14:paraId="08EEFEB8" w14:textId="77777777">
        <w:tc>
          <w:tcPr>
            <w:tcW w:w="8838" w:type="dxa"/>
            <w:tcBorders>
              <w:top w:val="none" w:sz="0" w:space="0" w:color="FFFFFF"/>
              <w:left w:val="single" w:sz="12" w:space="0" w:color="7C3AED"/>
              <w:bottom w:val="none" w:sz="0" w:space="0" w:color="FFFFFF"/>
              <w:right w:val="none" w:sz="0" w:space="0" w:color="FFFFFF"/>
            </w:tcBorders>
            <w:shd w:val="clear" w:color="auto" w:fill="EDE9FE"/>
            <w:tcMar>
              <w:top w:w="60" w:type="dxa"/>
              <w:left w:w="140" w:type="dxa"/>
              <w:bottom w:w="60" w:type="dxa"/>
              <w:right w:w="100" w:type="dxa"/>
            </w:tcMar>
          </w:tcPr>
          <w:p w14:paraId="5DD9D5E1" w14:textId="5FDF0480" w:rsidR="00D44E73" w:rsidRDefault="00C65EF1">
            <w:pPr>
              <w:spacing w:line="260" w:lineRule="auto"/>
            </w:pPr>
            <w:r>
              <w:rPr>
                <w:b/>
                <w:bCs/>
                <w:color w:val="1E293B"/>
                <w:sz w:val="21"/>
                <w:szCs w:val="21"/>
              </w:rPr>
              <w:t xml:space="preserve">Recomendación </w:t>
            </w:r>
            <w:r w:rsidR="00430C16">
              <w:rPr>
                <w:b/>
                <w:bCs/>
                <w:color w:val="1E293B"/>
                <w:sz w:val="21"/>
                <w:szCs w:val="21"/>
              </w:rPr>
              <w:t>para</w:t>
            </w:r>
            <w:r>
              <w:rPr>
                <w:b/>
                <w:bCs/>
                <w:color w:val="1E293B"/>
                <w:sz w:val="21"/>
                <w:szCs w:val="21"/>
              </w:rPr>
              <w:t xml:space="preserve"> Luz (BI Dev / Storyteller):</w:t>
            </w:r>
          </w:p>
        </w:tc>
      </w:tr>
      <w:tr w:rsidR="00D44E73" w14:paraId="6B83495D" w14:textId="77777777">
        <w:tc>
          <w:tcPr>
            <w:tcW w:w="8838" w:type="dxa"/>
            <w:tcBorders>
              <w:top w:val="none" w:sz="0" w:space="0" w:color="FFFFFF"/>
              <w:left w:val="single" w:sz="12" w:space="0" w:color="7C3AED"/>
              <w:bottom w:val="none" w:sz="0" w:space="0" w:color="FFFFFF"/>
              <w:right w:val="none" w:sz="0" w:space="0" w:color="FFFFFF"/>
            </w:tcBorders>
            <w:shd w:val="clear" w:color="auto" w:fill="EDE9FE"/>
            <w:tcMar>
              <w:top w:w="60" w:type="dxa"/>
              <w:left w:w="140" w:type="dxa"/>
              <w:bottom w:w="60" w:type="dxa"/>
              <w:right w:w="100" w:type="dxa"/>
            </w:tcMar>
          </w:tcPr>
          <w:p w14:paraId="53AE947C" w14:textId="77777777" w:rsidR="00D44E73" w:rsidRDefault="00C65EF1">
            <w:pPr>
              <w:spacing w:line="260" w:lineRule="auto"/>
            </w:pPr>
            <w:r>
              <w:rPr>
                <w:color w:val="1E293B"/>
                <w:sz w:val="21"/>
                <w:szCs w:val="21"/>
              </w:rPr>
              <w:t>Cada sección debe comenzar con una pregunta de negocio visible en el dashboard. Ejemplo: "¿Qué rutas están al límite de su capacidad?". La respuesta visual (el heatmap) aparece inmediatamente debajo. Esto hace que el dashboard cuente una historia, no solo muestre datos.</w:t>
            </w:r>
          </w:p>
        </w:tc>
      </w:tr>
    </w:tbl>
    <w:p w14:paraId="26A25957" w14:textId="77777777" w:rsidR="00D44E73" w:rsidRDefault="00D44E73">
      <w:pPr>
        <w:spacing w:after="160"/>
      </w:pPr>
    </w:p>
    <w:p w14:paraId="3D4A2F74" w14:textId="77777777" w:rsidR="00D44E73" w:rsidRDefault="00C65EF1">
      <w:pPr>
        <w:pStyle w:val="Ttulo1"/>
      </w:pPr>
      <w:r>
        <w:t>8. Referencias y Fuentes de Respaldo</w:t>
      </w:r>
    </w:p>
    <w:p w14:paraId="620B4E9A" w14:textId="77777777" w:rsidR="00D44E73" w:rsidRDefault="00D44E73">
      <w:pPr>
        <w:pBdr>
          <w:bottom w:val="single" w:sz="4" w:space="1" w:color="2563EB"/>
        </w:pBdr>
        <w:spacing w:before="4" w:after="160"/>
      </w:pPr>
    </w:p>
    <w:p w14:paraId="66D36580" w14:textId="77777777" w:rsidR="00D44E73" w:rsidRDefault="00C65EF1">
      <w:pPr>
        <w:spacing w:after="120" w:line="276" w:lineRule="auto"/>
        <w:jc w:val="both"/>
      </w:pPr>
      <w:r>
        <w:rPr>
          <w:color w:val="1E293B"/>
        </w:rPr>
        <w:t>Los KPIs definidos en este anexo están respaldados por las siguientes fuentes técnicas y académicas:</w:t>
      </w:r>
    </w:p>
    <w:p w14:paraId="56E9CD7E" w14:textId="77777777" w:rsidR="00D44E73" w:rsidRDefault="00C65EF1">
      <w:pPr>
        <w:pStyle w:val="Prrafodelista"/>
        <w:numPr>
          <w:ilvl w:val="0"/>
          <w:numId w:val="2"/>
        </w:numPr>
        <w:spacing w:before="40" w:after="40" w:line="276" w:lineRule="auto"/>
      </w:pPr>
      <w:r>
        <w:rPr>
          <w:color w:val="1E293B"/>
        </w:rPr>
        <w:t>DANE – Encuesta de Transporte Urbano de Pasajeros (ETUP). Disponible en: dane.gov.co/index.php/estadisticas-por-tema/transporte.</w:t>
      </w:r>
    </w:p>
    <w:p w14:paraId="627D4D7D" w14:textId="77777777" w:rsidR="00D44E73" w:rsidRDefault="00C65EF1">
      <w:pPr>
        <w:pStyle w:val="Prrafodelista"/>
        <w:numPr>
          <w:ilvl w:val="0"/>
          <w:numId w:val="2"/>
        </w:numPr>
        <w:spacing w:before="40" w:after="40" w:line="276" w:lineRule="auto"/>
      </w:pPr>
      <w:r>
        <w:rPr>
          <w:color w:val="1E293B"/>
        </w:rPr>
        <w:t>Mintransporte Colombia – Portal Datos Abiertos. Disponible en: mintransporte.gov.co/publicaciones/11903/datos-abiertos.</w:t>
      </w:r>
    </w:p>
    <w:p w14:paraId="7C1291C4" w14:textId="77777777" w:rsidR="00D44E73" w:rsidRDefault="00C65EF1">
      <w:pPr>
        <w:pStyle w:val="Prrafodelista"/>
        <w:numPr>
          <w:ilvl w:val="0"/>
          <w:numId w:val="2"/>
        </w:numPr>
        <w:spacing w:before="40" w:after="40" w:line="276" w:lineRule="auto"/>
      </w:pPr>
      <w:r>
        <w:rPr>
          <w:color w:val="1E293B"/>
        </w:rPr>
        <w:t>Portal de Datos Abiertos Colombia – Categoría Transporte. Disponible en: datos.gov.co/Transporte.</w:t>
      </w:r>
    </w:p>
    <w:p w14:paraId="6F6F18D7" w14:textId="77777777" w:rsidR="00D44E73" w:rsidRDefault="00C65EF1">
      <w:pPr>
        <w:pStyle w:val="Prrafodelista"/>
        <w:numPr>
          <w:ilvl w:val="0"/>
          <w:numId w:val="2"/>
        </w:numPr>
        <w:spacing w:before="40" w:after="40" w:line="276" w:lineRule="auto"/>
      </w:pPr>
      <w:r>
        <w:rPr>
          <w:color w:val="1E293B"/>
        </w:rPr>
        <w:t>Observatorio de Movilidad de Bogotá (OMB) – Indicadores de gestión 2024. Disponible en: observatorio.movilidadbogota.gov.co.</w:t>
      </w:r>
    </w:p>
    <w:p w14:paraId="1418EE10" w14:textId="77777777" w:rsidR="00D44E73" w:rsidRDefault="00C65EF1">
      <w:pPr>
        <w:pStyle w:val="Prrafodelista"/>
        <w:numPr>
          <w:ilvl w:val="0"/>
          <w:numId w:val="2"/>
        </w:numPr>
        <w:spacing w:before="40" w:after="40" w:line="276" w:lineRule="auto"/>
      </w:pPr>
      <w:r>
        <w:rPr>
          <w:color w:val="1E293B"/>
        </w:rPr>
        <w:t>WRI México / Pasajero7 – IPK, IPV, IKV: índices para medir el desempeño del transporte público. Disponible en: pasajero7.com.</w:t>
      </w:r>
    </w:p>
    <w:p w14:paraId="1B719C54" w14:textId="77777777" w:rsidR="00D44E73" w:rsidRDefault="00C65EF1">
      <w:pPr>
        <w:pStyle w:val="Prrafodelista"/>
        <w:numPr>
          <w:ilvl w:val="0"/>
          <w:numId w:val="2"/>
        </w:numPr>
        <w:spacing w:before="40" w:after="40" w:line="276" w:lineRule="auto"/>
      </w:pPr>
      <w:r>
        <w:rPr>
          <w:color w:val="1E293B"/>
        </w:rPr>
        <w:t>Metrópoli MID – Indicadores de calidad y desempeño en el transporte público. Disponible en: metropolimid.com.mx.</w:t>
      </w:r>
    </w:p>
    <w:p w14:paraId="7087050D" w14:textId="77777777" w:rsidR="00D44E73" w:rsidRDefault="00C65EF1">
      <w:pPr>
        <w:pStyle w:val="Prrafodelista"/>
        <w:numPr>
          <w:ilvl w:val="0"/>
          <w:numId w:val="2"/>
        </w:numPr>
        <w:spacing w:before="40" w:after="40" w:line="276" w:lineRule="auto"/>
      </w:pPr>
      <w:r>
        <w:rPr>
          <w:color w:val="1E293B"/>
        </w:rPr>
        <w:t>Padam Mobility – Indicadores clave para gestionar servicios de transporte. Disponible en: padam-mobility.com.</w:t>
      </w:r>
    </w:p>
    <w:p w14:paraId="38465230" w14:textId="70C00BEB" w:rsidR="00D44E73" w:rsidRDefault="00C65EF1" w:rsidP="003B3E04">
      <w:pPr>
        <w:pStyle w:val="Prrafodelista"/>
        <w:numPr>
          <w:ilvl w:val="0"/>
          <w:numId w:val="2"/>
        </w:numPr>
        <w:pBdr>
          <w:top w:val="single" w:sz="6" w:space="1" w:color="2563EB"/>
        </w:pBdr>
        <w:spacing w:before="360" w:after="120" w:line="276" w:lineRule="auto"/>
      </w:pPr>
      <w:r w:rsidRPr="003B3E04">
        <w:rPr>
          <w:color w:val="1E293B"/>
        </w:rPr>
        <w:t>CEPAL – Estadísticas urbanas e indicadores de movilidad sostenible. Disponible en: cepal.org.</w:t>
      </w:r>
    </w:p>
    <w:sectPr w:rsidR="00D44E73">
      <w:headerReference w:type="default" r:id="rId7"/>
      <w:footerReference w:type="default" r:id="rId8"/>
      <w:pgSz w:w="12240" w:h="15840"/>
      <w:pgMar w:top="1701" w:right="1134" w:bottom="1701" w:left="226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6441C8" w14:textId="77777777" w:rsidR="00E25F4F" w:rsidRDefault="00E25F4F">
      <w:r>
        <w:separator/>
      </w:r>
    </w:p>
  </w:endnote>
  <w:endnote w:type="continuationSeparator" w:id="0">
    <w:p w14:paraId="2F2CF3BD" w14:textId="77777777" w:rsidR="00E25F4F" w:rsidRDefault="00E25F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20DAB" w14:textId="77777777" w:rsidR="00D44E73" w:rsidRDefault="00C65EF1">
    <w:pPr>
      <w:pBdr>
        <w:top w:val="single" w:sz="6" w:space="1" w:color="0891B2"/>
      </w:pBdr>
      <w:tabs>
        <w:tab w:val="right" w:pos="8838"/>
      </w:tabs>
      <w:spacing w:before="80"/>
    </w:pPr>
    <w:r>
      <w:rPr>
        <w:color w:val="64748B"/>
        <w:sz w:val="16"/>
        <w:szCs w:val="16"/>
      </w:rPr>
      <w:t>Ruta de Data y Analítica · Sapiencia / Alcaldía de Medellín · Nodo EAFIT</w:t>
    </w:r>
    <w:r>
      <w:rPr>
        <w:color w:val="64748B"/>
        <w:sz w:val="16"/>
        <w:szCs w:val="16"/>
      </w:rPr>
      <w:tab/>
      <w:t>Angy · María · Juan · Luz</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FB6BA0" w14:textId="77777777" w:rsidR="00E25F4F" w:rsidRDefault="00E25F4F">
      <w:r>
        <w:separator/>
      </w:r>
    </w:p>
  </w:footnote>
  <w:footnote w:type="continuationSeparator" w:id="0">
    <w:p w14:paraId="337BB43A" w14:textId="77777777" w:rsidR="00E25F4F" w:rsidRDefault="00E25F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4FA68" w14:textId="77777777" w:rsidR="00D44E73" w:rsidRDefault="00C65EF1">
    <w:pPr>
      <w:pBdr>
        <w:bottom w:val="single" w:sz="6" w:space="1" w:color="2563EB"/>
      </w:pBdr>
      <w:tabs>
        <w:tab w:val="right" w:pos="8838"/>
      </w:tabs>
      <w:spacing w:after="80"/>
    </w:pPr>
    <w:r>
      <w:rPr>
        <w:color w:val="64748B"/>
        <w:sz w:val="17"/>
        <w:szCs w:val="17"/>
      </w:rPr>
      <w:t>SINITT G2 · Anexo KPIs · EAFIT</w:t>
    </w:r>
    <w:r>
      <w:rPr>
        <w:color w:val="64748B"/>
        <w:sz w:val="17"/>
        <w:szCs w:val="17"/>
      </w:rPr>
      <w:tab/>
      <w:t>Abril – Mayo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9B6FFC"/>
    <w:multiLevelType w:val="hybridMultilevel"/>
    <w:tmpl w:val="E730E04C"/>
    <w:lvl w:ilvl="0" w:tplc="4EB62028">
      <w:start w:val="1"/>
      <w:numFmt w:val="bullet"/>
      <w:lvlText w:val="•"/>
      <w:lvlJc w:val="left"/>
      <w:pPr>
        <w:ind w:left="720" w:hanging="360"/>
      </w:pPr>
    </w:lvl>
    <w:lvl w:ilvl="1" w:tplc="23B670F2">
      <w:numFmt w:val="decimal"/>
      <w:lvlText w:val=""/>
      <w:lvlJc w:val="left"/>
    </w:lvl>
    <w:lvl w:ilvl="2" w:tplc="69464028">
      <w:numFmt w:val="decimal"/>
      <w:lvlText w:val=""/>
      <w:lvlJc w:val="left"/>
    </w:lvl>
    <w:lvl w:ilvl="3" w:tplc="AFE6C15C">
      <w:numFmt w:val="decimal"/>
      <w:lvlText w:val=""/>
      <w:lvlJc w:val="left"/>
    </w:lvl>
    <w:lvl w:ilvl="4" w:tplc="64CC5128">
      <w:numFmt w:val="decimal"/>
      <w:lvlText w:val=""/>
      <w:lvlJc w:val="left"/>
    </w:lvl>
    <w:lvl w:ilvl="5" w:tplc="D0BE8A84">
      <w:numFmt w:val="decimal"/>
      <w:lvlText w:val=""/>
      <w:lvlJc w:val="left"/>
    </w:lvl>
    <w:lvl w:ilvl="6" w:tplc="8306EF3E">
      <w:numFmt w:val="decimal"/>
      <w:lvlText w:val=""/>
      <w:lvlJc w:val="left"/>
    </w:lvl>
    <w:lvl w:ilvl="7" w:tplc="B2005150">
      <w:numFmt w:val="decimal"/>
      <w:lvlText w:val=""/>
      <w:lvlJc w:val="left"/>
    </w:lvl>
    <w:lvl w:ilvl="8" w:tplc="D36C8422">
      <w:numFmt w:val="decimal"/>
      <w:lvlText w:val=""/>
      <w:lvlJc w:val="left"/>
    </w:lvl>
  </w:abstractNum>
  <w:abstractNum w:abstractNumId="1" w15:restartNumberingAfterBreak="0">
    <w:nsid w:val="76EF12BF"/>
    <w:multiLevelType w:val="hybridMultilevel"/>
    <w:tmpl w:val="265E4BF0"/>
    <w:lvl w:ilvl="0" w:tplc="BFCEED38">
      <w:start w:val="1"/>
      <w:numFmt w:val="bullet"/>
      <w:lvlText w:val="●"/>
      <w:lvlJc w:val="left"/>
      <w:pPr>
        <w:ind w:left="720" w:hanging="360"/>
      </w:pPr>
    </w:lvl>
    <w:lvl w:ilvl="1" w:tplc="19D439C6">
      <w:start w:val="1"/>
      <w:numFmt w:val="bullet"/>
      <w:lvlText w:val="○"/>
      <w:lvlJc w:val="left"/>
      <w:pPr>
        <w:ind w:left="1440" w:hanging="360"/>
      </w:pPr>
    </w:lvl>
    <w:lvl w:ilvl="2" w:tplc="BDF4CE1C">
      <w:start w:val="1"/>
      <w:numFmt w:val="bullet"/>
      <w:lvlText w:val="■"/>
      <w:lvlJc w:val="left"/>
      <w:pPr>
        <w:ind w:left="2160" w:hanging="360"/>
      </w:pPr>
    </w:lvl>
    <w:lvl w:ilvl="3" w:tplc="C12A1AB6">
      <w:start w:val="1"/>
      <w:numFmt w:val="bullet"/>
      <w:lvlText w:val="●"/>
      <w:lvlJc w:val="left"/>
      <w:pPr>
        <w:ind w:left="2880" w:hanging="360"/>
      </w:pPr>
    </w:lvl>
    <w:lvl w:ilvl="4" w:tplc="0A3854A6">
      <w:start w:val="1"/>
      <w:numFmt w:val="bullet"/>
      <w:lvlText w:val="○"/>
      <w:lvlJc w:val="left"/>
      <w:pPr>
        <w:ind w:left="3600" w:hanging="360"/>
      </w:pPr>
    </w:lvl>
    <w:lvl w:ilvl="5" w:tplc="D21CFD28">
      <w:start w:val="1"/>
      <w:numFmt w:val="bullet"/>
      <w:lvlText w:val="■"/>
      <w:lvlJc w:val="left"/>
      <w:pPr>
        <w:ind w:left="4320" w:hanging="360"/>
      </w:pPr>
    </w:lvl>
    <w:lvl w:ilvl="6" w:tplc="B3BCBB90">
      <w:start w:val="1"/>
      <w:numFmt w:val="bullet"/>
      <w:lvlText w:val="●"/>
      <w:lvlJc w:val="left"/>
      <w:pPr>
        <w:ind w:left="5040" w:hanging="360"/>
      </w:pPr>
    </w:lvl>
    <w:lvl w:ilvl="7" w:tplc="205E3948">
      <w:start w:val="1"/>
      <w:numFmt w:val="bullet"/>
      <w:lvlText w:val="●"/>
      <w:lvlJc w:val="left"/>
      <w:pPr>
        <w:ind w:left="5760" w:hanging="360"/>
      </w:pPr>
    </w:lvl>
    <w:lvl w:ilvl="8" w:tplc="CF3CD740">
      <w:start w:val="1"/>
      <w:numFmt w:val="bullet"/>
      <w:lvlText w:val="●"/>
      <w:lvlJc w:val="left"/>
      <w:pPr>
        <w:ind w:left="6480" w:hanging="360"/>
      </w:pPr>
    </w:lvl>
  </w:abstractNum>
  <w:num w:numId="1" w16cid:durableId="2080595911">
    <w:abstractNumId w:val="1"/>
    <w:lvlOverride w:ilvl="0">
      <w:startOverride w:val="1"/>
    </w:lvlOverride>
  </w:num>
  <w:num w:numId="2" w16cid:durableId="23227448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4E73"/>
    <w:rsid w:val="0003712A"/>
    <w:rsid w:val="00052ED5"/>
    <w:rsid w:val="003B3E04"/>
    <w:rsid w:val="00430C16"/>
    <w:rsid w:val="007C1737"/>
    <w:rsid w:val="00951875"/>
    <w:rsid w:val="00C21A02"/>
    <w:rsid w:val="00C65EF1"/>
    <w:rsid w:val="00D44E73"/>
    <w:rsid w:val="00E25F4F"/>
    <w:rsid w:val="00ED00DA"/>
    <w:rsid w:val="00EE4D99"/>
    <w:rsid w:val="00F9167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011B1B"/>
  <w15:docId w15:val="{90A87653-E37E-4AB8-9FFC-7C48B88392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120"/>
      <w:outlineLvl w:val="0"/>
    </w:pPr>
    <w:rPr>
      <w:b/>
      <w:bCs/>
      <w:color w:val="2563EB"/>
      <w:sz w:val="30"/>
      <w:szCs w:val="30"/>
    </w:rPr>
  </w:style>
  <w:style w:type="paragraph" w:styleId="Ttulo2">
    <w:name w:val="heading 2"/>
    <w:uiPriority w:val="9"/>
    <w:unhideWhenUsed/>
    <w:qFormat/>
    <w:pPr>
      <w:spacing w:before="260" w:after="80"/>
      <w:outlineLvl w:val="1"/>
    </w:pPr>
    <w:rPr>
      <w:b/>
      <w:bCs/>
      <w:color w:val="0891B2"/>
      <w:sz w:val="26"/>
      <w:szCs w:val="26"/>
    </w:rPr>
  </w:style>
  <w:style w:type="paragraph" w:styleId="Ttulo3">
    <w:name w:val="heading 3"/>
    <w:uiPriority w:val="9"/>
    <w:semiHidden/>
    <w:unhideWhenUsed/>
    <w:qFormat/>
    <w:pPr>
      <w:spacing w:before="180" w:after="60"/>
      <w:outlineLvl w:val="2"/>
    </w:pPr>
    <w:rPr>
      <w:b/>
      <w:bCs/>
      <w:color w:val="1E293B"/>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12</Pages>
  <Words>2887</Words>
  <Characters>15880</Characters>
  <Application>Microsoft Office Word</Application>
  <DocSecurity>0</DocSecurity>
  <Lines>132</Lines>
  <Paragraphs>37</Paragraphs>
  <ScaleCrop>false</ScaleCrop>
  <Company/>
  <LinksUpToDate>false</LinksUpToDate>
  <CharactersWithSpaces>18730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Juan Zuñiga Giraldo</cp:lastModifiedBy>
  <cp:revision>10</cp:revision>
  <dcterms:created xsi:type="dcterms:W3CDTF">2026-04-10T22:57:00Z</dcterms:created>
  <dcterms:modified xsi:type="dcterms:W3CDTF">2026-04-17T22:32:00Z</dcterms:modified>
</cp:coreProperties>
</file>