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353" w:rsidRPr="00684353" w:rsidRDefault="00684353" w:rsidP="00684353">
      <w:pPr>
        <w:shd w:val="clear" w:color="auto" w:fill="FFFFFF"/>
        <w:spacing w:before="240" w:after="120" w:line="240" w:lineRule="auto"/>
        <w:rPr>
          <w:rFonts w:asciiTheme="majorHAnsi" w:eastAsia="Times New Roman" w:hAnsiTheme="majorHAnsi" w:cstheme="majorHAnsi"/>
          <w:b/>
          <w:color w:val="2D2D2D"/>
          <w:sz w:val="32"/>
          <w:szCs w:val="32"/>
          <w:lang w:eastAsia="vi-VN"/>
        </w:rPr>
      </w:pPr>
      <w:r w:rsidRPr="00684353">
        <w:rPr>
          <w:rFonts w:asciiTheme="majorHAnsi" w:eastAsia="Times New Roman" w:hAnsiTheme="majorHAnsi" w:cstheme="majorHAnsi"/>
          <w:b/>
          <w:color w:val="2D2D2D"/>
          <w:sz w:val="32"/>
          <w:szCs w:val="32"/>
          <w:lang w:eastAsia="vi-VN"/>
        </w:rPr>
        <w:t>Đây là những giấy tờ tài liệu mà gần như bắt buộc phải có với tất cả các lô hàng.</w:t>
      </w:r>
    </w:p>
    <w:p w:rsidR="00684353" w:rsidRPr="00684353" w:rsidRDefault="00684353" w:rsidP="00684353">
      <w:pPr>
        <w:numPr>
          <w:ilvl w:val="0"/>
          <w:numId w:val="1"/>
        </w:numPr>
        <w:shd w:val="clear" w:color="auto" w:fill="FFFFFF"/>
        <w:spacing w:before="100" w:beforeAutospacing="1" w:after="100" w:afterAutospacing="1" w:line="405" w:lineRule="atLeast"/>
        <w:rPr>
          <w:rFonts w:asciiTheme="majorHAnsi" w:eastAsia="Times New Roman" w:hAnsiTheme="majorHAnsi" w:cstheme="majorHAnsi"/>
          <w:color w:val="2D2D2D"/>
          <w:sz w:val="28"/>
          <w:szCs w:val="28"/>
          <w:lang w:eastAsia="vi-VN"/>
        </w:rPr>
      </w:pPr>
      <w:r w:rsidRPr="00684353">
        <w:rPr>
          <w:rFonts w:asciiTheme="majorHAnsi" w:eastAsia="Times New Roman" w:hAnsiTheme="majorHAnsi" w:cstheme="majorHAnsi"/>
          <w:b/>
          <w:bCs/>
          <w:color w:val="2D2D2D"/>
          <w:sz w:val="28"/>
          <w:szCs w:val="28"/>
          <w:lang w:eastAsia="vi-VN"/>
        </w:rPr>
        <w:t>Hợp đồng thương mại </w:t>
      </w:r>
      <w:r w:rsidRPr="00684353">
        <w:rPr>
          <w:rFonts w:asciiTheme="majorHAnsi" w:eastAsia="Times New Roman" w:hAnsiTheme="majorHAnsi" w:cstheme="majorHAnsi"/>
          <w:color w:val="2D2D2D"/>
          <w:sz w:val="28"/>
          <w:szCs w:val="28"/>
          <w:lang w:eastAsia="vi-VN"/>
        </w:rPr>
        <w:t>(</w:t>
      </w:r>
      <w:r w:rsidRPr="00684353">
        <w:rPr>
          <w:rFonts w:asciiTheme="majorHAnsi" w:eastAsia="Times New Roman" w:hAnsiTheme="majorHAnsi" w:cstheme="majorHAnsi"/>
          <w:i/>
          <w:iCs/>
          <w:color w:val="2D2D2D"/>
          <w:sz w:val="28"/>
          <w:szCs w:val="28"/>
          <w:lang w:eastAsia="vi-VN"/>
        </w:rPr>
        <w:t>Sales Contract</w:t>
      </w:r>
      <w:r w:rsidRPr="00684353">
        <w:rPr>
          <w:rFonts w:asciiTheme="majorHAnsi" w:eastAsia="Times New Roman" w:hAnsiTheme="majorHAnsi" w:cstheme="majorHAnsi"/>
          <w:color w:val="2D2D2D"/>
          <w:sz w:val="28"/>
          <w:szCs w:val="28"/>
          <w:lang w:eastAsia="vi-VN"/>
        </w:rPr>
        <w:t xml:space="preserve">) là văn bản thỏa thuận giữa người mua và người bán về các nội dung liên quan: thông tin người mua </w:t>
      </w:r>
      <w:bookmarkStart w:id="0" w:name="_GoBack"/>
      <w:bookmarkEnd w:id="0"/>
      <w:r w:rsidRPr="00684353">
        <w:rPr>
          <w:rFonts w:asciiTheme="majorHAnsi" w:eastAsia="Times New Roman" w:hAnsiTheme="majorHAnsi" w:cstheme="majorHAnsi"/>
          <w:color w:val="2D2D2D"/>
          <w:sz w:val="28"/>
          <w:szCs w:val="28"/>
          <w:lang w:eastAsia="vi-VN"/>
        </w:rPr>
        <w:t>&amp; người bán, thông tin hàng hóa, điều kiện cơ sở giao hàng, thanh toán v.v… </w:t>
      </w:r>
    </w:p>
    <w:p w:rsidR="00684353" w:rsidRPr="00684353" w:rsidRDefault="00684353" w:rsidP="00684353">
      <w:pPr>
        <w:numPr>
          <w:ilvl w:val="0"/>
          <w:numId w:val="2"/>
        </w:numPr>
        <w:shd w:val="clear" w:color="auto" w:fill="FFFFFF"/>
        <w:spacing w:before="100" w:beforeAutospacing="1" w:after="100" w:afterAutospacing="1" w:line="405" w:lineRule="atLeast"/>
        <w:rPr>
          <w:rFonts w:asciiTheme="majorHAnsi" w:eastAsia="Times New Roman" w:hAnsiTheme="majorHAnsi" w:cstheme="majorHAnsi"/>
          <w:color w:val="2D2D2D"/>
          <w:sz w:val="28"/>
          <w:szCs w:val="28"/>
          <w:lang w:eastAsia="vi-VN"/>
        </w:rPr>
      </w:pPr>
      <w:r w:rsidRPr="00684353">
        <w:rPr>
          <w:rFonts w:asciiTheme="majorHAnsi" w:eastAsia="Times New Roman" w:hAnsiTheme="majorHAnsi" w:cstheme="majorHAnsi"/>
          <w:b/>
          <w:bCs/>
          <w:color w:val="2D2D2D"/>
          <w:sz w:val="28"/>
          <w:szCs w:val="28"/>
          <w:lang w:eastAsia="vi-VN"/>
        </w:rPr>
        <w:t>Hóa đơn thương mại</w:t>
      </w:r>
      <w:r w:rsidRPr="00684353">
        <w:rPr>
          <w:rFonts w:asciiTheme="majorHAnsi" w:eastAsia="Times New Roman" w:hAnsiTheme="majorHAnsi" w:cstheme="majorHAnsi"/>
          <w:color w:val="2D2D2D"/>
          <w:sz w:val="28"/>
          <w:szCs w:val="28"/>
          <w:lang w:eastAsia="vi-VN"/>
        </w:rPr>
        <w:t> (</w:t>
      </w:r>
      <w:hyperlink r:id="rId5" w:history="1">
        <w:r w:rsidRPr="00036A51">
          <w:rPr>
            <w:rFonts w:asciiTheme="majorHAnsi" w:eastAsia="Times New Roman" w:hAnsiTheme="majorHAnsi" w:cstheme="majorHAnsi"/>
            <w:i/>
            <w:iCs/>
            <w:color w:val="990000"/>
            <w:sz w:val="28"/>
            <w:szCs w:val="28"/>
            <w:u w:val="single"/>
            <w:lang w:eastAsia="vi-VN"/>
          </w:rPr>
          <w:t>Commercial Invoice</w:t>
        </w:r>
      </w:hyperlink>
      <w:r w:rsidRPr="00684353">
        <w:rPr>
          <w:rFonts w:asciiTheme="majorHAnsi" w:eastAsia="Times New Roman" w:hAnsiTheme="majorHAnsi" w:cstheme="majorHAnsi"/>
          <w:color w:val="2D2D2D"/>
          <w:sz w:val="28"/>
          <w:szCs w:val="28"/>
          <w:lang w:eastAsia="vi-VN"/>
        </w:rPr>
        <w:t>): chứng từ do người xuất khẩu phát hành để đòi tiền người mua cho lô hàng đã bán theo thỏa thuận trong hợp đồng. Chức năng chính của hóa đơn là chứng từ thanh toán, nên cần thể hiện rõ những nội dung như: đơn giá, tổng số tiền, phương thức thanh toán, thông tin ngân hàng người hưởng lợi…</w:t>
      </w:r>
    </w:p>
    <w:p w:rsidR="00684353" w:rsidRPr="00684353" w:rsidRDefault="00684353" w:rsidP="00684353">
      <w:pPr>
        <w:numPr>
          <w:ilvl w:val="0"/>
          <w:numId w:val="3"/>
        </w:numPr>
        <w:shd w:val="clear" w:color="auto" w:fill="FFFFFF"/>
        <w:spacing w:before="100" w:beforeAutospacing="1" w:after="100" w:afterAutospacing="1" w:line="405" w:lineRule="atLeast"/>
        <w:rPr>
          <w:rFonts w:asciiTheme="majorHAnsi" w:eastAsia="Times New Roman" w:hAnsiTheme="majorHAnsi" w:cstheme="majorHAnsi"/>
          <w:color w:val="2D2D2D"/>
          <w:sz w:val="28"/>
          <w:szCs w:val="28"/>
          <w:lang w:eastAsia="vi-VN"/>
        </w:rPr>
      </w:pPr>
      <w:r w:rsidRPr="00684353">
        <w:rPr>
          <w:rFonts w:asciiTheme="majorHAnsi" w:eastAsia="Times New Roman" w:hAnsiTheme="majorHAnsi" w:cstheme="majorHAnsi"/>
          <w:b/>
          <w:bCs/>
          <w:color w:val="2D2D2D"/>
          <w:sz w:val="28"/>
          <w:szCs w:val="28"/>
          <w:lang w:eastAsia="vi-VN"/>
        </w:rPr>
        <w:t>Phiếu đóng gói hàng hóa</w:t>
      </w:r>
      <w:r w:rsidRPr="00684353">
        <w:rPr>
          <w:rFonts w:asciiTheme="majorHAnsi" w:eastAsia="Times New Roman" w:hAnsiTheme="majorHAnsi" w:cstheme="majorHAnsi"/>
          <w:color w:val="2D2D2D"/>
          <w:sz w:val="28"/>
          <w:szCs w:val="28"/>
          <w:lang w:eastAsia="vi-VN"/>
        </w:rPr>
        <w:t> (</w:t>
      </w:r>
      <w:r w:rsidRPr="00684353">
        <w:rPr>
          <w:rFonts w:asciiTheme="majorHAnsi" w:eastAsia="Times New Roman" w:hAnsiTheme="majorHAnsi" w:cstheme="majorHAnsi"/>
          <w:i/>
          <w:iCs/>
          <w:color w:val="2D2D2D"/>
          <w:sz w:val="28"/>
          <w:szCs w:val="28"/>
          <w:lang w:eastAsia="vi-VN"/>
        </w:rPr>
        <w:t>Packing List</w:t>
      </w:r>
      <w:r w:rsidRPr="00684353">
        <w:rPr>
          <w:rFonts w:asciiTheme="majorHAnsi" w:eastAsia="Times New Roman" w:hAnsiTheme="majorHAnsi" w:cstheme="majorHAnsi"/>
          <w:color w:val="2D2D2D"/>
          <w:sz w:val="28"/>
          <w:szCs w:val="28"/>
          <w:lang w:eastAsia="vi-VN"/>
        </w:rPr>
        <w:t>): là loại chứng từ thể hiện cách thức đóng gói của lô hàng. Qua đó, người đọc có thể biết lô hàng có bao nhiêu kiện, trọng lượng và dung tích thế nào…</w:t>
      </w:r>
      <w:r w:rsidRPr="00036A51">
        <w:rPr>
          <w:rFonts w:asciiTheme="majorHAnsi" w:eastAsia="Times New Roman" w:hAnsiTheme="majorHAnsi" w:cstheme="majorHAnsi"/>
          <w:color w:val="2D2D2D"/>
          <w:sz w:val="28"/>
          <w:szCs w:val="28"/>
          <w:lang w:eastAsia="vi-VN"/>
        </w:rPr>
        <w:t xml:space="preserve"> </w:t>
      </w:r>
    </w:p>
    <w:p w:rsidR="00684353" w:rsidRPr="00684353" w:rsidRDefault="00684353" w:rsidP="00684353">
      <w:pPr>
        <w:numPr>
          <w:ilvl w:val="0"/>
          <w:numId w:val="4"/>
        </w:numPr>
        <w:shd w:val="clear" w:color="auto" w:fill="FFFFFF"/>
        <w:spacing w:before="100" w:beforeAutospacing="1" w:after="100" w:afterAutospacing="1" w:line="405" w:lineRule="atLeast"/>
        <w:rPr>
          <w:rFonts w:asciiTheme="majorHAnsi" w:eastAsia="Times New Roman" w:hAnsiTheme="majorHAnsi" w:cstheme="majorHAnsi"/>
          <w:color w:val="2D2D2D"/>
          <w:sz w:val="28"/>
          <w:szCs w:val="28"/>
          <w:lang w:eastAsia="vi-VN"/>
        </w:rPr>
      </w:pPr>
      <w:r w:rsidRPr="00684353">
        <w:rPr>
          <w:rFonts w:asciiTheme="majorHAnsi" w:eastAsia="Times New Roman" w:hAnsiTheme="majorHAnsi" w:cstheme="majorHAnsi"/>
          <w:b/>
          <w:bCs/>
          <w:color w:val="2D2D2D"/>
          <w:sz w:val="28"/>
          <w:szCs w:val="28"/>
          <w:lang w:eastAsia="vi-VN"/>
        </w:rPr>
        <w:t>Vận đơn</w:t>
      </w:r>
      <w:r w:rsidRPr="00684353">
        <w:rPr>
          <w:rFonts w:asciiTheme="majorHAnsi" w:eastAsia="Times New Roman" w:hAnsiTheme="majorHAnsi" w:cstheme="majorHAnsi"/>
          <w:color w:val="2D2D2D"/>
          <w:sz w:val="28"/>
          <w:szCs w:val="28"/>
          <w:lang w:eastAsia="vi-VN"/>
        </w:rPr>
        <w:t> (</w:t>
      </w:r>
      <w:r w:rsidRPr="00036A51">
        <w:rPr>
          <w:rFonts w:asciiTheme="majorHAnsi" w:eastAsia="Times New Roman" w:hAnsiTheme="majorHAnsi" w:cstheme="majorHAnsi"/>
          <w:i/>
          <w:iCs/>
          <w:color w:val="2D2D2D"/>
          <w:sz w:val="28"/>
          <w:szCs w:val="28"/>
          <w:lang w:eastAsia="vi-VN"/>
        </w:rPr>
        <w:t>Bill of Lading</w:t>
      </w:r>
      <w:r w:rsidRPr="00684353">
        <w:rPr>
          <w:rFonts w:asciiTheme="majorHAnsi" w:eastAsia="Times New Roman" w:hAnsiTheme="majorHAnsi" w:cstheme="majorHAnsi"/>
          <w:color w:val="2D2D2D"/>
          <w:sz w:val="28"/>
          <w:szCs w:val="28"/>
          <w:lang w:eastAsia="vi-VN"/>
        </w:rPr>
        <w:t>): Là chứng từ xác nhận việc hàng hóa xếp lên phương tiện vận tải (tàu biển hoặc máy bay). Với vận đơn đường biển gốc, nó còn có chức năng sở hữu với hàng hóa ghi trên đó.</w:t>
      </w:r>
    </w:p>
    <w:p w:rsidR="00684353" w:rsidRPr="00684353" w:rsidRDefault="00684353" w:rsidP="00684353">
      <w:pPr>
        <w:numPr>
          <w:ilvl w:val="0"/>
          <w:numId w:val="5"/>
        </w:numPr>
        <w:shd w:val="clear" w:color="auto" w:fill="FFFFFF"/>
        <w:spacing w:before="100" w:beforeAutospacing="1" w:after="100" w:afterAutospacing="1" w:line="405" w:lineRule="atLeast"/>
        <w:rPr>
          <w:rFonts w:asciiTheme="majorHAnsi" w:eastAsia="Times New Roman" w:hAnsiTheme="majorHAnsi" w:cstheme="majorHAnsi"/>
          <w:color w:val="2D2D2D"/>
          <w:sz w:val="28"/>
          <w:szCs w:val="28"/>
          <w:lang w:eastAsia="vi-VN"/>
        </w:rPr>
      </w:pPr>
      <w:r w:rsidRPr="00684353">
        <w:rPr>
          <w:rFonts w:asciiTheme="majorHAnsi" w:eastAsia="Times New Roman" w:hAnsiTheme="majorHAnsi" w:cstheme="majorHAnsi"/>
          <w:b/>
          <w:bCs/>
          <w:color w:val="2D2D2D"/>
          <w:sz w:val="28"/>
          <w:szCs w:val="28"/>
          <w:lang w:eastAsia="vi-VN"/>
        </w:rPr>
        <w:t>Tờ khai hải quan</w:t>
      </w:r>
      <w:r w:rsidRPr="00684353">
        <w:rPr>
          <w:rFonts w:asciiTheme="majorHAnsi" w:eastAsia="Times New Roman" w:hAnsiTheme="majorHAnsi" w:cstheme="majorHAnsi"/>
          <w:color w:val="2D2D2D"/>
          <w:sz w:val="28"/>
          <w:szCs w:val="28"/>
          <w:lang w:eastAsia="vi-VN"/>
        </w:rPr>
        <w:t> (</w:t>
      </w:r>
      <w:r w:rsidRPr="00036A51">
        <w:rPr>
          <w:rFonts w:asciiTheme="majorHAnsi" w:eastAsia="Times New Roman" w:hAnsiTheme="majorHAnsi" w:cstheme="majorHAnsi"/>
          <w:i/>
          <w:iCs/>
          <w:color w:val="2D2D2D"/>
          <w:sz w:val="28"/>
          <w:szCs w:val="28"/>
          <w:lang w:eastAsia="vi-VN"/>
        </w:rPr>
        <w:t>Customs Declaration</w:t>
      </w:r>
      <w:r w:rsidRPr="00684353">
        <w:rPr>
          <w:rFonts w:asciiTheme="majorHAnsi" w:eastAsia="Times New Roman" w:hAnsiTheme="majorHAnsi" w:cstheme="majorHAnsi"/>
          <w:color w:val="2D2D2D"/>
          <w:sz w:val="28"/>
          <w:szCs w:val="28"/>
          <w:lang w:eastAsia="vi-VN"/>
        </w:rPr>
        <w:t>): chứng từ kê khai hàng hóa xuất nhập khẩu với cơ quan hải quan để hàng đủ điều kiện để xuất khẩu hoặc nhập khẩu vào một quốc gia.</w:t>
      </w:r>
    </w:p>
    <w:p w:rsidR="00AD377E" w:rsidRPr="00036A51" w:rsidRDefault="00036A51">
      <w:pPr>
        <w:rPr>
          <w:sz w:val="28"/>
          <w:szCs w:val="28"/>
        </w:rPr>
      </w:pPr>
    </w:p>
    <w:sectPr w:rsidR="00AD377E" w:rsidRPr="00036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C143E"/>
    <w:multiLevelType w:val="multilevel"/>
    <w:tmpl w:val="777E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E96F47"/>
    <w:multiLevelType w:val="multilevel"/>
    <w:tmpl w:val="99D6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8E058F"/>
    <w:multiLevelType w:val="multilevel"/>
    <w:tmpl w:val="F67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DB1E10"/>
    <w:multiLevelType w:val="multilevel"/>
    <w:tmpl w:val="E28A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7D0911"/>
    <w:multiLevelType w:val="multilevel"/>
    <w:tmpl w:val="12AA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53"/>
    <w:rsid w:val="00036A51"/>
    <w:rsid w:val="00656DC7"/>
    <w:rsid w:val="00684353"/>
    <w:rsid w:val="00FB443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50955"/>
  <w15:chartTrackingRefBased/>
  <w15:docId w15:val="{7CC14621-9ED5-4637-A3F4-3907D6C8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35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684353"/>
    <w:rPr>
      <w:color w:val="0000FF"/>
      <w:u w:val="single"/>
    </w:rPr>
  </w:style>
  <w:style w:type="character" w:styleId="Emphasis">
    <w:name w:val="Emphasis"/>
    <w:basedOn w:val="DefaultParagraphFont"/>
    <w:uiPriority w:val="20"/>
    <w:qFormat/>
    <w:rsid w:val="006843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83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ntainer-transportation.com/commercial-invoice-la-g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Anh</dc:creator>
  <cp:keywords/>
  <dc:description/>
  <cp:lastModifiedBy>Viet Anh</cp:lastModifiedBy>
  <cp:revision>1</cp:revision>
  <dcterms:created xsi:type="dcterms:W3CDTF">2020-09-21T07:01:00Z</dcterms:created>
  <dcterms:modified xsi:type="dcterms:W3CDTF">2020-09-21T07:28:00Z</dcterms:modified>
</cp:coreProperties>
</file>