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EB41" w14:textId="77777777" w:rsidR="00F063B1" w:rsidRPr="00F063B1" w:rsidRDefault="00F063B1" w:rsidP="00F063B1"/>
    <w:p w14:paraId="17880A9C" w14:textId="77777777" w:rsidR="00F063B1" w:rsidRPr="00F063B1" w:rsidRDefault="00F063B1" w:rsidP="00F063B1">
      <w:pPr>
        <w:rPr>
          <w:b/>
          <w:bCs/>
        </w:rPr>
      </w:pPr>
      <w:r w:rsidRPr="00F063B1">
        <w:rPr>
          <w:b/>
          <w:bCs/>
        </w:rPr>
        <w:t>Phần 1: Đề xuất các giải pháp chuyển đổi Agile</w:t>
      </w:r>
    </w:p>
    <w:p w14:paraId="590BCF06" w14:textId="77777777" w:rsidR="00F063B1" w:rsidRPr="00F063B1" w:rsidRDefault="00F063B1" w:rsidP="00F063B1">
      <w:r w:rsidRPr="00F063B1">
        <w:t>Để tối ưu hóa quy trình phát triển sản phẩm, nâng cao tốc độ phản ứng với thị trường và nâng cao năng suất tổ chức tại RikkeiGo, Agile Coach đề xuất 2 giải pháp chiến lược sau:</w:t>
      </w:r>
    </w:p>
    <w:p w14:paraId="3511F68B" w14:textId="77777777" w:rsidR="00F063B1" w:rsidRPr="00F063B1" w:rsidRDefault="00F063B1" w:rsidP="00F063B1">
      <w:pPr>
        <w:rPr>
          <w:b/>
          <w:bCs/>
        </w:rPr>
      </w:pPr>
      <w:r w:rsidRPr="00F063B1">
        <w:rPr>
          <w:b/>
          <w:bCs/>
        </w:rPr>
        <w:t>Giải pháp 1: Chuyển đổi Cuốn chiếu theo Dự án Thử nghiệm (Pilot-to-Scale Agile Transition)</w:t>
      </w:r>
    </w:p>
    <w:p w14:paraId="0D2BF26A" w14:textId="77777777" w:rsidR="00F063B1" w:rsidRPr="00F063B1" w:rsidRDefault="00F063B1" w:rsidP="00F063B1">
      <w:pPr>
        <w:numPr>
          <w:ilvl w:val="0"/>
          <w:numId w:val="1"/>
        </w:numPr>
      </w:pPr>
      <w:r w:rsidRPr="00F063B1">
        <w:rPr>
          <w:b/>
          <w:bCs/>
        </w:rPr>
        <w:t>Cách tiếp cận:</w:t>
      </w:r>
      <w:r w:rsidRPr="00F063B1">
        <w:t xml:space="preserve"> Lựa chọn 2-3 dự án trọng điểm đại diện cho các khối sản phẩm cốt lõi để thành lập các đội nhóm Agile thử nghiệm (Pilot Teams).</w:t>
      </w:r>
    </w:p>
    <w:p w14:paraId="69FF7DA9" w14:textId="77777777" w:rsidR="00F063B1" w:rsidRPr="00F063B1" w:rsidRDefault="00F063B1" w:rsidP="00F063B1">
      <w:pPr>
        <w:numPr>
          <w:ilvl w:val="0"/>
          <w:numId w:val="1"/>
        </w:numPr>
      </w:pPr>
      <w:r w:rsidRPr="00F063B1">
        <w:rPr>
          <w:b/>
          <w:bCs/>
        </w:rPr>
        <w:t>Phương thức triển khai:</w:t>
      </w:r>
      <w:r w:rsidRPr="00F063B1">
        <w:t xml:space="preserve"> Đào tạo chuyên sâu Agile Mindset và thực hành Framework (Scrum/Kanban) cho các dự án này trong 3-6 tháng. Sau khi tinh chỉnh mô hình phù hợp với đặc thù RikkeiGo, tổ chức sẽ đúc kết thành Bộ quy chuẩn (Agile Playbook) và từng bước nhân rộng (Scale-out) sang các phòng ban còn lại.</w:t>
      </w:r>
    </w:p>
    <w:p w14:paraId="09849C3B" w14:textId="77777777" w:rsidR="00F063B1" w:rsidRPr="00F063B1" w:rsidRDefault="00F063B1" w:rsidP="00F063B1">
      <w:pPr>
        <w:numPr>
          <w:ilvl w:val="0"/>
          <w:numId w:val="1"/>
        </w:numPr>
      </w:pPr>
      <w:r w:rsidRPr="00F063B1">
        <w:rPr>
          <w:b/>
          <w:bCs/>
        </w:rPr>
        <w:t>Mục tiêu:</w:t>
      </w:r>
      <w:r w:rsidRPr="00F063B1">
        <w:t xml:space="preserve"> Kiểm chứng tính hiệu quả, tối thiểu hóa sự xáo trộn vận hành và hình thành đội ngũ nhân sự nòng cốt (Agile Champions) làm hạt nhân lan tỏa.</w:t>
      </w:r>
    </w:p>
    <w:p w14:paraId="3F6A431F" w14:textId="77777777" w:rsidR="00F063B1" w:rsidRPr="00F063B1" w:rsidRDefault="00F063B1" w:rsidP="00F063B1">
      <w:pPr>
        <w:rPr>
          <w:b/>
          <w:bCs/>
        </w:rPr>
      </w:pPr>
      <w:r w:rsidRPr="00F063B1">
        <w:rPr>
          <w:b/>
          <w:bCs/>
        </w:rPr>
        <w:t>Giải pháp 2: Chuyển đổi Đồng bộ Toàn hệ thống (Big Bang Enterprise Transformation)</w:t>
      </w:r>
    </w:p>
    <w:p w14:paraId="6A9DE53C" w14:textId="77777777" w:rsidR="00F063B1" w:rsidRPr="00F063B1" w:rsidRDefault="00F063B1" w:rsidP="00F063B1">
      <w:pPr>
        <w:numPr>
          <w:ilvl w:val="0"/>
          <w:numId w:val="2"/>
        </w:numPr>
      </w:pPr>
      <w:r w:rsidRPr="00F063B1">
        <w:rPr>
          <w:b/>
          <w:bCs/>
        </w:rPr>
        <w:t>Cách tiếp cận:</w:t>
      </w:r>
      <w:r w:rsidRPr="00F063B1">
        <w:t xml:space="preserve"> Áp dụng mô hình Agile quy mô lớn (Scaled Agile Framework - SAFe) đồng loạt trên toàn bộ khối Công nghệ và Sản phẩm của RikkeiGo ngay từ thời điểm bắt đầu.</w:t>
      </w:r>
    </w:p>
    <w:p w14:paraId="46701AFE" w14:textId="77777777" w:rsidR="00F063B1" w:rsidRPr="00F063B1" w:rsidRDefault="00F063B1" w:rsidP="00F063B1">
      <w:pPr>
        <w:numPr>
          <w:ilvl w:val="0"/>
          <w:numId w:val="2"/>
        </w:numPr>
      </w:pPr>
      <w:r w:rsidRPr="00F063B1">
        <w:rPr>
          <w:b/>
          <w:bCs/>
        </w:rPr>
        <w:t>Phương thức triển khai:</w:t>
      </w:r>
      <w:r w:rsidRPr="00F063B1">
        <w:t xml:space="preserve"> Tái cấu trúc cơ cấu tổ chức, chuẩn hóa vai trò nhân sự (Product Owner, Scrum Master, Release Train Engineer) và thiết lập nhịp vận hành chung (PI Planning, Cadence) trên toàn công ty theo một lộ trình cố định.</w:t>
      </w:r>
    </w:p>
    <w:p w14:paraId="55C86733" w14:textId="77777777" w:rsidR="00F063B1" w:rsidRPr="00F063B1" w:rsidRDefault="00F063B1" w:rsidP="00F063B1">
      <w:pPr>
        <w:numPr>
          <w:ilvl w:val="0"/>
          <w:numId w:val="2"/>
        </w:numPr>
      </w:pPr>
      <w:r w:rsidRPr="00F063B1">
        <w:rPr>
          <w:b/>
          <w:bCs/>
        </w:rPr>
        <w:t>Mục tiêu:</w:t>
      </w:r>
      <w:r w:rsidRPr="00F063B1">
        <w:t xml:space="preserve"> Đạt trạng thái chuyển đổi Agile trên toàn tổ chức trong thời gian ngắn nhất, tạo ra bước ngoặt cải tổ toàn diện.</w:t>
      </w:r>
    </w:p>
    <w:p w14:paraId="042C0312" w14:textId="77777777" w:rsidR="00F063B1" w:rsidRPr="00F063B1" w:rsidRDefault="00F063B1" w:rsidP="00F063B1">
      <w:pPr>
        <w:rPr>
          <w:b/>
          <w:bCs/>
        </w:rPr>
      </w:pPr>
      <w:r w:rsidRPr="00F063B1">
        <w:rPr>
          <w:b/>
          <w:bCs/>
        </w:rPr>
        <w:t>Phần 2: Bảng so sánh và đánh giá các giải pháp</w:t>
      </w:r>
    </w:p>
    <w:tbl>
      <w:tblPr>
        <w:tblW w:w="0" w:type="auto"/>
        <w:tblCellMar>
          <w:top w:w="15" w:type="dxa"/>
          <w:left w:w="15" w:type="dxa"/>
          <w:bottom w:w="15" w:type="dxa"/>
          <w:right w:w="15" w:type="dxa"/>
        </w:tblCellMar>
        <w:tblLook w:val="04A0" w:firstRow="1" w:lastRow="0" w:firstColumn="1" w:lastColumn="0" w:noHBand="0" w:noVBand="1"/>
      </w:tblPr>
      <w:tblGrid>
        <w:gridCol w:w="1248"/>
        <w:gridCol w:w="2573"/>
        <w:gridCol w:w="2515"/>
        <w:gridCol w:w="3024"/>
      </w:tblGrid>
      <w:tr w:rsidR="00F063B1" w:rsidRPr="00F063B1" w14:paraId="764BADEF" w14:textId="77777777">
        <w:trPr>
          <w:tblHeader/>
        </w:trPr>
        <w:tc>
          <w:tcPr>
            <w:tcW w:w="0" w:type="auto"/>
            <w:tcBorders>
              <w:top w:val="single" w:sz="8" w:space="0" w:color="CBD5E1"/>
              <w:bottom w:val="single" w:sz="8" w:space="0" w:color="E2E8F0"/>
              <w:right w:val="single" w:sz="8" w:space="0" w:color="E2E8F0"/>
            </w:tcBorders>
            <w:shd w:val="clear" w:color="auto" w:fill="F1F5F9"/>
            <w:tcMar>
              <w:top w:w="120" w:type="dxa"/>
              <w:left w:w="160" w:type="dxa"/>
              <w:bottom w:w="120" w:type="dxa"/>
              <w:right w:w="160" w:type="dxa"/>
            </w:tcMar>
            <w:vAlign w:val="center"/>
            <w:hideMark/>
          </w:tcPr>
          <w:p w14:paraId="277E8077" w14:textId="77777777" w:rsidR="00F063B1" w:rsidRPr="00F063B1" w:rsidRDefault="00F063B1" w:rsidP="00F063B1">
            <w:pPr>
              <w:rPr>
                <w:b/>
                <w:bCs/>
              </w:rPr>
            </w:pPr>
            <w:r w:rsidRPr="00F063B1">
              <w:rPr>
                <w:b/>
                <w:bCs/>
              </w:rPr>
              <w:t>Tiêu chí đánh giá</w:t>
            </w:r>
          </w:p>
        </w:tc>
        <w:tc>
          <w:tcPr>
            <w:tcW w:w="0" w:type="auto"/>
            <w:tcBorders>
              <w:top w:val="single" w:sz="8" w:space="0" w:color="CBD5E1"/>
              <w:left w:val="single" w:sz="8" w:space="0" w:color="E2E8F0"/>
              <w:bottom w:val="single" w:sz="8" w:space="0" w:color="E2E8F0"/>
              <w:right w:val="single" w:sz="8" w:space="0" w:color="E2E8F0"/>
            </w:tcBorders>
            <w:shd w:val="clear" w:color="auto" w:fill="F1F5F9"/>
            <w:tcMar>
              <w:top w:w="120" w:type="dxa"/>
              <w:left w:w="160" w:type="dxa"/>
              <w:bottom w:w="120" w:type="dxa"/>
              <w:right w:w="160" w:type="dxa"/>
            </w:tcMar>
            <w:vAlign w:val="center"/>
            <w:hideMark/>
          </w:tcPr>
          <w:p w14:paraId="3B130E2D" w14:textId="77777777" w:rsidR="00F063B1" w:rsidRPr="00F063B1" w:rsidRDefault="00F063B1" w:rsidP="00F063B1">
            <w:pPr>
              <w:rPr>
                <w:b/>
                <w:bCs/>
              </w:rPr>
            </w:pPr>
            <w:r w:rsidRPr="00F063B1">
              <w:rPr>
                <w:b/>
                <w:bCs/>
              </w:rPr>
              <w:t>Giải pháp 1: Chuyển đổi Cuốn chiếu (Pilot-to-Scale)</w:t>
            </w:r>
          </w:p>
        </w:tc>
        <w:tc>
          <w:tcPr>
            <w:tcW w:w="0" w:type="auto"/>
            <w:tcBorders>
              <w:top w:val="single" w:sz="8" w:space="0" w:color="CBD5E1"/>
              <w:left w:val="single" w:sz="8" w:space="0" w:color="E2E8F0"/>
              <w:bottom w:val="single" w:sz="8" w:space="0" w:color="E2E8F0"/>
              <w:right w:val="single" w:sz="8" w:space="0" w:color="E2E8F0"/>
            </w:tcBorders>
            <w:shd w:val="clear" w:color="auto" w:fill="F1F5F9"/>
            <w:tcMar>
              <w:top w:w="120" w:type="dxa"/>
              <w:left w:w="160" w:type="dxa"/>
              <w:bottom w:w="120" w:type="dxa"/>
              <w:right w:w="160" w:type="dxa"/>
            </w:tcMar>
            <w:vAlign w:val="center"/>
            <w:hideMark/>
          </w:tcPr>
          <w:p w14:paraId="6513AFFC" w14:textId="77777777" w:rsidR="00F063B1" w:rsidRPr="00F063B1" w:rsidRDefault="00F063B1" w:rsidP="00F063B1">
            <w:pPr>
              <w:rPr>
                <w:b/>
                <w:bCs/>
              </w:rPr>
            </w:pPr>
            <w:r w:rsidRPr="00F063B1">
              <w:rPr>
                <w:b/>
                <w:bCs/>
              </w:rPr>
              <w:t>Giải pháp 2: Chuyển đổi Đồng bộ (Big Bang)</w:t>
            </w:r>
          </w:p>
        </w:tc>
        <w:tc>
          <w:tcPr>
            <w:tcW w:w="0" w:type="auto"/>
            <w:tcBorders>
              <w:top w:val="single" w:sz="8" w:space="0" w:color="CBD5E1"/>
              <w:left w:val="single" w:sz="8" w:space="0" w:color="E2E8F0"/>
              <w:bottom w:val="single" w:sz="8" w:space="0" w:color="E2E8F0"/>
            </w:tcBorders>
            <w:shd w:val="clear" w:color="auto" w:fill="F1F5F9"/>
            <w:tcMar>
              <w:top w:w="120" w:type="dxa"/>
              <w:left w:w="160" w:type="dxa"/>
              <w:bottom w:w="120" w:type="dxa"/>
              <w:right w:w="160" w:type="dxa"/>
            </w:tcMar>
            <w:vAlign w:val="center"/>
            <w:hideMark/>
          </w:tcPr>
          <w:p w14:paraId="3F533602" w14:textId="77777777" w:rsidR="00F063B1" w:rsidRPr="00F063B1" w:rsidRDefault="00F063B1" w:rsidP="00F063B1">
            <w:pPr>
              <w:rPr>
                <w:b/>
                <w:bCs/>
              </w:rPr>
            </w:pPr>
            <w:r w:rsidRPr="00F063B1">
              <w:rPr>
                <w:b/>
                <w:bCs/>
              </w:rPr>
              <w:t>Phân tích lý do &amp; Cơ sở đánh giá</w:t>
            </w:r>
          </w:p>
        </w:tc>
      </w:tr>
      <w:tr w:rsidR="00F063B1" w:rsidRPr="00F063B1" w14:paraId="08C67D80" w14:textId="77777777">
        <w:tc>
          <w:tcPr>
            <w:tcW w:w="0" w:type="auto"/>
            <w:tcBorders>
              <w:top w:val="single" w:sz="8" w:space="0" w:color="E2E8F0"/>
              <w:bottom w:val="single" w:sz="8" w:space="0" w:color="E2E8F0"/>
              <w:right w:val="single" w:sz="8" w:space="0" w:color="E2E8F0"/>
            </w:tcBorders>
            <w:shd w:val="clear" w:color="auto" w:fill="FFFFFF"/>
            <w:tcMar>
              <w:top w:w="120" w:type="dxa"/>
              <w:left w:w="160" w:type="dxa"/>
              <w:bottom w:w="120" w:type="dxa"/>
              <w:right w:w="160" w:type="dxa"/>
            </w:tcMar>
            <w:hideMark/>
          </w:tcPr>
          <w:p w14:paraId="505CA767" w14:textId="77777777" w:rsidR="00F063B1" w:rsidRPr="00F063B1" w:rsidRDefault="00F063B1" w:rsidP="00F063B1">
            <w:r w:rsidRPr="00F063B1">
              <w:rPr>
                <w:b/>
                <w:bCs/>
              </w:rPr>
              <w:t xml:space="preserve">1. Tốc độ &amp; Chi </w:t>
            </w:r>
            <w:r w:rsidRPr="00F063B1">
              <w:rPr>
                <w:b/>
                <w:bCs/>
              </w:rPr>
              <w:lastRenderedPageBreak/>
              <w:t>phí đầu tư</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20" w:type="dxa"/>
              <w:left w:w="160" w:type="dxa"/>
              <w:bottom w:w="120" w:type="dxa"/>
              <w:right w:w="160" w:type="dxa"/>
            </w:tcMar>
            <w:hideMark/>
          </w:tcPr>
          <w:p w14:paraId="0D8F04BF" w14:textId="77777777" w:rsidR="00F063B1" w:rsidRPr="00F063B1" w:rsidRDefault="00F063B1" w:rsidP="00F063B1">
            <w:r w:rsidRPr="00F063B1">
              <w:rPr>
                <w:b/>
                <w:bCs/>
              </w:rPr>
              <w:lastRenderedPageBreak/>
              <w:t>Ưu điểm:</w:t>
            </w:r>
            <w:r w:rsidRPr="00F063B1">
              <w:t xml:space="preserve"> Chi phí ban đầu thấp, ngân sách linh hoạt. </w:t>
            </w:r>
            <w:r w:rsidRPr="00F063B1">
              <w:rPr>
                <w:b/>
                <w:bCs/>
              </w:rPr>
              <w:t xml:space="preserve">Nhược </w:t>
            </w:r>
            <w:r w:rsidRPr="00F063B1">
              <w:rPr>
                <w:b/>
                <w:bCs/>
              </w:rPr>
              <w:lastRenderedPageBreak/>
              <w:t>điểm:</w:t>
            </w:r>
            <w:r w:rsidRPr="00F063B1">
              <w:t xml:space="preserve"> Mức độ phủ sóng toàn công ty chậm hơn ở giai đoạn đầu.</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20" w:type="dxa"/>
              <w:left w:w="160" w:type="dxa"/>
              <w:bottom w:w="120" w:type="dxa"/>
              <w:right w:w="160" w:type="dxa"/>
            </w:tcMar>
            <w:hideMark/>
          </w:tcPr>
          <w:p w14:paraId="42B5BD32" w14:textId="77777777" w:rsidR="00F063B1" w:rsidRPr="00F063B1" w:rsidRDefault="00F063B1" w:rsidP="00F063B1">
            <w:r w:rsidRPr="00F063B1">
              <w:rPr>
                <w:b/>
                <w:bCs/>
              </w:rPr>
              <w:lastRenderedPageBreak/>
              <w:t>Ưu điểm:</w:t>
            </w:r>
            <w:r w:rsidRPr="00F063B1">
              <w:t xml:space="preserve"> Tối ưu hiệu ứng quy mô nhanh, đồng bộ hạ tầng </w:t>
            </w:r>
            <w:r w:rsidRPr="00F063B1">
              <w:lastRenderedPageBreak/>
              <w:t xml:space="preserve">quản lý ngay lập tức. </w:t>
            </w:r>
            <w:r w:rsidRPr="00F063B1">
              <w:rPr>
                <w:b/>
                <w:bCs/>
              </w:rPr>
              <w:t>Nhược điểm:</w:t>
            </w:r>
            <w:r w:rsidRPr="00F063B1">
              <w:t xml:space="preserve"> Chi phí tư vấn và đào tạo ban đầu cực lớn.</w:t>
            </w:r>
          </w:p>
        </w:tc>
        <w:tc>
          <w:tcPr>
            <w:tcW w:w="0" w:type="auto"/>
            <w:tcBorders>
              <w:top w:val="single" w:sz="8" w:space="0" w:color="E2E8F0"/>
              <w:left w:val="single" w:sz="8" w:space="0" w:color="E2E8F0"/>
              <w:bottom w:val="single" w:sz="8" w:space="0" w:color="E2E8F0"/>
            </w:tcBorders>
            <w:shd w:val="clear" w:color="auto" w:fill="FFFFFF"/>
            <w:tcMar>
              <w:top w:w="120" w:type="dxa"/>
              <w:left w:w="160" w:type="dxa"/>
              <w:bottom w:w="120" w:type="dxa"/>
              <w:right w:w="160" w:type="dxa"/>
            </w:tcMar>
            <w:hideMark/>
          </w:tcPr>
          <w:p w14:paraId="51280EA4" w14:textId="77777777" w:rsidR="00F063B1" w:rsidRPr="00F063B1" w:rsidRDefault="00F063B1" w:rsidP="00F063B1">
            <w:r w:rsidRPr="00F063B1">
              <w:lastRenderedPageBreak/>
              <w:t xml:space="preserve">Giải pháp 1 giúp RikkeiGo chủ động dòng tiền và giảm áp lực ngân sách </w:t>
            </w:r>
            <w:r w:rsidRPr="00F063B1">
              <w:lastRenderedPageBreak/>
              <w:t>ngắn hạn. Giải pháp 2 đòi hỏi cam kết tài chính lớn ngay từ đầu khi chưa kiểm chứng được độ tương thích thực tế.</w:t>
            </w:r>
          </w:p>
        </w:tc>
      </w:tr>
      <w:tr w:rsidR="00F063B1" w:rsidRPr="00F063B1" w14:paraId="6BD18D74" w14:textId="77777777">
        <w:tc>
          <w:tcPr>
            <w:tcW w:w="0" w:type="auto"/>
            <w:tcBorders>
              <w:top w:val="single" w:sz="8" w:space="0" w:color="E2E8F0"/>
              <w:bottom w:val="single" w:sz="8" w:space="0" w:color="E2E8F0"/>
              <w:right w:val="single" w:sz="8" w:space="0" w:color="E2E8F0"/>
            </w:tcBorders>
            <w:shd w:val="clear" w:color="auto" w:fill="FFFFFF"/>
            <w:tcMar>
              <w:top w:w="120" w:type="dxa"/>
              <w:left w:w="160" w:type="dxa"/>
              <w:bottom w:w="120" w:type="dxa"/>
              <w:right w:w="160" w:type="dxa"/>
            </w:tcMar>
            <w:hideMark/>
          </w:tcPr>
          <w:p w14:paraId="41C95BC3" w14:textId="77777777" w:rsidR="00F063B1" w:rsidRPr="00F063B1" w:rsidRDefault="00F063B1" w:rsidP="00F063B1">
            <w:r w:rsidRPr="00F063B1">
              <w:rPr>
                <w:b/>
                <w:bCs/>
              </w:rPr>
              <w:lastRenderedPageBreak/>
              <w:t>2. Mức rủi ro &amp; Quản trị sự thay đổi</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20" w:type="dxa"/>
              <w:left w:w="160" w:type="dxa"/>
              <w:bottom w:w="120" w:type="dxa"/>
              <w:right w:w="160" w:type="dxa"/>
            </w:tcMar>
            <w:hideMark/>
          </w:tcPr>
          <w:p w14:paraId="64D20D85" w14:textId="77777777" w:rsidR="00F063B1" w:rsidRPr="00F063B1" w:rsidRDefault="00F063B1" w:rsidP="00F063B1">
            <w:r w:rsidRPr="00F063B1">
              <w:rPr>
                <w:b/>
                <w:bCs/>
              </w:rPr>
              <w:t>Ưu điểm:</w:t>
            </w:r>
            <w:r w:rsidRPr="00F063B1">
              <w:t xml:space="preserve"> Rủi ro thấp, dễ khoanh vùng và khắc phục sai sót. </w:t>
            </w:r>
            <w:r w:rsidRPr="00F063B1">
              <w:rPr>
                <w:b/>
                <w:bCs/>
              </w:rPr>
              <w:t>Nhược điểm:</w:t>
            </w:r>
            <w:r w:rsidRPr="00F063B1">
              <w:t xml:space="preserve"> Có sự lệch pha quy trình tạm thời giữa nhóm Agile và nhóm truyền thống.</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20" w:type="dxa"/>
              <w:left w:w="160" w:type="dxa"/>
              <w:bottom w:w="120" w:type="dxa"/>
              <w:right w:w="160" w:type="dxa"/>
            </w:tcMar>
            <w:hideMark/>
          </w:tcPr>
          <w:p w14:paraId="695DA4AB" w14:textId="77777777" w:rsidR="00F063B1" w:rsidRPr="00F063B1" w:rsidRDefault="00F063B1" w:rsidP="00F063B1">
            <w:r w:rsidRPr="00F063B1">
              <w:rPr>
                <w:b/>
                <w:bCs/>
              </w:rPr>
              <w:t>Ưu điểm:</w:t>
            </w:r>
            <w:r w:rsidRPr="00F063B1">
              <w:t xml:space="preserve"> Xóa bỏ hoàn toàn khoảng trống quy trình cũ. </w:t>
            </w:r>
            <w:r w:rsidRPr="00F063B1">
              <w:rPr>
                <w:b/>
                <w:bCs/>
              </w:rPr>
              <w:t>Nhược điểm:</w:t>
            </w:r>
            <w:r w:rsidRPr="00F063B1">
              <w:t xml:space="preserve"> Mức độ kháng cự văn hóa cao, rủi ro làm gián đoạn các dự án đang chạy.</w:t>
            </w:r>
          </w:p>
        </w:tc>
        <w:tc>
          <w:tcPr>
            <w:tcW w:w="0" w:type="auto"/>
            <w:tcBorders>
              <w:top w:val="single" w:sz="8" w:space="0" w:color="E2E8F0"/>
              <w:left w:val="single" w:sz="8" w:space="0" w:color="E2E8F0"/>
              <w:bottom w:val="single" w:sz="8" w:space="0" w:color="E2E8F0"/>
            </w:tcBorders>
            <w:shd w:val="clear" w:color="auto" w:fill="FFFFFF"/>
            <w:tcMar>
              <w:top w:w="120" w:type="dxa"/>
              <w:left w:w="160" w:type="dxa"/>
              <w:bottom w:w="120" w:type="dxa"/>
              <w:right w:w="160" w:type="dxa"/>
            </w:tcMar>
            <w:hideMark/>
          </w:tcPr>
          <w:p w14:paraId="48832FE7" w14:textId="77777777" w:rsidR="00F063B1" w:rsidRPr="00F063B1" w:rsidRDefault="00F063B1" w:rsidP="00F063B1">
            <w:r w:rsidRPr="00F063B1">
              <w:t>Thay đổi đột ngột dễ gây sốc tổ chức và sự chống đối ngầm. Mô hình cuốn chiếu giúp RikkeiGo kiểm soát rủi ro vận hành, bảo đảm các mục tiêu kinh doanh không bị đứt gãy.</w:t>
            </w:r>
          </w:p>
        </w:tc>
      </w:tr>
      <w:tr w:rsidR="00F063B1" w:rsidRPr="00F063B1" w14:paraId="5715EBA4" w14:textId="77777777">
        <w:tc>
          <w:tcPr>
            <w:tcW w:w="0" w:type="auto"/>
            <w:tcBorders>
              <w:top w:val="single" w:sz="8" w:space="0" w:color="E2E8F0"/>
              <w:bottom w:val="single" w:sz="8" w:space="0" w:color="CBD5E1"/>
              <w:right w:val="single" w:sz="8" w:space="0" w:color="E2E8F0"/>
            </w:tcBorders>
            <w:shd w:val="clear" w:color="auto" w:fill="FFFFFF"/>
            <w:tcMar>
              <w:top w:w="120" w:type="dxa"/>
              <w:left w:w="160" w:type="dxa"/>
              <w:bottom w:w="120" w:type="dxa"/>
              <w:right w:w="160" w:type="dxa"/>
            </w:tcMar>
            <w:hideMark/>
          </w:tcPr>
          <w:p w14:paraId="612C817E" w14:textId="77777777" w:rsidR="00F063B1" w:rsidRPr="00F063B1" w:rsidRDefault="00F063B1" w:rsidP="00F063B1">
            <w:r w:rsidRPr="00F063B1">
              <w:rPr>
                <w:b/>
                <w:bCs/>
              </w:rPr>
              <w:t>3. Tính bền vững &amp; Thích ứng dài hạn</w:t>
            </w:r>
          </w:p>
        </w:tc>
        <w:tc>
          <w:tcPr>
            <w:tcW w:w="0" w:type="auto"/>
            <w:tcBorders>
              <w:top w:val="single" w:sz="8" w:space="0" w:color="E2E8F0"/>
              <w:left w:val="single" w:sz="8" w:space="0" w:color="E2E8F0"/>
              <w:bottom w:val="single" w:sz="8" w:space="0" w:color="CBD5E1"/>
              <w:right w:val="single" w:sz="8" w:space="0" w:color="E2E8F0"/>
            </w:tcBorders>
            <w:shd w:val="clear" w:color="auto" w:fill="FFFFFF"/>
            <w:tcMar>
              <w:top w:w="120" w:type="dxa"/>
              <w:left w:w="160" w:type="dxa"/>
              <w:bottom w:w="120" w:type="dxa"/>
              <w:right w:w="160" w:type="dxa"/>
            </w:tcMar>
            <w:hideMark/>
          </w:tcPr>
          <w:p w14:paraId="03709D69" w14:textId="77777777" w:rsidR="00F063B1" w:rsidRPr="00F063B1" w:rsidRDefault="00F063B1" w:rsidP="00F063B1">
            <w:r w:rsidRPr="00F063B1">
              <w:rPr>
                <w:b/>
                <w:bCs/>
              </w:rPr>
              <w:t>Ưu điểm:</w:t>
            </w:r>
            <w:r w:rsidRPr="00F063B1">
              <w:t xml:space="preserve"> Hình thành văn hóa Agile tự nhiên, nhân sự chủ động làm chủ quy trình. </w:t>
            </w:r>
            <w:r w:rsidRPr="00F063B1">
              <w:rPr>
                <w:b/>
                <w:bCs/>
              </w:rPr>
              <w:t>Nhược điểm:</w:t>
            </w:r>
            <w:r w:rsidRPr="00F063B1">
              <w:t xml:space="preserve"> Cần sự kiên nhẫn chiến lược từ Ban Lãnh đạo.</w:t>
            </w:r>
          </w:p>
        </w:tc>
        <w:tc>
          <w:tcPr>
            <w:tcW w:w="0" w:type="auto"/>
            <w:tcBorders>
              <w:top w:val="single" w:sz="8" w:space="0" w:color="E2E8F0"/>
              <w:left w:val="single" w:sz="8" w:space="0" w:color="E2E8F0"/>
              <w:bottom w:val="single" w:sz="8" w:space="0" w:color="CBD5E1"/>
              <w:right w:val="single" w:sz="8" w:space="0" w:color="E2E8F0"/>
            </w:tcBorders>
            <w:shd w:val="clear" w:color="auto" w:fill="FFFFFF"/>
            <w:tcMar>
              <w:top w:w="120" w:type="dxa"/>
              <w:left w:w="160" w:type="dxa"/>
              <w:bottom w:w="120" w:type="dxa"/>
              <w:right w:w="160" w:type="dxa"/>
            </w:tcMar>
            <w:hideMark/>
          </w:tcPr>
          <w:p w14:paraId="1253886F" w14:textId="77777777" w:rsidR="00F063B1" w:rsidRPr="00F063B1" w:rsidRDefault="00F063B1" w:rsidP="00F063B1">
            <w:r w:rsidRPr="00F063B1">
              <w:rPr>
                <w:b/>
                <w:bCs/>
              </w:rPr>
              <w:t>Ưu điểm:</w:t>
            </w:r>
            <w:r w:rsidRPr="00F063B1">
              <w:t xml:space="preserve"> Đạt tính tuân thủ quy trình nhanh. </w:t>
            </w:r>
            <w:r w:rsidRPr="00F063B1">
              <w:rPr>
                <w:b/>
                <w:bCs/>
              </w:rPr>
              <w:t>Nhược điểm:</w:t>
            </w:r>
            <w:r w:rsidRPr="00F063B1">
              <w:t xml:space="preserve"> Nguy cơ rơi vào trạng thái "Agile vỏ bọc" (Fake Agile) do áp đặt từ trên xuống.</w:t>
            </w:r>
          </w:p>
        </w:tc>
        <w:tc>
          <w:tcPr>
            <w:tcW w:w="0" w:type="auto"/>
            <w:tcBorders>
              <w:top w:val="single" w:sz="8" w:space="0" w:color="E2E8F0"/>
              <w:left w:val="single" w:sz="8" w:space="0" w:color="E2E8F0"/>
              <w:bottom w:val="single" w:sz="8" w:space="0" w:color="CBD5E1"/>
            </w:tcBorders>
            <w:shd w:val="clear" w:color="auto" w:fill="FFFFFF"/>
            <w:tcMar>
              <w:top w:w="120" w:type="dxa"/>
              <w:left w:w="160" w:type="dxa"/>
              <w:bottom w:w="120" w:type="dxa"/>
              <w:right w:w="160" w:type="dxa"/>
            </w:tcMar>
            <w:hideMark/>
          </w:tcPr>
          <w:p w14:paraId="29A5C226" w14:textId="77777777" w:rsidR="00F063B1" w:rsidRPr="00F063B1" w:rsidRDefault="00F063B1" w:rsidP="00F063B1">
            <w:r w:rsidRPr="00F063B1">
              <w:t>Chuyển đổi bền vững phải bắt đầu từ tư duy. Giải pháp 1 giúp xây dựng năng lực nội tại thực chất, trong khi Giải pháp 2 dễ bị đối phó nếu đội ngũ chưa kịp hấp thụ Agile Mindset.</w:t>
            </w:r>
          </w:p>
        </w:tc>
      </w:tr>
    </w:tbl>
    <w:p w14:paraId="7EFDE97C" w14:textId="77777777" w:rsidR="00F063B1" w:rsidRPr="00F063B1" w:rsidRDefault="00F063B1" w:rsidP="00F063B1">
      <w:pPr>
        <w:rPr>
          <w:b/>
          <w:bCs/>
        </w:rPr>
      </w:pPr>
      <w:r w:rsidRPr="00F063B1">
        <w:rPr>
          <w:b/>
          <w:bCs/>
        </w:rPr>
        <w:t>Phần 3: Lựa chọn đề xuất và Phản biện chiến lược</w:t>
      </w:r>
    </w:p>
    <w:p w14:paraId="6DF3445D" w14:textId="77777777" w:rsidR="00F063B1" w:rsidRPr="00F063B1" w:rsidRDefault="00F063B1" w:rsidP="00F063B1">
      <w:r w:rsidRPr="00F063B1">
        <w:t xml:space="preserve">Agile Coach đề xuất RikkeiGo lựa chọn Giải pháp 1 (Chuyển đổi Cuốn chiếu - Pilot-to-Scale) cho chiến lược chuyển đổi Agile sắp tới. Mặc dù có quan điểm lo ngại mô hình cuốn chiếu sẽ làm chậm tốc độ đạt hiệu quả đầu tư (ROI) trên toàn hệ thống, nhưng việc chuyển đổi đồng bộ ngay lập tức chứa đựng rủi ro gây xáo trộn tổ chức và kháng cự văn hóa rất lớn. Mô hình thử nghiệm đóng vai trò như một môi trường kiểm chứng an toàn, giúp nhận diện chính xác các điểm nghẽn quy trình đặc thù và tối ưu hóa chi phí rủi ro. Thành công từ các dự án thử nghiệm sẽ tạo niềm tin thực tế, đồng thời tôi luyện nên đội ngũ Agile Champions </w:t>
      </w:r>
      <w:r w:rsidRPr="00F063B1">
        <w:lastRenderedPageBreak/>
        <w:t>nòng cốt để dẫn dắt quá trình mở rộng. Vì vậy, đây là con đường ngắn nhất và an toàn nhất giúp RikkeiGo đạt được sự linh hoạt bền vững mà không làm ảnh hưởng đến hoạt động kinh doanh cốt lõi.</w:t>
      </w:r>
    </w:p>
    <w:p w14:paraId="4C1F024D" w14:textId="77777777" w:rsidR="00F063B1" w:rsidRDefault="00F063B1"/>
    <w:sectPr w:rsidR="00F06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69EA"/>
    <w:multiLevelType w:val="multilevel"/>
    <w:tmpl w:val="1D3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320161"/>
    <w:multiLevelType w:val="multilevel"/>
    <w:tmpl w:val="14E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678590">
    <w:abstractNumId w:val="0"/>
  </w:num>
  <w:num w:numId="2" w16cid:durableId="1314722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B1"/>
    <w:rsid w:val="00125504"/>
    <w:rsid w:val="00F06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4DDE"/>
  <w15:chartTrackingRefBased/>
  <w15:docId w15:val="{1FF97EAB-4D46-4D29-8C57-FA047EDD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06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06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063B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063B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063B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063B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063B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063B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063B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063B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063B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063B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063B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063B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063B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063B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063B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063B1"/>
    <w:rPr>
      <w:rFonts w:eastAsiaTheme="majorEastAsia" w:cstheme="majorBidi"/>
      <w:color w:val="272727" w:themeColor="text1" w:themeTint="D8"/>
    </w:rPr>
  </w:style>
  <w:style w:type="paragraph" w:styleId="Tiu">
    <w:name w:val="Title"/>
    <w:basedOn w:val="Binhthng"/>
    <w:next w:val="Binhthng"/>
    <w:link w:val="TiuChar"/>
    <w:uiPriority w:val="10"/>
    <w:qFormat/>
    <w:rsid w:val="00F06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063B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063B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063B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063B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063B1"/>
    <w:rPr>
      <w:i/>
      <w:iCs/>
      <w:color w:val="404040" w:themeColor="text1" w:themeTint="BF"/>
    </w:rPr>
  </w:style>
  <w:style w:type="paragraph" w:styleId="oancuaDanhsach">
    <w:name w:val="List Paragraph"/>
    <w:basedOn w:val="Binhthng"/>
    <w:uiPriority w:val="34"/>
    <w:qFormat/>
    <w:rsid w:val="00F063B1"/>
    <w:pPr>
      <w:ind w:left="720"/>
      <w:contextualSpacing/>
    </w:pPr>
  </w:style>
  <w:style w:type="character" w:styleId="NhnmnhThm">
    <w:name w:val="Intense Emphasis"/>
    <w:basedOn w:val="Phngmcinhcuaoanvn"/>
    <w:uiPriority w:val="21"/>
    <w:qFormat/>
    <w:rsid w:val="00F063B1"/>
    <w:rPr>
      <w:i/>
      <w:iCs/>
      <w:color w:val="0F4761" w:themeColor="accent1" w:themeShade="BF"/>
    </w:rPr>
  </w:style>
  <w:style w:type="paragraph" w:styleId="Nhaykepm">
    <w:name w:val="Intense Quote"/>
    <w:basedOn w:val="Binhthng"/>
    <w:next w:val="Binhthng"/>
    <w:link w:val="NhaykepmChar"/>
    <w:uiPriority w:val="30"/>
    <w:qFormat/>
    <w:rsid w:val="00F06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063B1"/>
    <w:rPr>
      <w:i/>
      <w:iCs/>
      <w:color w:val="0F4761" w:themeColor="accent1" w:themeShade="BF"/>
    </w:rPr>
  </w:style>
  <w:style w:type="character" w:styleId="ThamchiuNhnmnh">
    <w:name w:val="Intense Reference"/>
    <w:basedOn w:val="Phngmcinhcuaoanvn"/>
    <w:uiPriority w:val="32"/>
    <w:qFormat/>
    <w:rsid w:val="00F06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caoanhnguyenduong@gmail.com</dc:creator>
  <cp:keywords/>
  <dc:description/>
  <cp:lastModifiedBy>caoanhnguyenduong@gmail.com</cp:lastModifiedBy>
  <cp:revision>1</cp:revision>
  <dcterms:created xsi:type="dcterms:W3CDTF">2026-10-11T06:05:00Z</dcterms:created>
  <dcterms:modified xsi:type="dcterms:W3CDTF">2026-10-11T06:05:00Z</dcterms:modified>
</cp:coreProperties>
</file>