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center"/>
      </w:pPr>
      <w:bookmarkStart w:id="0" w:name="bookmark0"/>
      <w:r>
        <w:rPr>
          <w:rStyle w:val="CharStyle6"/>
        </w:rPr>
        <w:t>'information</w:t>
        <w:br/>
        <w:t>c</w:t>
      </w:r>
      <w:r>
        <w:rPr>
          <w:rStyle w:val="CharStyle6"/>
          <w:u w:val="single"/>
        </w:rPr>
        <w:t>ommission</w:t>
      </w:r>
      <w:r>
        <w:rPr>
          <w:rStyle w:val="CharStyle6"/>
        </w:rPr>
        <w:t>er</w:t>
      </w:r>
      <w:bookmarkEnd w:id="0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CharStyle13"/>
          <w:i/>
          <w:iCs/>
        </w:rPr>
        <w:t>Banantagh fysseree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" w:name="bookmark2"/>
      <w:r>
        <w:rPr>
          <w:rStyle w:val="CharStyle15"/>
          <w:b/>
          <w:bCs/>
        </w:rPr>
        <w:t>PENALTY NOTICE</w:t>
      </w:r>
      <w:bookmarkEnd w:id="2"/>
    </w:p>
    <w:p>
      <w:pPr>
        <w:pStyle w:val="Style16"/>
        <w:keepNext w:val="0"/>
        <w:keepLines w:val="0"/>
        <w:widowControl w:val="0"/>
        <w:shd w:val="clear" w:color="auto" w:fill="auto"/>
        <w:tabs>
          <w:tab w:pos="3623" w:val="left"/>
        </w:tabs>
        <w:bidi w:val="0"/>
        <w:spacing w:before="0" w:after="0"/>
        <w:ind w:left="2180" w:right="0" w:firstLine="0"/>
        <w:jc w:val="left"/>
      </w:pPr>
      <w:r>
        <w:rPr>
          <w:rStyle w:val="CharStyle17"/>
        </w:rPr>
        <w:t>Given to:</w:t>
        <w:tab/>
      </w:r>
      <w:r>
        <w:rPr>
          <w:rStyle w:val="CharStyle17"/>
          <w:b/>
          <w:bCs/>
        </w:rPr>
        <w:t>Manx Care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3620" w:right="0" w:firstLine="0"/>
        <w:jc w:val="left"/>
      </w:pPr>
      <w:r>
        <w:rPr>
          <w:rStyle w:val="CharStyle17"/>
        </w:rPr>
        <w:t>Head Office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3620" w:right="0" w:firstLine="0"/>
        <w:jc w:val="left"/>
      </w:pPr>
      <w:r>
        <w:rPr>
          <w:rStyle w:val="CharStyle17"/>
        </w:rPr>
        <w:t>Noble's Hospital Estate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3620" w:right="0" w:firstLine="0"/>
        <w:jc w:val="left"/>
      </w:pPr>
      <w:r>
        <w:rPr>
          <w:rStyle w:val="CharStyle17"/>
        </w:rPr>
        <w:t>Strang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/>
        <w:ind w:left="3620" w:right="0" w:firstLine="0"/>
        <w:jc w:val="left"/>
      </w:pPr>
      <w:r>
        <w:rPr>
          <w:rStyle w:val="CharStyle17"/>
        </w:rPr>
        <w:t>BRADDAN</w:t>
        <w:br/>
        <w:t>Isle of Man</w:t>
        <w:br/>
        <w:t>IM4 4RJ</w:t>
      </w:r>
    </w:p>
    <w:p>
      <w:pPr>
        <w:pStyle w:val="Style19"/>
        <w:keepNext/>
        <w:keepLines/>
        <w:widowControl w:val="0"/>
        <w:shd w:val="clear" w:color="auto" w:fill="auto"/>
        <w:tabs>
          <w:tab w:pos="3623" w:val="left"/>
        </w:tabs>
        <w:bidi w:val="0"/>
        <w:spacing w:before="0" w:after="280" w:line="307" w:lineRule="auto"/>
        <w:ind w:left="2480" w:right="0" w:firstLine="0"/>
        <w:jc w:val="left"/>
      </w:pPr>
      <w:bookmarkStart w:id="4" w:name="bookmark4"/>
      <w:r>
        <w:rPr>
          <w:rStyle w:val="CharStyle20"/>
        </w:rPr>
        <w:t>Date:</w:t>
        <w:tab/>
      </w:r>
      <w:r>
        <w:rPr>
          <w:rStyle w:val="CharStyle20"/>
          <w:b/>
          <w:bCs/>
        </w:rPr>
        <w:t>13 July 2022</w:t>
      </w:r>
      <w:bookmarkEnd w:id="4"/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0" w:line="310" w:lineRule="auto"/>
        <w:ind w:left="0" w:right="0" w:firstLine="0"/>
        <w:jc w:val="left"/>
      </w:pPr>
      <w:r>
        <w:rPr>
          <w:rStyle w:val="CharStyle17"/>
        </w:rPr>
        <w:t>In this penalty notice: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95" w:val="left"/>
        </w:tabs>
        <w:bidi w:val="0"/>
        <w:spacing w:before="0" w:after="0" w:line="310" w:lineRule="auto"/>
        <w:ind w:left="0" w:right="0" w:firstLine="360"/>
        <w:jc w:val="left"/>
      </w:pPr>
      <w:r>
        <w:rPr>
          <w:rStyle w:val="CharStyle17"/>
        </w:rPr>
        <w:t>"Article" means an article of the Applied GDPR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815" w:val="left"/>
        </w:tabs>
        <w:bidi w:val="0"/>
        <w:spacing w:before="0" w:after="0" w:line="310" w:lineRule="auto"/>
        <w:ind w:left="800" w:right="0" w:hanging="420"/>
        <w:jc w:val="left"/>
      </w:pPr>
      <w:r>
        <w:rPr>
          <w:rStyle w:val="CharStyle17"/>
        </w:rPr>
        <w:t>"Applied GDPR" means the Annex to the Data Protection (Application of GDPR)</w:t>
        <w:br/>
        <w:t>Order 2018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815" w:val="left"/>
        </w:tabs>
        <w:bidi w:val="0"/>
        <w:spacing w:before="0" w:after="0" w:line="310" w:lineRule="auto"/>
        <w:ind w:left="800" w:right="0" w:hanging="420"/>
        <w:jc w:val="left"/>
      </w:pPr>
      <w:r>
        <w:rPr>
          <w:rStyle w:val="CharStyle17"/>
        </w:rPr>
        <w:t>"Implementing Regulations" means the GDPR and LED Implementing Regulations</w:t>
        <w:br/>
        <w:t>2018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95" w:val="left"/>
        </w:tabs>
        <w:bidi w:val="0"/>
        <w:spacing w:before="0" w:after="0" w:line="310" w:lineRule="auto"/>
        <w:ind w:left="0" w:right="0" w:firstLine="360"/>
        <w:jc w:val="left"/>
      </w:pPr>
      <w:r>
        <w:rPr>
          <w:rStyle w:val="CharStyle17"/>
        </w:rPr>
        <w:t>"Regulation" means a regulation of the Implementing Regulations</w:t>
      </w:r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815" w:val="left"/>
        </w:tabs>
        <w:bidi w:val="0"/>
        <w:spacing w:before="0" w:after="320" w:line="310" w:lineRule="auto"/>
        <w:ind w:left="800" w:right="0" w:hanging="420"/>
        <w:jc w:val="left"/>
      </w:pPr>
      <w:r>
        <w:rPr>
          <w:rStyle w:val="CharStyle17"/>
        </w:rPr>
        <w:t>"Notice of Intent" means the 'notice of intent to give the penalty notice' given in</w:t>
        <w:br/>
        <w:t>accordance with Regulation 112(4) and Schedule 5 to the Implementing Regulations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 xml:space="preserve">The Information Commissioner </w:t>
      </w:r>
      <w:r>
        <w:rPr>
          <w:rStyle w:val="CharStyle17"/>
          <w:i/>
          <w:iCs/>
        </w:rPr>
        <w:t>("the Commissioner"),</w:t>
      </w:r>
      <w:r>
        <w:rPr>
          <w:rStyle w:val="CharStyle17"/>
        </w:rPr>
        <w:t xml:space="preserve"> pursuant to Regulation 112(1) of,</w:t>
        <w:br/>
        <w:t>and Paragraph 2 of Schedule 5 to, the Implementing Regulations, has decided to give a</w:t>
        <w:br/>
        <w:t>penalty notice to Manx Care.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7" w:lineRule="auto"/>
        <w:ind w:left="0" w:right="0" w:firstLine="0"/>
        <w:jc w:val="left"/>
      </w:pPr>
      <w:r>
        <w:rPr>
          <w:rStyle w:val="CharStyle17"/>
        </w:rPr>
        <w:t>Manx Care is the 'controller' as defined in Article 4(7).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2" w:lineRule="auto"/>
        <w:ind w:left="360" w:right="0" w:hanging="360"/>
        <w:jc w:val="left"/>
      </w:pPr>
      <w:r>
        <w:rPr>
          <w:rStyle w:val="CharStyle17"/>
        </w:rPr>
        <w:t xml:space="preserve">This penalty notice </w:t>
      </w:r>
      <w:r>
        <w:rPr>
          <w:rStyle w:val="CharStyle17"/>
          <w:i/>
          <w:iCs/>
        </w:rPr>
        <w:t>(“Notice")</w:t>
      </w:r>
      <w:r>
        <w:rPr>
          <w:rStyle w:val="CharStyle17"/>
        </w:rPr>
        <w:t xml:space="preserve"> imposes an administrative fine on Manx Care, in</w:t>
        <w:br/>
        <w:t>accordance with the Commissioner's powers under Article 83 of the Applied GDPR.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7" w:lineRule="auto"/>
        <w:ind w:left="360" w:right="0" w:hanging="360"/>
        <w:jc w:val="left"/>
      </w:pPr>
      <w:r>
        <w:rPr>
          <w:rStyle w:val="CharStyle17"/>
        </w:rPr>
        <w:t xml:space="preserve">The amount of the penalty is </w:t>
      </w:r>
      <w:r>
        <w:rPr>
          <w:rStyle w:val="CharStyle17"/>
          <w:b/>
          <w:bCs/>
        </w:rPr>
        <w:t xml:space="preserve">£170,500.00 </w:t>
      </w:r>
      <w:r>
        <w:rPr>
          <w:rStyle w:val="CharStyle17"/>
        </w:rPr>
        <w:t>(One Hundred and Seventy Thousand and Five</w:t>
        <w:br/>
        <w:t>Hundred Pounds). Payment of the penalty is subject to paragraphs 35 and 36.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7" w:lineRule="auto"/>
        <w:ind w:left="360" w:right="0" w:hanging="360"/>
        <w:jc w:val="left"/>
      </w:pPr>
      <w:r>
        <w:rPr>
          <w:rStyle w:val="CharStyle17"/>
        </w:rPr>
        <w:t>This Notice explains the Commissioner's reasons for imposing the penalty and the</w:t>
        <w:br/>
        <w:t>amount of the penalty, including any aggravating or mitigating factors taken into</w:t>
        <w:br/>
        <w:t>account.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6" w:name="bookmark6"/>
      <w:r>
        <w:rPr>
          <w:rStyle w:val="CharStyle20"/>
          <w:b/>
          <w:bCs/>
        </w:rPr>
        <w:t>Reasons for imposing the penalty</w:t>
      </w:r>
      <w:bookmarkEnd w:id="6"/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2" w:lineRule="auto"/>
        <w:ind w:left="380" w:right="0" w:hanging="380"/>
        <w:jc w:val="left"/>
      </w:pPr>
      <w:r>
        <w:rPr>
          <w:rStyle w:val="CharStyle17"/>
        </w:rPr>
        <w:t>This Notice, and the amount of penalty, relates to infringements of the Applied GDPR</w:t>
        <w:br/>
      </w:r>
      <w:r>
        <w:rPr>
          <w:rStyle w:val="CharStyle17"/>
          <w:b/>
          <w:bCs/>
        </w:rPr>
        <w:t>connected only to the specific personal data breach, reference PDB2021/0087.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after="320" w:line="305" w:lineRule="auto"/>
        <w:ind w:left="380" w:right="0" w:hanging="380"/>
        <w:jc w:val="left"/>
      </w:pPr>
      <w:r>
        <w:rPr>
          <w:rStyle w:val="CharStyle17"/>
        </w:rPr>
        <w:t xml:space="preserve">Infringements (failures) applicable to </w:t>
      </w:r>
      <w:r>
        <w:rPr>
          <w:rStyle w:val="CharStyle17"/>
          <w:u w:val="single"/>
        </w:rPr>
        <w:t>that</w:t>
      </w:r>
      <w:r>
        <w:rPr>
          <w:rStyle w:val="CharStyle17"/>
        </w:rPr>
        <w:t xml:space="preserve"> personal data breach are detailed in the Notice</w:t>
        <w:br/>
        <w:t>of Intent given to Manx Care by the Commissioner on 24 May 2022, in accordance with</w:t>
        <w:br/>
        <w:t>Regulation 112(4) and Schedule 5 to the Implementing Regulations. The Notice of Intent</w:t>
        <w:br/>
        <w:t>is attached as Annex 1 to this Notice.</w:t>
      </w:r>
    </w:p>
    <w:p>
      <w:pPr>
        <w:pStyle w:val="Style19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360" w:val="left"/>
        </w:tabs>
        <w:bidi w:val="0"/>
        <w:spacing w:before="0" w:line="302" w:lineRule="auto"/>
        <w:ind w:left="0" w:right="0" w:firstLine="0"/>
        <w:jc w:val="left"/>
      </w:pPr>
      <w:bookmarkStart w:id="8" w:name="bookmark8"/>
      <w:r>
        <w:rPr>
          <w:rStyle w:val="CharStyle20"/>
          <w:b/>
          <w:bCs/>
        </w:rPr>
        <w:t>In summary, the penalty is imposed for infringements of:</w:t>
      </w:r>
      <w:bookmarkEnd w:id="8"/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50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5(1)(c) - Principle of 'data minimisation'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65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5(1)(f) - Principle of 'integrity and confidentiality'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50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5(2) - 'accountability'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70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24 - Responsibility of the controller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50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25 - Data protection by design and by default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50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32 - Security of processing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70" w:val="left"/>
        </w:tabs>
        <w:bidi w:val="0"/>
        <w:spacing w:before="0" w:after="0" w:line="240" w:lineRule="auto"/>
        <w:ind w:left="1100" w:right="0" w:firstLine="0"/>
        <w:jc w:val="left"/>
      </w:pPr>
      <w:r>
        <w:rPr>
          <w:rStyle w:val="CharStyle17"/>
        </w:rPr>
        <w:t>Article 34 - Communication of a personal data breach to the data subject</w:t>
      </w:r>
    </w:p>
    <w:p>
      <w:pPr>
        <w:pStyle w:val="Style1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460" w:val="left"/>
        </w:tabs>
        <w:bidi w:val="0"/>
        <w:spacing w:before="0" w:after="260" w:line="240" w:lineRule="auto"/>
        <w:ind w:left="1100" w:right="0" w:firstLine="0"/>
        <w:jc w:val="left"/>
      </w:pPr>
      <w:r>
        <w:rPr>
          <w:rStyle w:val="CharStyle17"/>
        </w:rPr>
        <w:t>Article 58 - Powers (of the Information Commissioner)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00" w:line="302" w:lineRule="auto"/>
        <w:ind w:left="0" w:right="0" w:firstLine="0"/>
        <w:jc w:val="left"/>
      </w:pPr>
      <w:r>
        <w:rPr>
          <w:rStyle w:val="CharStyle17"/>
          <w:u w:val="single"/>
        </w:rPr>
        <w:t>Manx Care's representations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50" w:val="left"/>
        </w:tabs>
        <w:bidi w:val="0"/>
        <w:spacing w:before="0" w:after="0" w:line="302" w:lineRule="auto"/>
        <w:ind w:left="0" w:right="0" w:firstLine="0"/>
        <w:jc w:val="left"/>
      </w:pPr>
      <w:r>
        <w:rPr>
          <w:rStyle w:val="CharStyle17"/>
        </w:rPr>
        <w:t>The Commissioner has carefully considered the representations made by Manx Care on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0" w:right="0" w:firstLine="380"/>
        <w:jc w:val="left"/>
      </w:pPr>
      <w:r>
        <w:rPr>
          <w:rStyle w:val="CharStyle17"/>
        </w:rPr>
        <w:t>17 June 2022 regarding the Notice of Intent.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60" w:val="left"/>
        </w:tabs>
        <w:bidi w:val="0"/>
        <w:spacing w:before="0" w:after="320" w:line="302" w:lineRule="auto"/>
        <w:ind w:left="0" w:right="0" w:firstLine="0"/>
        <w:jc w:val="left"/>
      </w:pPr>
      <w:r>
        <w:rPr>
          <w:rStyle w:val="CharStyle17"/>
        </w:rPr>
        <w:t>Manx Care stated it: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720" w:right="0" w:firstLine="20"/>
        <w:jc w:val="left"/>
      </w:pPr>
      <w:r>
        <w:rPr>
          <w:rStyle w:val="CharStyle17"/>
          <w:i/>
          <w:iCs/>
        </w:rPr>
        <w:t>"will not seek to challenge any of the factual matters set out in the Notice of Intent"</w:t>
      </w:r>
      <w:r>
        <w:rPr>
          <w:rStyle w:val="CharStyle17"/>
        </w:rPr>
        <w:t xml:space="preserve"> and</w:t>
        <w:br/>
      </w:r>
      <w:r>
        <w:rPr>
          <w:rStyle w:val="CharStyle17"/>
          <w:i/>
          <w:iCs/>
        </w:rPr>
        <w:t>"is in complete agreement with the Information Commissioner (ICO) that email is not a</w:t>
        <w:br/>
        <w:t>suitable method by which to manually share patient data and accepts that the</w:t>
        <w:br/>
        <w:t>underlying root cause of the personal data breaches cited in the Enforcement Notices</w:t>
        <w:br/>
        <w:t>relates to the continued use of this."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55" w:val="left"/>
        </w:tabs>
        <w:bidi w:val="0"/>
        <w:spacing w:before="0" w:after="320" w:line="302" w:lineRule="auto"/>
        <w:ind w:left="380" w:right="0" w:hanging="380"/>
        <w:jc w:val="left"/>
      </w:pPr>
      <w:r>
        <w:rPr>
          <w:rStyle w:val="CharStyle17"/>
        </w:rPr>
        <w:t xml:space="preserve">Insofar as action taken which is relevant to the </w:t>
      </w:r>
      <w:r>
        <w:rPr>
          <w:rStyle w:val="CharStyle17"/>
          <w:b/>
          <w:bCs/>
        </w:rPr>
        <w:t>specific personal data breach,</w:t>
        <w:br/>
        <w:t xml:space="preserve">PDB2021/0087, </w:t>
      </w:r>
      <w:r>
        <w:rPr>
          <w:rStyle w:val="CharStyle17"/>
        </w:rPr>
        <w:t>Manx Care's representations state: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0" w:right="0" w:firstLine="380"/>
        <w:jc w:val="left"/>
      </w:pPr>
      <w:r>
        <w:rPr>
          <w:rStyle w:val="CharStyle17"/>
          <w:i/>
          <w:iCs/>
        </w:rPr>
        <w:t>"the form has been amended to show the correct area the information should be sent to".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55" w:val="left"/>
        </w:tabs>
        <w:bidi w:val="0"/>
        <w:spacing w:before="0" w:after="320" w:line="302" w:lineRule="auto"/>
        <w:ind w:left="0" w:right="0" w:firstLine="0"/>
        <w:jc w:val="left"/>
      </w:pPr>
      <w:r>
        <w:rPr>
          <w:rStyle w:val="CharStyle17"/>
        </w:rPr>
        <w:t>Manx Care's representations state: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302" w:lineRule="auto"/>
        <w:ind w:left="720" w:right="0" w:firstLine="20"/>
        <w:jc w:val="left"/>
      </w:pPr>
      <w:r>
        <w:rPr>
          <w:rStyle w:val="CharStyle17"/>
          <w:i/>
          <w:iCs/>
        </w:rPr>
        <w:t xml:space="preserve">"Several </w:t>
      </w:r>
      <w:r>
        <w:rPr>
          <w:rStyle w:val="CharStyle17"/>
          <w:b/>
          <w:bCs/>
          <w:i/>
          <w:iCs/>
        </w:rPr>
        <w:t xml:space="preserve">proposed actions </w:t>
      </w:r>
      <w:r>
        <w:rPr>
          <w:rStyle w:val="CharStyle17"/>
          <w:i/>
          <w:iCs/>
        </w:rPr>
        <w:t>have been identified that will improve existing processes...</w:t>
        <w:br/>
        <w:t>which have been assessed for both suitability and clinical risk. It is important to note</w:t>
        <w:br/>
        <w:t>that the clinical risk associated with any change in process must be fully assessed to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12" w:lineRule="auto"/>
        <w:ind w:left="740" w:right="0" w:firstLine="0"/>
        <w:jc w:val="left"/>
      </w:pPr>
      <w:r>
        <w:rPr>
          <w:rStyle w:val="CharStyle17"/>
          <w:i/>
          <w:iCs/>
        </w:rPr>
        <w:t>ensure that clinical safety is not adversely impacted by, or during, change"</w:t>
      </w:r>
      <w:r>
        <w:rPr>
          <w:rStyle w:val="CharStyle17"/>
        </w:rPr>
        <w:t xml:space="preserve"> (emphasis</w:t>
        <w:br/>
        <w:t>added).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360" w:right="0" w:firstLine="20"/>
        <w:jc w:val="left"/>
      </w:pPr>
      <w:r>
        <w:rPr>
          <w:rStyle w:val="CharStyle17"/>
        </w:rPr>
        <w:t xml:space="preserve">It is unclear what </w:t>
      </w:r>
      <w:r>
        <w:rPr>
          <w:rStyle w:val="CharStyle17"/>
          <w:i/>
          <w:iCs/>
        </w:rPr>
        <w:t>"clinical risk"</w:t>
      </w:r>
      <w:r>
        <w:rPr>
          <w:rStyle w:val="CharStyle17"/>
        </w:rPr>
        <w:t xml:space="preserve"> or </w:t>
      </w:r>
      <w:r>
        <w:rPr>
          <w:rStyle w:val="CharStyle17"/>
          <w:i/>
          <w:iCs/>
        </w:rPr>
        <w:t>"clinical safety"</w:t>
      </w:r>
      <w:r>
        <w:rPr>
          <w:rStyle w:val="CharStyle17"/>
        </w:rPr>
        <w:t xml:space="preserve"> issues would arise from implementing</w:t>
        <w:br/>
        <w:t>appropriate technical measures to ensure the secure transfer of patient data to the</w:t>
        <w:br/>
        <w:t>correct recipient, but, in any event, there is no detail of any communications or</w:t>
        <w:br/>
        <w:t>consultations that have occurred with either Manx Care's Chief Clinical Information Officer</w:t>
        <w:br/>
        <w:t>or any other clinician who would have responsibility in this area.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04" w:val="left"/>
        </w:tabs>
        <w:bidi w:val="0"/>
        <w:spacing w:before="0" w:after="320" w:line="286" w:lineRule="auto"/>
        <w:ind w:left="0" w:right="0" w:firstLine="0"/>
        <w:jc w:val="left"/>
      </w:pPr>
      <w:r>
        <w:rPr>
          <w:rStyle w:val="CharStyle17"/>
        </w:rPr>
        <w:t>Manx Care's representations refer to:</w:t>
      </w:r>
    </w:p>
    <w:p>
      <w:pPr>
        <w:pStyle w:val="Style1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08" w:val="left"/>
        </w:tabs>
        <w:bidi w:val="0"/>
        <w:spacing w:before="0" w:after="0" w:line="307" w:lineRule="auto"/>
        <w:ind w:left="800" w:right="0" w:hanging="420"/>
        <w:jc w:val="left"/>
      </w:pPr>
      <w:r>
        <w:rPr>
          <w:rStyle w:val="CharStyle17"/>
        </w:rPr>
        <w:t xml:space="preserve">the </w:t>
      </w:r>
      <w:r>
        <w:rPr>
          <w:rStyle w:val="CharStyle17"/>
          <w:i/>
          <w:iCs/>
        </w:rPr>
        <w:t>"strategic Information Governance Advisory Board"</w:t>
      </w:r>
      <w:r>
        <w:rPr>
          <w:rStyle w:val="CharStyle17"/>
        </w:rPr>
        <w:t xml:space="preserve"> (of which the Commissioner's</w:t>
        <w:br/>
        <w:t>office is a member);</w:t>
      </w:r>
    </w:p>
    <w:p>
      <w:pPr>
        <w:pStyle w:val="Style1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75" w:val="left"/>
        </w:tabs>
        <w:bidi w:val="0"/>
        <w:spacing w:before="0" w:after="0" w:line="264" w:lineRule="auto"/>
        <w:ind w:left="0" w:right="0" w:firstLine="360"/>
        <w:jc w:val="left"/>
      </w:pPr>
      <w:r>
        <w:rPr>
          <w:rStyle w:val="CharStyle17"/>
        </w:rPr>
        <w:t xml:space="preserve">the </w:t>
      </w:r>
      <w:r>
        <w:rPr>
          <w:rStyle w:val="CharStyle17"/>
          <w:i/>
          <w:iCs/>
        </w:rPr>
        <w:t>"Manx Care Record",</w:t>
      </w:r>
      <w:r>
        <w:rPr>
          <w:rStyle w:val="CharStyle17"/>
        </w:rPr>
        <w:t xml:space="preserve"> stating it </w:t>
      </w:r>
      <w:r>
        <w:rPr>
          <w:rStyle w:val="CharStyle17"/>
          <w:i/>
          <w:iCs/>
        </w:rPr>
        <w:t>"will be developed by Q3 2023";</w:t>
      </w:r>
    </w:p>
    <w:p>
      <w:pPr>
        <w:pStyle w:val="Style1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775" w:val="left"/>
        </w:tabs>
        <w:bidi w:val="0"/>
        <w:spacing w:before="0" w:after="0" w:line="264" w:lineRule="auto"/>
        <w:ind w:left="0" w:right="0" w:firstLine="360"/>
        <w:jc w:val="left"/>
      </w:pPr>
      <w:r>
        <w:rPr>
          <w:rStyle w:val="CharStyle17"/>
        </w:rPr>
        <w:t xml:space="preserve">the use of </w:t>
      </w:r>
      <w:r>
        <w:rPr>
          <w:rStyle w:val="CharStyle17"/>
          <w:i/>
          <w:iCs/>
        </w:rPr>
        <w:t>"ICE (Integrated Clinical Environment)";</w:t>
      </w:r>
    </w:p>
    <w:p>
      <w:pPr>
        <w:pStyle w:val="Style1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08" w:val="left"/>
        </w:tabs>
        <w:bidi w:val="0"/>
        <w:spacing w:before="0" w:after="0" w:line="264" w:lineRule="auto"/>
        <w:ind w:left="800" w:right="0" w:hanging="420"/>
        <w:jc w:val="left"/>
      </w:pPr>
      <w:r>
        <w:rPr>
          <w:rStyle w:val="CharStyle17"/>
          <w:i/>
          <w:iCs/>
        </w:rPr>
        <w:t>"eDischarge"</w:t>
      </w:r>
      <w:r>
        <w:rPr>
          <w:rStyle w:val="CharStyle17"/>
        </w:rPr>
        <w:t xml:space="preserve"> functionality in Mediviewer and </w:t>
      </w:r>
      <w:r>
        <w:rPr>
          <w:rStyle w:val="CharStyle17"/>
          <w:i/>
          <w:iCs/>
        </w:rPr>
        <w:t>"new functionality within MediViewer...</w:t>
        <w:br/>
        <w:t>that could potentially facilitate the instant secure sharing of clinical information with</w:t>
        <w:br/>
        <w:t>RBAC-appropriate</w:t>
      </w:r>
      <w:r>
        <w:rPr>
          <w:rStyle w:val="CharStyle17"/>
        </w:rPr>
        <w:t xml:space="preserve"> users" that Manx Care is </w:t>
      </w:r>
      <w:r>
        <w:rPr>
          <w:rStyle w:val="CharStyle17"/>
          <w:i/>
          <w:iCs/>
        </w:rPr>
        <w:t>"currently testing"</w:t>
      </w:r>
      <w:r>
        <w:rPr>
          <w:rStyle w:val="CharStyle17"/>
        </w:rPr>
        <w:t xml:space="preserve"> but for which </w:t>
      </w:r>
      <w:r>
        <w:rPr>
          <w:rStyle w:val="CharStyle17"/>
          <w:i/>
          <w:iCs/>
        </w:rPr>
        <w:t>"a delivery</w:t>
        <w:br/>
        <w:t>date... is yet to be determined";</w:t>
      </w:r>
    </w:p>
    <w:p>
      <w:pPr>
        <w:pStyle w:val="Style1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08" w:val="left"/>
        </w:tabs>
        <w:bidi w:val="0"/>
        <w:spacing w:before="0" w:after="0" w:line="307" w:lineRule="auto"/>
        <w:ind w:left="800" w:right="0" w:hanging="420"/>
        <w:jc w:val="left"/>
      </w:pPr>
      <w:r>
        <w:rPr>
          <w:rStyle w:val="CharStyle17"/>
          <w:i/>
          <w:iCs/>
        </w:rPr>
        <w:t>"policies and procedures... in draft and awaiting approval"</w:t>
      </w:r>
      <w:r>
        <w:rPr>
          <w:rStyle w:val="CharStyle17"/>
        </w:rPr>
        <w:t xml:space="preserve"> which it 'aims' to have</w:t>
        <w:br/>
        <w:t xml:space="preserve">approved </w:t>
      </w:r>
      <w:r>
        <w:rPr>
          <w:rStyle w:val="CharStyle17"/>
          <w:i/>
          <w:iCs/>
        </w:rPr>
        <w:t>"by the end of July 2022, and subsequently implemented after that";</w:t>
      </w:r>
    </w:p>
    <w:p>
      <w:pPr>
        <w:pStyle w:val="Style1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08" w:val="left"/>
        </w:tabs>
        <w:bidi w:val="0"/>
        <w:spacing w:before="0" w:after="320"/>
        <w:ind w:left="360" w:right="0" w:firstLine="20"/>
        <w:jc w:val="left"/>
      </w:pPr>
      <w:r>
        <w:rPr>
          <w:rStyle w:val="CharStyle17"/>
        </w:rPr>
        <w:t>additional staffing resource for its Information Governance team; and</w:t>
        <w:br/>
        <w:t xml:space="preserve">g. a staff </w:t>
      </w:r>
      <w:r>
        <w:rPr>
          <w:rStyle w:val="CharStyle17"/>
          <w:i/>
          <w:iCs/>
        </w:rPr>
        <w:t>"communication plan".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04" w:val="left"/>
        </w:tabs>
        <w:bidi w:val="0"/>
        <w:spacing w:before="0" w:after="320" w:line="286" w:lineRule="auto"/>
        <w:ind w:left="0" w:right="0" w:firstLine="0"/>
        <w:jc w:val="left"/>
      </w:pPr>
      <w:r>
        <w:rPr>
          <w:rStyle w:val="CharStyle17"/>
        </w:rPr>
        <w:t>Manx Care's representations also state that it has:</w:t>
      </w:r>
    </w:p>
    <w:p>
      <w:pPr>
        <w:pStyle w:val="Style1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775" w:val="left"/>
        </w:tabs>
        <w:bidi w:val="0"/>
        <w:spacing w:before="0" w:after="0"/>
        <w:ind w:left="0" w:right="0" w:firstLine="360"/>
        <w:jc w:val="left"/>
      </w:pPr>
      <w:r>
        <w:rPr>
          <w:rStyle w:val="CharStyle17"/>
          <w:i/>
          <w:iCs/>
        </w:rPr>
        <w:t>"purchased a number of temporary licences from UK NHS Digital for the secure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800" w:right="0" w:firstLine="0"/>
        <w:jc w:val="left"/>
      </w:pPr>
      <w:r>
        <w:rPr>
          <w:rStyle w:val="CharStyle17"/>
          <w:i/>
          <w:iCs/>
        </w:rPr>
        <w:t>transmission of email. These licences include access to Egress, a secure document</w:t>
        <w:t>-</w:t>
        <w:br/>
        <w:t>sharing system, should the need arise to send patient data to a non-secure email</w:t>
        <w:br/>
        <w:t>service";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800"/>
        <w:jc w:val="left"/>
      </w:pPr>
      <w:r>
        <w:rPr>
          <w:rStyle w:val="CharStyle17"/>
        </w:rPr>
        <w:t>and</w:t>
      </w:r>
    </w:p>
    <w:p>
      <w:pPr>
        <w:pStyle w:val="Style1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08" w:val="left"/>
        </w:tabs>
        <w:bidi w:val="0"/>
        <w:spacing w:before="0" w:after="320"/>
        <w:ind w:left="800" w:right="0" w:hanging="420"/>
        <w:jc w:val="left"/>
      </w:pPr>
      <w:r>
        <w:rPr>
          <w:rStyle w:val="CharStyle17"/>
          <w:i/>
          <w:iCs/>
        </w:rPr>
        <w:t>"submitted its application to NHS Digital for secure email accreditation</w:t>
      </w:r>
      <w:r>
        <w:rPr>
          <w:rStyle w:val="CharStyle17"/>
        </w:rPr>
        <w:t xml:space="preserve"> [for gov.im</w:t>
        <w:br/>
        <w:t xml:space="preserve">email addresses] </w:t>
      </w:r>
      <w:r>
        <w:rPr>
          <w:rStyle w:val="CharStyle17"/>
          <w:i/>
          <w:iCs/>
        </w:rPr>
        <w:t>under DCB1596, the secure email standard for health and care</w:t>
        <w:br/>
        <w:t>organisations to assure their email service to enable safe email communications with</w:t>
        <w:br/>
        <w:t>NHS organisations."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04" w:val="left"/>
        </w:tabs>
        <w:bidi w:val="0"/>
        <w:spacing w:before="0" w:after="320" w:line="302" w:lineRule="auto"/>
        <w:ind w:left="360" w:right="0" w:hanging="360"/>
        <w:jc w:val="left"/>
      </w:pPr>
      <w:r>
        <w:rPr>
          <w:rStyle w:val="CharStyle17"/>
        </w:rPr>
        <w:t>The Commissioner observes that accreditation by NHS Digital has not yet been granted,</w:t>
        <w:br/>
        <w:t xml:space="preserve">that accreditation is "... </w:t>
      </w:r>
      <w:r>
        <w:rPr>
          <w:rStyle w:val="CharStyle17"/>
          <w:i/>
          <w:iCs/>
        </w:rPr>
        <w:t>valid only for organisations that provide health and social care,</w:t>
        <w:br/>
        <w:t>have an active Organisation Data Service (ODS) code and need to exchange sensitive</w:t>
        <w:br/>
        <w:t>information.</w:t>
      </w:r>
      <w:r>
        <w:rPr>
          <w:rStyle w:val="CharStyle17"/>
          <w:i/>
          <w:iCs/>
          <w:vertAlign w:val="superscript"/>
        </w:rPr>
        <w:footnoteReference w:id="2"/>
      </w:r>
      <w:r>
        <w:rPr>
          <w:rStyle w:val="CharStyle17"/>
          <w:i/>
          <w:iCs/>
        </w:rPr>
        <w:t>"</w:t>
      </w:r>
      <w:r>
        <w:rPr>
          <w:rStyle w:val="CharStyle17"/>
        </w:rPr>
        <w:t xml:space="preserve"> and </w:t>
      </w:r>
      <w:r>
        <w:rPr>
          <w:rStyle w:val="CharStyle17"/>
          <w:i/>
          <w:iCs/>
        </w:rPr>
        <w:t>"All accreditations are valid for one year only and must be renewed</w:t>
        <w:br/>
        <w:t>every year."</w:t>
      </w:r>
      <w:r>
        <w:rPr>
          <w:rStyle w:val="CharStyle17"/>
          <w:i/>
          <w:iCs/>
          <w:vertAlign w:val="superscript"/>
        </w:rPr>
        <w:footnoteReference w:id="3"/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90" w:val="left"/>
        </w:tabs>
        <w:bidi w:val="0"/>
        <w:spacing w:before="0" w:after="320"/>
        <w:ind w:left="360" w:right="0" w:hanging="360"/>
        <w:jc w:val="left"/>
      </w:pPr>
      <w:r>
        <w:rPr>
          <w:rStyle w:val="CharStyle17"/>
        </w:rPr>
        <w:t xml:space="preserve">However, neither DCB1596 accreditation, the </w:t>
      </w:r>
      <w:r>
        <w:rPr>
          <w:rStyle w:val="CharStyle17"/>
          <w:i/>
          <w:iCs/>
        </w:rPr>
        <w:t>"licences from UK NHS Digital",</w:t>
      </w:r>
      <w:r>
        <w:rPr>
          <w:rStyle w:val="CharStyle17"/>
        </w:rPr>
        <w:t xml:space="preserve"> nor any of</w:t>
        <w:br/>
        <w:t>the commercial secure email applications, such as Egress and Sophos also mentioned by</w:t>
        <w:br/>
        <w:t>Manx Care in correspondence, appear to provide encryption solutions, or other security</w:t>
        <w:br/>
        <w:t xml:space="preserve">measures, for emails or attachments </w:t>
      </w:r>
      <w:r>
        <w:rPr>
          <w:rStyle w:val="CharStyle17"/>
          <w:b/>
          <w:bCs/>
        </w:rPr>
        <w:t xml:space="preserve">sent internally </w:t>
      </w:r>
      <w:r>
        <w:rPr>
          <w:rStyle w:val="CharStyle17"/>
        </w:rPr>
        <w:t>within Manx Care including to any</w:t>
        <w:br/>
        <w:t>gov.im email addresses.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95" w:val="left"/>
        </w:tabs>
        <w:bidi w:val="0"/>
        <w:spacing w:before="0" w:after="320" w:line="264" w:lineRule="auto"/>
        <w:ind w:left="360" w:right="0" w:hanging="360"/>
        <w:jc w:val="left"/>
      </w:pPr>
      <w:r>
        <w:rPr>
          <w:rStyle w:val="CharStyle17"/>
        </w:rPr>
        <w:t>With the exception of the sole completed action (paragraph 12), the points described in</w:t>
        <w:br/>
        <w:t>paragraphs 13-15 above, while indicating intention to change, do not provide any</w:t>
        <w:br/>
        <w:t>mitigation to the failures and infringements caused by PDB2021/0087, or provide</w:t>
        <w:br/>
        <w:t>solutions to prevent further similar personal data breaches.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90" w:val="left"/>
        </w:tabs>
        <w:bidi w:val="0"/>
        <w:spacing w:before="0" w:after="360"/>
        <w:ind w:left="0" w:right="0" w:firstLine="0"/>
        <w:jc w:val="left"/>
      </w:pPr>
      <w:r>
        <w:rPr>
          <w:rStyle w:val="CharStyle17"/>
        </w:rPr>
        <w:t>As to aggravating factors: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0"/>
        <w:ind w:left="800" w:right="0" w:hanging="440"/>
        <w:jc w:val="left"/>
      </w:pPr>
      <w:r>
        <w:rPr>
          <w:rStyle w:val="CharStyle17"/>
        </w:rPr>
        <w:t>Special category data (data relating to health) was disclosed. Special category data</w:t>
        <w:br/>
        <w:t>merit higher protection and the processing of special category data, by its nature,</w:t>
        <w:br/>
        <w:t>poses a higher risk to the rights and freedoms of data subjects.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0"/>
        <w:ind w:left="800" w:right="0" w:hanging="440"/>
        <w:jc w:val="left"/>
      </w:pPr>
      <w:r>
        <w:rPr>
          <w:rStyle w:val="CharStyle17"/>
        </w:rPr>
        <w:t>Articles 5(1 )(f), 24, 25 and 32 each require 'appropriate technical and organisational</w:t>
        <w:br/>
        <w:t>measures' to be implemented, which take into account the risk to the rights and</w:t>
        <w:br/>
        <w:t>freedoms of data subjects.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0"/>
        <w:ind w:left="800" w:right="0" w:hanging="440"/>
        <w:jc w:val="left"/>
      </w:pPr>
      <w:r>
        <w:rPr>
          <w:rStyle w:val="CharStyle17"/>
        </w:rPr>
        <w:t>The Enforcement Notice issued in October 2020 ("EN2020") required Manx Care to</w:t>
        <w:br/>
        <w:t>implement such measures.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0"/>
        <w:ind w:left="800" w:right="0" w:hanging="440"/>
        <w:jc w:val="left"/>
      </w:pPr>
      <w:r>
        <w:rPr>
          <w:rStyle w:val="CharStyle17"/>
        </w:rPr>
        <w:t>Manx Care failed to take the actions it mentioned in various correspondence to the</w:t>
        <w:br/>
        <w:t>Commissioner.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0"/>
        <w:ind w:left="800" w:right="0" w:hanging="440"/>
        <w:jc w:val="left"/>
      </w:pPr>
      <w:r>
        <w:rPr>
          <w:rStyle w:val="CharStyle17"/>
        </w:rPr>
        <w:t>A further, explicit, Enforcement Notice was issued to Manx Care on 25 February 2022</w:t>
        <w:br/>
        <w:t xml:space="preserve">("EN2022"). EN2022 required Manx Care, by 26 June 2022, inter alia, to </w:t>
      </w:r>
      <w:r>
        <w:rPr>
          <w:rStyle w:val="CharStyle17"/>
          <w:i/>
          <w:iCs/>
        </w:rPr>
        <w:t>"implement</w:t>
        <w:br/>
        <w:t>appropriate technical and organisational measures to ensure a level of security</w:t>
        <w:br/>
        <w:t>appropriate to the risk in accordance with Article 32, with particular emphasis on, but</w:t>
        <w:br/>
        <w:t>not restricted to special category data currently sent in email attachments".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0"/>
        <w:ind w:left="0" w:right="0" w:firstLine="360"/>
        <w:jc w:val="left"/>
      </w:pPr>
      <w:r>
        <w:rPr>
          <w:rStyle w:val="CharStyle17"/>
        </w:rPr>
        <w:t>Manx Care again failed to implement any measures.</w:t>
      </w:r>
    </w:p>
    <w:p>
      <w:pPr>
        <w:pStyle w:val="Style1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795" w:val="left"/>
        </w:tabs>
        <w:bidi w:val="0"/>
        <w:spacing w:before="0" w:after="320"/>
        <w:ind w:left="800" w:right="0" w:hanging="440"/>
        <w:jc w:val="left"/>
      </w:pPr>
      <w:r>
        <w:rPr>
          <w:rStyle w:val="CharStyle17"/>
        </w:rPr>
        <w:t>Similar personal data breaches have occurred since PDB2021/0087, including those</w:t>
        <w:br/>
        <w:t>reported to the Commissioner in December 2021, and in January, April and May</w:t>
        <w:br/>
        <w:t>2022.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05" w:val="left"/>
        </w:tabs>
        <w:bidi w:val="0"/>
        <w:spacing w:before="0" w:after="320"/>
        <w:ind w:left="360" w:right="0" w:hanging="360"/>
        <w:jc w:val="left"/>
      </w:pPr>
      <w:r>
        <w:rPr>
          <w:rStyle w:val="CharStyle17"/>
        </w:rPr>
        <w:t>In addition, on 24 June 2022, in a separate letter to the Commissioner regarding EN2022,</w:t>
        <w:br/>
        <w:t>Manx Care repeated all the proposals described above in paragraphs 13-15.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10" w:val="left"/>
        </w:tabs>
        <w:bidi w:val="0"/>
        <w:spacing w:before="0" w:after="320" w:line="264" w:lineRule="auto"/>
        <w:ind w:left="360" w:right="0" w:hanging="360"/>
        <w:jc w:val="left"/>
      </w:pPr>
      <w:r>
        <w:rPr>
          <w:rStyle w:val="CharStyle17"/>
        </w:rPr>
        <w:t>The proposals described in paragraphs 13-15 above had also been submitted to the</w:t>
        <w:br/>
        <w:t>Commissioner on 9 June 2022, in an email relating to a similar personal data breach</w:t>
        <w:br/>
        <w:t>reported in April 2022.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10" w:val="left"/>
        </w:tabs>
        <w:bidi w:val="0"/>
        <w:spacing w:before="0" w:after="320" w:line="264" w:lineRule="auto"/>
        <w:ind w:left="360" w:right="0" w:hanging="360"/>
        <w:jc w:val="left"/>
      </w:pPr>
      <w:r>
        <w:rPr>
          <w:rStyle w:val="CharStyle17"/>
        </w:rPr>
        <w:t>The immediate problem at the core of PDB2021/0087, the Notice of Intent, EN2022 and</w:t>
        <w:br/>
        <w:t>the cause of other similar personal data breaches that have occurred since</w:t>
        <w:br/>
        <w:t xml:space="preserve">PDB2021/0087, is the </w:t>
      </w:r>
      <w:r>
        <w:rPr>
          <w:rStyle w:val="CharStyle17"/>
          <w:i/>
          <w:iCs/>
        </w:rPr>
        <w:t>sending of emails and attachments containing special category</w:t>
        <w:br/>
        <w:t>data to incorrect internal email recipients (including those within the wider @gov.im</w:t>
        <w:br/>
        <w:t>email domain).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05" w:val="left"/>
        </w:tabs>
        <w:bidi w:val="0"/>
        <w:spacing w:before="0" w:after="320"/>
        <w:ind w:left="360" w:right="0" w:hanging="360"/>
        <w:jc w:val="left"/>
      </w:pPr>
      <w:r>
        <w:rPr>
          <w:rStyle w:val="CharStyle17"/>
        </w:rPr>
        <w:t>Manx Care's proposals, as described in paragraphs 13-15, do not provide any solution to</w:t>
        <w:br/>
        <w:t>the problem.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19" w:val="left"/>
        </w:tabs>
        <w:bidi w:val="0"/>
        <w:spacing w:before="0" w:after="240"/>
        <w:ind w:left="360" w:right="0" w:hanging="360"/>
        <w:jc w:val="left"/>
      </w:pPr>
      <w:r>
        <w:rPr>
          <w:rStyle w:val="CharStyle17"/>
          <w:b/>
          <w:bCs/>
        </w:rPr>
        <w:t>Manx Care's continuing lack of technical measures in respect of the immediate</w:t>
        <w:br/>
        <w:t>problem, and any proposed or foreseeable implementation of such, is, therefore, of</w:t>
        <w:br/>
        <w:t>serious concern and poses an ongoing risk to the rights and freedoms of data subjects.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180" w:line="307" w:lineRule="auto"/>
        <w:ind w:left="0" w:right="0" w:firstLine="0"/>
        <w:jc w:val="left"/>
      </w:pPr>
      <w:bookmarkStart w:id="10" w:name="bookmark10"/>
      <w:r>
        <w:rPr>
          <w:rStyle w:val="CharStyle20"/>
          <w:b/>
          <w:bCs/>
        </w:rPr>
        <w:t>Imposition of the penalty</w:t>
      </w:r>
      <w:bookmarkEnd w:id="10"/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19" w:val="left"/>
        </w:tabs>
        <w:bidi w:val="0"/>
        <w:spacing w:before="0" w:after="320" w:line="312" w:lineRule="auto"/>
        <w:ind w:left="360" w:right="0" w:hanging="360"/>
        <w:jc w:val="left"/>
      </w:pPr>
      <w:r>
        <w:rPr>
          <w:rStyle w:val="CharStyle17"/>
        </w:rPr>
        <w:t>The Commissioner, in imposing a penalty, must have regard to the matters mentioned in</w:t>
        <w:br/>
        <w:t>Article 83(2), which are: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74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the nature, gravity and duration of the infringement taking into account the</w:t>
        <w:br/>
        <w:t>nature scope or purpose of the processing concerned as well as the number of data</w:t>
        <w:br/>
        <w:t>subjects affected and the level of damage suffered by them;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69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the intentional or negligent character of the infringement;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44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any action taken by the controller or processor to mitigate the damage suffered</w:t>
        <w:br/>
        <w:t>by data subjects;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69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the degree of responsibility of the controller or processor taking into account</w:t>
        <w:br/>
        <w:t>technical and organisational measures implemented by them pursuant to Articles</w:t>
        <w:br/>
        <w:t>25 and 32;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54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any relevant previous infringements by the controller or processor;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09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the degree of cooperation with the supervisory authority, in order to remedy the</w:t>
        <w:br/>
        <w:t>infringement and mitigate the possible adverse effects of the infringement;</w:t>
      </w:r>
    </w:p>
    <w:p>
      <w:pPr>
        <w:pStyle w:val="Style1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459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the categories of personal data affected by the infringement;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(h)the manner in which the infringement became known to the supervisory</w:t>
        <w:br/>
        <w:t>authority, in particular whether, and if so to what extent, the controller or processor</w:t>
        <w:br/>
        <w:t>notified the infringement;</w:t>
      </w:r>
    </w:p>
    <w:p>
      <w:pPr>
        <w:pStyle w:val="Style16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409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where measures referred to in Article 58(2) have previously been ordered against</w:t>
        <w:br/>
        <w:t>the controller or processor concerned with regard to the same subject matter,</w:t>
        <w:br/>
        <w:t>compliance with those measures;</w:t>
      </w:r>
    </w:p>
    <w:p>
      <w:pPr>
        <w:pStyle w:val="Style16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404" w:val="left"/>
        </w:tabs>
        <w:bidi w:val="0"/>
        <w:spacing w:before="0" w:after="0" w:line="307" w:lineRule="auto"/>
        <w:ind w:left="1080" w:right="0" w:firstLine="0"/>
        <w:jc w:val="left"/>
      </w:pPr>
      <w:r>
        <w:rPr>
          <w:rStyle w:val="CharStyle17"/>
          <w:i/>
          <w:iCs/>
        </w:rPr>
        <w:t>adherence to approved codes of conduct pursuant to Article 40 or approved</w:t>
        <w:br/>
        <w:t>certification mechanisms pursuant to Article 42; and</w:t>
      </w:r>
    </w:p>
    <w:p>
      <w:pPr>
        <w:pStyle w:val="Style16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459" w:val="left"/>
        </w:tabs>
        <w:bidi w:val="0"/>
        <w:spacing w:before="0" w:after="320" w:line="307" w:lineRule="auto"/>
        <w:ind w:left="1080" w:right="0" w:firstLine="0"/>
        <w:jc w:val="left"/>
      </w:pPr>
      <w:r>
        <w:rPr>
          <w:rStyle w:val="CharStyle17"/>
          <w:i/>
          <w:iCs/>
        </w:rPr>
        <w:t>any other aggravating or mitigating factor applicable to the circumstances of the</w:t>
        <w:br/>
        <w:t>case, such as financial benefits gained, or losses avoided, directly or indirectly, from</w:t>
        <w:br/>
        <w:t>the infringement.</w:t>
      </w:r>
    </w:p>
    <w:p>
      <w:pPr>
        <w:pStyle w:val="Style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419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 xml:space="preserve">In respect of the </w:t>
      </w:r>
      <w:r>
        <w:rPr>
          <w:rStyle w:val="CharStyle17"/>
          <w:b/>
          <w:bCs/>
        </w:rPr>
        <w:t xml:space="preserve">specific personal data breach PDB2021/0087 </w:t>
      </w:r>
      <w:r>
        <w:rPr>
          <w:rStyle w:val="CharStyle17"/>
        </w:rPr>
        <w:t>to which this penalty</w:t>
        <w:br/>
        <w:t>notice relates, the Commissioner has had regard to paragraphs (a), (b), (c), (d) (e), (f), (g),</w:t>
        <w:br/>
        <w:t>(h) and (i) of Article 83(2). Paragraphs (j) and (k) are not relevant in this case.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302" w:lineRule="auto"/>
        <w:ind w:left="1440" w:right="0" w:firstLine="0"/>
        <w:jc w:val="left"/>
      </w:pPr>
      <w:r>
        <w:rPr>
          <w:rStyle w:val="CharStyle17"/>
          <w:i/>
          <w:iCs/>
        </w:rPr>
        <w:t>(a)the nature, gravity and duration of the infringement taking into account</w:t>
        <w:br/>
        <w:t>the nature scope or purpose of the processing concerned as well as the</w:t>
        <w:br/>
        <w:t>number of data subjects affected and the level of damage suffered by them;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1060" w:right="0" w:firstLine="20"/>
        <w:jc w:val="left"/>
      </w:pPr>
      <w:r>
        <w:rPr>
          <w:rStyle w:val="CharStyle17"/>
        </w:rPr>
        <w:t>Special category data was sent in an insecure attachment by email to more than</w:t>
        <w:br/>
        <w:t>1870 recipients. The Commissioner considers that damage or distress is likely as a</w:t>
        <w:br/>
        <w:t>result of that processing and associated breach of professional confidentiality.</w:t>
      </w:r>
    </w:p>
    <w:p>
      <w:pPr>
        <w:pStyle w:val="Style1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810" w:val="left"/>
        </w:tabs>
        <w:bidi w:val="0"/>
        <w:spacing w:before="0" w:after="320" w:line="307" w:lineRule="auto"/>
        <w:ind w:left="1420" w:right="0" w:firstLine="0"/>
        <w:jc w:val="left"/>
      </w:pPr>
      <w:r>
        <w:rPr>
          <w:rStyle w:val="CharStyle17"/>
          <w:i/>
          <w:iCs/>
        </w:rPr>
        <w:t>the intentional or negligent character of the infringement;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1060" w:right="0" w:firstLine="20"/>
        <w:jc w:val="left"/>
      </w:pPr>
      <w:r>
        <w:rPr>
          <w:rStyle w:val="CharStyle17"/>
        </w:rPr>
        <w:t>The Commissioner considers that, to the extent that 2 email groups were selected</w:t>
        <w:br/>
        <w:t>on multiple occasions, and 5 other different email groups were also selected, the</w:t>
        <w:br/>
        <w:t>infringements were intentional.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1060" w:right="0" w:firstLine="20"/>
        <w:jc w:val="left"/>
      </w:pPr>
      <w:r>
        <w:rPr>
          <w:rStyle w:val="CharStyle17"/>
        </w:rPr>
        <w:t>The Commissioner also considers that the infringements were negligent, as Manx</w:t>
        <w:br/>
        <w:t>Care did not have an up-to-date form, or procedural guidance or other</w:t>
        <w:br/>
        <w:t>information readily available for staff to refer to.</w:t>
      </w:r>
    </w:p>
    <w:p>
      <w:pPr>
        <w:pStyle w:val="Style1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790" w:val="left"/>
        </w:tabs>
        <w:bidi w:val="0"/>
        <w:spacing w:before="0" w:after="320" w:line="307" w:lineRule="auto"/>
        <w:ind w:left="1420" w:right="0" w:firstLine="20"/>
        <w:jc w:val="left"/>
      </w:pPr>
      <w:r>
        <w:rPr>
          <w:rStyle w:val="CharStyle17"/>
          <w:i/>
          <w:iCs/>
        </w:rPr>
        <w:t>any action taken by the controller or processor to mitigate the damage</w:t>
        <w:br/>
        <w:t>suffered by data subjects;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7" w:lineRule="auto"/>
        <w:ind w:left="1060" w:right="0" w:firstLine="20"/>
        <w:jc w:val="left"/>
      </w:pPr>
      <w:r>
        <w:rPr>
          <w:rStyle w:val="CharStyle17"/>
        </w:rPr>
        <w:t>Manx Care has not informed the Commissioner of any action it has taken to</w:t>
        <w:br/>
        <w:t>mitigate any damage suffered by the data subjects.</w:t>
      </w:r>
    </w:p>
    <w:p>
      <w:pPr>
        <w:pStyle w:val="Style1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820" w:val="left"/>
        </w:tabs>
        <w:bidi w:val="0"/>
        <w:spacing w:before="0" w:after="320" w:line="307" w:lineRule="auto"/>
        <w:ind w:left="1420" w:right="0" w:firstLine="20"/>
        <w:jc w:val="left"/>
      </w:pPr>
      <w:r>
        <w:rPr>
          <w:rStyle w:val="CharStyle17"/>
          <w:i/>
          <w:iCs/>
        </w:rPr>
        <w:t>the degree of responsibility of the controller or processor taking into</w:t>
        <w:br/>
        <w:t>account technical and organisational measures implemented by them</w:t>
        <w:br/>
        <w:t>pursuant to Articles 25 and 32;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7" w:lineRule="auto"/>
        <w:ind w:left="1060" w:right="0" w:firstLine="20"/>
        <w:jc w:val="left"/>
      </w:pPr>
      <w:r>
        <w:rPr>
          <w:rStyle w:val="CharStyle17"/>
        </w:rPr>
        <w:t>Manx Care did not have appropriate technical and organisational measures to</w:t>
        <w:br/>
        <w:t>ensure a level of security appropriate to the risk when the personal data breach</w:t>
        <w:br/>
        <w:t>occurred.</w:t>
      </w:r>
    </w:p>
    <w:p>
      <w:pPr>
        <w:pStyle w:val="Style1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790" w:val="left"/>
        </w:tabs>
        <w:bidi w:val="0"/>
        <w:spacing w:before="0" w:after="320" w:line="307" w:lineRule="auto"/>
        <w:ind w:left="1420" w:right="0" w:firstLine="0"/>
        <w:jc w:val="left"/>
      </w:pPr>
      <w:r>
        <w:rPr>
          <w:rStyle w:val="CharStyle17"/>
          <w:i/>
          <w:iCs/>
        </w:rPr>
        <w:t>any relevant previous infringements by the controller or processor;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7" w:lineRule="auto"/>
        <w:ind w:left="1060" w:right="0" w:firstLine="20"/>
        <w:jc w:val="left"/>
      </w:pPr>
      <w:r>
        <w:rPr>
          <w:rStyle w:val="CharStyle17"/>
        </w:rPr>
        <w:t>The Enforcement Notice issued on 29 October 2020 (EN2020) related to similar</w:t>
        <w:br/>
        <w:t>personal data breaches and infringements.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7" w:lineRule="auto"/>
        <w:ind w:left="1420" w:right="0" w:firstLine="20"/>
        <w:jc w:val="left"/>
      </w:pPr>
      <w:r>
        <w:rPr>
          <w:rStyle w:val="CharStyle17"/>
          <w:i/>
          <w:iCs/>
        </w:rPr>
        <w:t>(f)the degree of cooperation with the supervisory authority, in order to</w:t>
        <w:br/>
        <w:t>remedy the infringement and mitigate the possible adverse effects of the</w:t>
        <w:br/>
        <w:t>infringement;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1060" w:right="0" w:firstLine="20"/>
        <w:jc w:val="left"/>
      </w:pPr>
      <w:r>
        <w:rPr>
          <w:rStyle w:val="CharStyle17"/>
        </w:rPr>
        <w:t>Co-operation is a statutory obligation and does not amount to any mitigation.</w:t>
        <w:br/>
        <w:t>Although Manx Care did co-operate with the Commissioner to the extent that it</w:t>
        <w:br/>
        <w:t>sent responses to the Commissioner within the specified timeframes, it did not co</w:t>
        <w:t>-</w:t>
        <w:br/>
        <w:t>operate with the Commissioner's requirement to inform the data subjects of the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7" w:lineRule="auto"/>
        <w:ind w:left="1080" w:right="0" w:firstLine="20"/>
        <w:jc w:val="left"/>
      </w:pPr>
      <w:r>
        <w:rPr>
          <w:rStyle w:val="CharStyle17"/>
        </w:rPr>
        <w:t xml:space="preserve">personal data breach in accordance with Article 34 </w:t>
      </w:r>
      <w:r>
        <w:rPr>
          <w:rStyle w:val="CharStyle17"/>
          <w:i/>
          <w:iCs/>
        </w:rPr>
        <w:t>"without further delay, but in</w:t>
        <w:br/>
        <w:t xml:space="preserve">any event </w:t>
      </w:r>
      <w:r>
        <w:rPr>
          <w:rStyle w:val="CharStyle17"/>
          <w:b/>
          <w:bCs/>
          <w:i/>
          <w:iCs/>
          <w:u w:val="single"/>
        </w:rPr>
        <w:t>by</w:t>
      </w:r>
      <w:r>
        <w:rPr>
          <w:rStyle w:val="CharStyle17"/>
          <w:b/>
          <w:bCs/>
          <w:i/>
          <w:iCs/>
        </w:rPr>
        <w:t xml:space="preserve"> </w:t>
      </w:r>
      <w:r>
        <w:rPr>
          <w:rStyle w:val="CharStyle17"/>
          <w:i/>
          <w:iCs/>
        </w:rPr>
        <w:t>24 December 2021".</w:t>
      </w:r>
      <w:r>
        <w:rPr>
          <w:rStyle w:val="CharStyle17"/>
        </w:rPr>
        <w:t xml:space="preserve"> (emphasis added)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1440" w:right="0" w:firstLine="0"/>
        <w:jc w:val="left"/>
      </w:pPr>
      <w:r>
        <w:rPr>
          <w:rStyle w:val="CharStyle17"/>
          <w:i/>
          <w:iCs/>
        </w:rPr>
        <w:t>(g) the categories of personal data affected by the infringement;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1080" w:right="0" w:firstLine="20"/>
        <w:jc w:val="left"/>
      </w:pPr>
      <w:r>
        <w:rPr>
          <w:rStyle w:val="CharStyle17"/>
        </w:rPr>
        <w:t xml:space="preserve">The personal data affected by the infringements includes </w:t>
      </w:r>
      <w:r>
        <w:rPr>
          <w:rStyle w:val="CharStyle17"/>
          <w:i/>
          <w:iCs/>
        </w:rPr>
        <w:t>special category data,</w:t>
        <w:br/>
      </w:r>
      <w:r>
        <w:rPr>
          <w:rStyle w:val="CharStyle17"/>
        </w:rPr>
        <w:t>i.e. data relating to health, together with demographic details of the patient,</w:t>
        <w:br/>
        <w:t>together with name and contact details of the next of kin.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1440" w:right="0" w:firstLine="20"/>
        <w:jc w:val="left"/>
      </w:pPr>
      <w:r>
        <w:rPr>
          <w:rStyle w:val="CharStyle17"/>
          <w:i/>
          <w:iCs/>
        </w:rPr>
        <w:t>(h)the manner in which the infringement became known to the supervisory</w:t>
        <w:br/>
        <w:t>authority, in particular whether, and if so to what extent, the controller or</w:t>
        <w:br/>
        <w:t>processor notified the infringement;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1080" w:right="0" w:firstLine="20"/>
        <w:jc w:val="left"/>
      </w:pPr>
      <w:r>
        <w:rPr>
          <w:rStyle w:val="CharStyle17"/>
        </w:rPr>
        <w:t>The Commissioner became aware of the infringements following receipt of a</w:t>
        <w:br/>
        <w:t>personal data breach report made by Manx Care in accordance with Article 33.</w:t>
      </w:r>
    </w:p>
    <w:p>
      <w:pPr>
        <w:pStyle w:val="Style16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777" w:val="left"/>
        </w:tabs>
        <w:bidi w:val="0"/>
        <w:spacing w:before="0" w:after="320" w:line="307" w:lineRule="auto"/>
        <w:ind w:left="1440" w:right="0" w:firstLine="20"/>
        <w:jc w:val="left"/>
      </w:pPr>
      <w:r>
        <w:rPr>
          <w:rStyle w:val="CharStyle17"/>
          <w:i/>
          <w:iCs/>
        </w:rPr>
        <w:t>where measures referred to in Article 58(2) have previously been ordered</w:t>
        <w:br/>
        <w:t>against the controller or processor concerned with regard to the same subject</w:t>
        <w:br/>
        <w:t>matter, compliance with those measures;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680" w:line="305" w:lineRule="auto"/>
        <w:ind w:left="1080" w:right="0" w:firstLine="0"/>
        <w:jc w:val="left"/>
      </w:pPr>
      <w:r>
        <w:rPr>
          <w:rStyle w:val="CharStyle17"/>
        </w:rPr>
        <w:t>Manx Care continues to be subject to, but has failed to comply with, EN2020.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320" w:line="305" w:lineRule="auto"/>
        <w:ind w:left="0" w:right="0" w:firstLine="0"/>
        <w:jc w:val="left"/>
      </w:pPr>
      <w:bookmarkStart w:id="12" w:name="bookmark12"/>
      <w:r>
        <w:rPr>
          <w:rStyle w:val="CharStyle20"/>
          <w:b/>
          <w:bCs/>
        </w:rPr>
        <w:t>Amount of penalty</w:t>
      </w:r>
      <w:bookmarkEnd w:id="12"/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7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>The maximum amount of penalty specified in Article 83(5) and 83(6) does not apply in the</w:t>
        <w:br/>
        <w:t>Isle of Man, and, instead, Regulation 114 sets out the maximum penalty that the</w:t>
        <w:br/>
        <w:t>Commissioner may impose for any particular infringement, which is £1,000,000 (one</w:t>
        <w:br/>
        <w:t>million pounds).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7" w:val="left"/>
        </w:tabs>
        <w:bidi w:val="0"/>
        <w:spacing w:before="0" w:after="320" w:line="302" w:lineRule="auto"/>
        <w:ind w:left="360" w:right="0" w:hanging="360"/>
        <w:jc w:val="left"/>
      </w:pPr>
      <w:r>
        <w:rPr>
          <w:rStyle w:val="CharStyle17"/>
        </w:rPr>
        <w:t>Regulations must, however, be read and construed as subordinate to the Applied GDPR,</w:t>
        <w:br/>
        <w:t>in accordance with Regulation 3, and the penalty should, therefore, reflect the more</w:t>
        <w:br/>
        <w:t>serious and significant infringements imputed in the Applied GDPR.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7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>The Commissioner is satisfied that a penalty is appropriate in the circumstances and, in</w:t>
        <w:br/>
        <w:t>calculating the penalty, the Commissioner has taken into account the size of Manx Care,</w:t>
        <w:br/>
        <w:t>the nature of personal data processed, the seriousness of infringements and its allocated</w:t>
        <w:br/>
        <w:t>Revenue Budget.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7" w:val="left"/>
        </w:tabs>
        <w:bidi w:val="0"/>
        <w:spacing w:before="0" w:after="320" w:line="307" w:lineRule="auto"/>
        <w:ind w:left="360" w:right="0" w:hanging="360"/>
        <w:jc w:val="left"/>
      </w:pPr>
      <w:r>
        <w:rPr>
          <w:rStyle w:val="CharStyle17"/>
        </w:rPr>
        <w:t>In the Notice of Intent, the Commissioner proposed to impose a penalty of £170,500.00</w:t>
        <w:br/>
        <w:t>(One Hundred and Seventy Thousand and Five Hundred Pounds).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12" w:val="left"/>
        </w:tabs>
        <w:bidi w:val="0"/>
        <w:spacing w:before="0" w:after="320" w:line="307" w:lineRule="auto"/>
        <w:ind w:left="360" w:right="0" w:hanging="360"/>
        <w:jc w:val="left"/>
      </w:pPr>
      <w:r>
        <w:rPr>
          <w:rStyle w:val="CharStyle17"/>
        </w:rPr>
        <w:t>Manx Care's representations did not contain any matter that affected the amount of the</w:t>
        <w:br/>
        <w:t>penalty proposed on 24 May 2022.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7" w:val="left"/>
        </w:tabs>
        <w:bidi w:val="0"/>
        <w:spacing w:before="0" w:after="800" w:line="305" w:lineRule="auto"/>
        <w:ind w:left="360" w:right="0" w:hanging="360"/>
        <w:jc w:val="left"/>
      </w:pPr>
      <w:r>
        <w:rPr>
          <w:rStyle w:val="CharStyle17"/>
        </w:rPr>
        <w:t>Mindful that the penalty must be effective, proportionate and dissuasive, and taking all</w:t>
        <w:br/>
        <w:t xml:space="preserve">the above factors into account, the Commissioner </w:t>
      </w:r>
      <w:r>
        <w:rPr>
          <w:rStyle w:val="CharStyle17"/>
          <w:b/>
          <w:bCs/>
        </w:rPr>
        <w:t>has decided to impose a penalty of</w:t>
        <w:br/>
        <w:t xml:space="preserve">£170,500.00 </w:t>
      </w:r>
      <w:r>
        <w:rPr>
          <w:rStyle w:val="CharStyle17"/>
        </w:rPr>
        <w:t>(One Hundred and Seventy Thousand and Five Hundred Pounds) on Manx</w:t>
        <w:br/>
        <w:t>Care.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00" w:line="305" w:lineRule="auto"/>
        <w:ind w:left="0" w:right="0" w:firstLine="0"/>
        <w:jc w:val="left"/>
      </w:pPr>
      <w:bookmarkStart w:id="14" w:name="bookmark14"/>
      <w:r>
        <w:rPr>
          <w:rStyle w:val="CharStyle20"/>
          <w:b/>
          <w:bCs/>
        </w:rPr>
        <w:t>Payment of penalty - paragraph 6 of Schedule 5 to the Implementing Regulations</w:t>
      </w:r>
      <w:bookmarkEnd w:id="14"/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2" w:val="left"/>
        </w:tabs>
        <w:bidi w:val="0"/>
        <w:spacing w:before="0" w:after="320" w:line="307" w:lineRule="auto"/>
        <w:ind w:left="360" w:right="0" w:hanging="360"/>
        <w:jc w:val="left"/>
      </w:pPr>
      <w:r>
        <w:rPr>
          <w:rStyle w:val="CharStyle17"/>
        </w:rPr>
        <w:t>The Commissioner has the tasks to monitor and enforce the data protection legislation</w:t>
        <w:br/>
        <w:t>and promote the awareness of controllers of their obligations by encouraging good</w:t>
        <w:br/>
        <w:t>practice.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2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>The Commissioner has decided, therefore, subject to Manx Care's compliance with the</w:t>
        <w:br/>
        <w:t>conditions set out in paragraph 35, to stay the penalty until 31 December 2022 to allow</w:t>
        <w:br/>
        <w:t>Manx Care further time to put appropriate technical and organisational measures in place</w:t>
        <w:br/>
        <w:t>to minimise the risk of other similar personal data breaches occurring.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2" w:val="left"/>
        </w:tabs>
        <w:bidi w:val="0"/>
        <w:spacing w:before="0" w:after="320" w:line="305" w:lineRule="auto"/>
        <w:ind w:left="0" w:right="0" w:firstLine="0"/>
        <w:jc w:val="left"/>
      </w:pPr>
      <w:r>
        <w:rPr>
          <w:rStyle w:val="CharStyle17"/>
        </w:rPr>
        <w:t>The conditions of that stay are that Manx Care is required to submit to the Commissioner:</w:t>
      </w:r>
    </w:p>
    <w:p>
      <w:pPr>
        <w:pStyle w:val="Style16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795" w:val="left"/>
        </w:tabs>
        <w:bidi w:val="0"/>
        <w:spacing w:before="0" w:after="0" w:line="305" w:lineRule="auto"/>
        <w:ind w:left="800" w:right="0" w:hanging="440"/>
        <w:jc w:val="left"/>
      </w:pPr>
      <w:r>
        <w:rPr>
          <w:rStyle w:val="CharStyle17"/>
          <w:u w:val="single"/>
        </w:rPr>
        <w:t>By 26 August 2022</w:t>
      </w:r>
      <w:r>
        <w:rPr>
          <w:rStyle w:val="CharStyle17"/>
        </w:rPr>
        <w:t xml:space="preserve"> - Comprehensive detail of the specific measures it will implement</w:t>
        <w:br/>
        <w:t>by 31 December 2022, together with proposed milestones against which progress</w:t>
        <w:br/>
        <w:t>can be measured;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0" w:right="0" w:firstLine="800"/>
        <w:jc w:val="left"/>
      </w:pPr>
      <w:r>
        <w:rPr>
          <w:rStyle w:val="CharStyle17"/>
        </w:rPr>
        <w:t>and</w:t>
      </w:r>
    </w:p>
    <w:p>
      <w:pPr>
        <w:pStyle w:val="Style16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795" w:val="left"/>
        </w:tabs>
        <w:bidi w:val="0"/>
        <w:spacing w:before="0" w:after="320" w:line="302" w:lineRule="auto"/>
        <w:ind w:left="800" w:right="0" w:hanging="440"/>
        <w:jc w:val="left"/>
      </w:pPr>
      <w:r>
        <w:rPr>
          <w:rStyle w:val="CharStyle17"/>
        </w:rPr>
        <w:t>An update on progress on or before 26 September, 26 October, 26 November and 26</w:t>
        <w:br/>
        <w:t>December 2022.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02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>If, Manx Care fails to comply with any condition in paragraph 35 or, by 31 December</w:t>
        <w:br/>
        <w:t>2022, has not provided the Commissioner with sufficient cogent evidence to demonstrate</w:t>
        <w:br/>
        <w:t xml:space="preserve">that it </w:t>
      </w:r>
      <w:r>
        <w:rPr>
          <w:rStyle w:val="CharStyle17"/>
          <w:i/>
          <w:iCs/>
          <w:u w:val="single"/>
        </w:rPr>
        <w:t>has complied</w:t>
      </w:r>
      <w:r>
        <w:rPr>
          <w:rStyle w:val="CharStyle17"/>
        </w:rPr>
        <w:t xml:space="preserve"> with Enforcement Notice EN2022/01 and </w:t>
      </w:r>
      <w:r>
        <w:rPr>
          <w:rStyle w:val="CharStyle17"/>
          <w:i/>
          <w:iCs/>
          <w:u w:val="single"/>
        </w:rPr>
        <w:t>implemented</w:t>
      </w:r>
      <w:r>
        <w:rPr>
          <w:rStyle w:val="CharStyle17"/>
        </w:rPr>
        <w:t xml:space="preserve"> appropriate</w:t>
        <w:br/>
        <w:t>technical and organisational measures, which could include using alternative, available,</w:t>
        <w:br/>
        <w:t xml:space="preserve">secure means of distributing documents to the correct </w:t>
      </w:r>
      <w:r>
        <w:rPr>
          <w:rStyle w:val="CharStyle17"/>
          <w:i/>
          <w:iCs/>
          <w:u w:val="single"/>
        </w:rPr>
        <w:t>internal</w:t>
      </w:r>
      <w:r>
        <w:rPr>
          <w:rStyle w:val="CharStyle17"/>
        </w:rPr>
        <w:t xml:space="preserve"> recipients, then Manx Care</w:t>
        <w:br/>
        <w:t>will be notified accordingly and:</w:t>
      </w:r>
    </w:p>
    <w:p>
      <w:pPr>
        <w:pStyle w:val="Style1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790" w:val="left"/>
        </w:tabs>
        <w:bidi w:val="0"/>
        <w:spacing w:before="0" w:after="320" w:line="305" w:lineRule="auto"/>
        <w:ind w:left="0" w:right="0" w:firstLine="360"/>
        <w:jc w:val="left"/>
      </w:pPr>
      <w:r>
        <w:rPr>
          <w:rStyle w:val="CharStyle17"/>
        </w:rPr>
        <w:t>The penalty of £170,500.00 will immediately become due and payable;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5" w:lineRule="auto"/>
        <w:ind w:left="0" w:right="0" w:firstLine="800"/>
        <w:jc w:val="left"/>
      </w:pPr>
      <w:r>
        <w:rPr>
          <w:rStyle w:val="CharStyle17"/>
        </w:rPr>
        <w:t>and</w:t>
      </w:r>
    </w:p>
    <w:p>
      <w:pPr>
        <w:pStyle w:val="Style1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790" w:val="left"/>
        </w:tabs>
        <w:bidi w:val="0"/>
        <w:spacing w:before="0" w:after="800" w:line="307" w:lineRule="auto"/>
        <w:ind w:left="800" w:right="0" w:hanging="440"/>
        <w:jc w:val="left"/>
      </w:pPr>
      <w:r>
        <w:rPr>
          <w:rStyle w:val="CharStyle17"/>
        </w:rPr>
        <w:t>A further Enforcement Notice will be given to Manx Care, the effect of which will be</w:t>
        <w:br/>
        <w:t xml:space="preserve">to </w:t>
      </w:r>
      <w:r>
        <w:rPr>
          <w:rStyle w:val="CharStyle17"/>
          <w:i/>
          <w:iCs/>
        </w:rPr>
        <w:t>"impose a temporary or definitive iimitation including a ban on processing"</w:t>
      </w:r>
      <w:r>
        <w:rPr>
          <w:rStyle w:val="CharStyle17"/>
        </w:rPr>
        <w:t xml:space="preserve"> on</w:t>
        <w:br/>
        <w:t>Manx Care's use of internal email to transmit personal data and special category data</w:t>
        <w:br/>
        <w:t>in attachments, unless attachments are encrypted to avoid access by unauthorised</w:t>
        <w:br/>
        <w:t>recipients, until such time as Manx Care has implemented appropriate technical and</w:t>
        <w:br/>
        <w:t>organisational measures.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00" w:line="305" w:lineRule="auto"/>
        <w:ind w:left="0" w:right="0" w:firstLine="0"/>
        <w:jc w:val="left"/>
      </w:pPr>
      <w:bookmarkStart w:id="16" w:name="bookmark16"/>
      <w:r>
        <w:rPr>
          <w:rStyle w:val="CharStyle20"/>
          <w:b/>
          <w:bCs/>
        </w:rPr>
        <w:t>Right of appeal - Regulation 120</w:t>
      </w:r>
      <w:bookmarkEnd w:id="16"/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31" w:val="left"/>
        </w:tabs>
        <w:bidi w:val="0"/>
        <w:spacing w:before="0" w:after="320" w:line="305" w:lineRule="auto"/>
        <w:ind w:left="0" w:right="0" w:firstLine="0"/>
        <w:jc w:val="left"/>
      </w:pPr>
      <w:r>
        <w:rPr>
          <w:rStyle w:val="CharStyle17"/>
        </w:rPr>
        <w:t>There is a right of appeal to the Isle of Man Data Protection Tribunal ("the Tribunal").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31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>Regulation 120(4) states that a person who is given a penalty notice may appeal to the</w:t>
        <w:br/>
        <w:t>Tribunal against the amount of the penalty specified in the notice, whether or not they</w:t>
        <w:br/>
        <w:t>appeal against the issue of the penalty notice.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31" w:val="left"/>
        </w:tabs>
        <w:bidi w:val="0"/>
        <w:spacing w:before="0" w:after="320" w:line="305" w:lineRule="auto"/>
        <w:ind w:left="0" w:right="0" w:firstLine="0"/>
        <w:jc w:val="left"/>
      </w:pPr>
      <w:r>
        <w:rPr>
          <w:rStyle w:val="CharStyle17"/>
        </w:rPr>
        <w:t>The determination of appeals by the Tribunal is prescribed in Regulation 121.</w:t>
      </w:r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46" w:val="left"/>
        </w:tabs>
        <w:bidi w:val="0"/>
        <w:spacing w:before="0" w:after="200" w:line="307" w:lineRule="auto"/>
        <w:ind w:left="360" w:right="0" w:hanging="360"/>
        <w:jc w:val="left"/>
      </w:pPr>
      <w:r>
        <w:rPr>
          <w:rStyle w:val="CharStyle17"/>
        </w:rPr>
        <w:t>Appeals to the Tribunal must be made in accordance with the Isle of Man Data Protection</w:t>
        <w:br/>
        <w:t>Tribunal Rules in force at the time of the appeal.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00" w:line="305" w:lineRule="auto"/>
        <w:ind w:left="0" w:right="0" w:firstLine="0"/>
        <w:jc w:val="left"/>
      </w:pPr>
      <w:bookmarkStart w:id="18" w:name="bookmark18"/>
      <w:r>
        <w:rPr>
          <w:rStyle w:val="CharStyle20"/>
          <w:b/>
          <w:bCs/>
        </w:rPr>
        <w:t>Failure to comply with this Notice - Regulation 117</w:t>
      </w:r>
      <w:bookmarkEnd w:id="18"/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41" w:val="left"/>
        </w:tabs>
        <w:bidi w:val="0"/>
        <w:spacing w:before="0" w:after="320" w:line="305" w:lineRule="auto"/>
        <w:ind w:left="360" w:right="0" w:hanging="360"/>
        <w:jc w:val="left"/>
      </w:pPr>
      <w:r>
        <w:rPr>
          <w:rStyle w:val="CharStyle17"/>
        </w:rPr>
        <w:t>The Commissioner may certify in writing to the High Court that a controller has failed to</w:t>
        <w:br/>
        <w:t>comply with a penalty notice but must not exercise that power before the expiration of</w:t>
        <w:br/>
        <w:t>the payment period specified in the penalty notice.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307" w:lineRule="auto"/>
        <w:ind w:left="360" w:right="0" w:firstLine="0"/>
        <w:jc w:val="left"/>
      </w:pPr>
      <w:r>
        <w:rPr>
          <w:rStyle w:val="CharStyle17"/>
        </w:rPr>
        <w:t>The High Court must inquire into the matter and may deal with the controller as if it had</w:t>
        <w:br/>
        <w:t>committed a contempt of court.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320" w:line="307" w:lineRule="auto"/>
        <w:ind w:left="0" w:right="0" w:firstLine="0"/>
        <w:jc w:val="left"/>
      </w:pPr>
      <w:bookmarkStart w:id="20" w:name="bookmark20"/>
      <w:r>
        <w:rPr>
          <w:rStyle w:val="CharStyle20"/>
          <w:b/>
          <w:bCs/>
        </w:rPr>
        <w:t>Rules of The High Court of Justice 2009 - Rule 10.14 (Non-compliance with judgment</w:t>
        <w:br/>
        <w:t>or order)</w:t>
      </w:r>
      <w:bookmarkEnd w:id="20"/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41" w:val="left"/>
        </w:tabs>
        <w:bidi w:val="0"/>
        <w:spacing w:before="0" w:after="200" w:line="307" w:lineRule="auto"/>
        <w:ind w:left="360" w:right="0" w:hanging="360"/>
        <w:jc w:val="left"/>
      </w:pPr>
      <w:r>
        <w:rPr>
          <w:rStyle w:val="CharStyle17"/>
        </w:rPr>
        <w:t xml:space="preserve">The following penal notice is given: </w:t>
      </w:r>
      <w:r>
        <w:rPr>
          <w:rStyle w:val="CharStyle17"/>
          <w:i/>
          <w:iCs/>
        </w:rPr>
        <w:t>"If you the within-named do not comply with this</w:t>
        <w:br/>
        <w:t>order you may be held to be in contempt of court and imprisoned or fined, or your assets</w:t>
        <w:br/>
        <w:t>may be seized."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00" w:line="305" w:lineRule="auto"/>
        <w:ind w:left="0" w:right="0" w:firstLine="0"/>
        <w:jc w:val="left"/>
      </w:pPr>
      <w:bookmarkStart w:id="22" w:name="bookmark22"/>
      <w:r>
        <w:rPr>
          <w:rStyle w:val="CharStyle20"/>
          <w:b/>
          <w:bCs/>
        </w:rPr>
        <w:t>Enforcement of payment - paragraph 9 of Schedule 5 to the Implementing Regulations</w:t>
      </w:r>
      <w:bookmarkEnd w:id="22"/>
    </w:p>
    <w:p>
      <w:pPr>
        <w:pStyle w:val="Style1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441" w:val="left"/>
        </w:tabs>
        <w:bidi w:val="0"/>
        <w:spacing w:before="0" w:after="0" w:line="305" w:lineRule="auto"/>
        <w:ind w:left="0" w:right="0" w:firstLine="0"/>
        <w:jc w:val="left"/>
      </w:pPr>
      <w:r>
        <w:rPr>
          <w:rStyle w:val="CharStyle17"/>
        </w:rPr>
        <w:t>The Information Commissioner must not take action to recover a penalty unless,</w:t>
      </w:r>
    </w:p>
    <w:p>
      <w:pPr>
        <w:pStyle w:val="Style16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486" w:val="left"/>
        </w:tabs>
        <w:bidi w:val="0"/>
        <w:spacing w:before="0" w:after="0" w:line="305" w:lineRule="auto"/>
        <w:ind w:left="1100" w:right="0" w:firstLine="0"/>
        <w:jc w:val="left"/>
      </w:pPr>
      <w:r>
        <w:rPr>
          <w:rStyle w:val="CharStyle17"/>
        </w:rPr>
        <w:t>the period specified in accordance with paragraph 6 of Schedule 5 has ended,</w:t>
      </w:r>
    </w:p>
    <w:p>
      <w:pPr>
        <w:pStyle w:val="Style16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501" w:val="left"/>
        </w:tabs>
        <w:bidi w:val="0"/>
        <w:spacing w:before="0" w:after="320" w:line="305" w:lineRule="auto"/>
        <w:ind w:left="1100" w:right="0" w:firstLine="0"/>
        <w:jc w:val="left"/>
      </w:pPr>
      <w:r>
        <w:rPr>
          <w:rStyle w:val="CharStyle17"/>
        </w:rPr>
        <w:t>any appeals against the penalty notice have been decided or otherwise ended,</w:t>
        <w:br/>
        <w:t>(c) if the penalty notice has been varied, any appeals against the penalty variation</w:t>
        <w:br/>
        <w:t>notice have been decided or otherwise ended, and</w:t>
      </w:r>
    </w:p>
    <w:p>
      <w:pPr>
        <w:pStyle w:val="Style16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525" w:val="left"/>
        </w:tabs>
        <w:bidi w:val="0"/>
        <w:spacing w:before="0" w:after="320" w:line="307" w:lineRule="auto"/>
        <w:ind w:left="1080" w:right="0" w:firstLine="0"/>
        <w:jc w:val="left"/>
      </w:pPr>
      <w:r>
        <w:rPr>
          <w:rStyle w:val="CharStyle17"/>
        </w:rPr>
        <w:t>the period for the controller or processor to appeal against the penalty, and</w:t>
        <w:br/>
        <w:t>any variation of it, has ended.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1400" w:line="302" w:lineRule="auto"/>
        <w:ind w:left="720" w:right="0" w:firstLine="0"/>
        <w:jc w:val="left"/>
      </w:pPr>
      <w:r>
        <w:rPr>
          <w:rStyle w:val="CharStyle17"/>
        </w:rPr>
        <w:t>A penalty is recoverable if the court so orders in accordance with proceedings taken</w:t>
        <w:br/>
        <w:t>under regulation 117, as if it were payable under an order of that court.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8"/>
          <w:b/>
          <w:bCs/>
        </w:rPr>
        <w:t>Signed: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1943100" cy="70802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943100" cy="70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39" w:line="1" w:lineRule="exact"/>
      </w:pP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CharStyle17"/>
          <w:b/>
          <w:bCs/>
        </w:rPr>
        <w:t>lain McDonald, Information Commissioner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  <w:sectPr>
          <w:footerReference w:type="default" r:id="rId7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430" w:right="1422" w:bottom="1660" w:left="1672" w:header="2002" w:footer="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17"/>
          <w:b/>
          <w:bCs/>
        </w:rPr>
        <w:t>Date: 13 July 2022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center"/>
      </w:pPr>
      <w:r>
        <w:rPr>
          <w:rStyle w:val="CharStyle17"/>
          <w:b/>
          <w:bCs/>
        </w:rPr>
        <w:t>Notice of Intent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center"/>
      </w:pPr>
      <w:r>
        <w:rPr>
          <w:rStyle w:val="CharStyle17"/>
          <w:b/>
          <w:bCs/>
        </w:rPr>
        <w:t>24 May 2022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4500" w:right="0" w:firstLine="0"/>
        <w:jc w:val="left"/>
        <w:sectPr>
          <w:headerReference w:type="default" r:id="rId8"/>
          <w:footerReference w:type="default" r:id="rId9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4086" w:right="1755" w:bottom="4086" w:left="1595" w:header="0" w:footer="3" w:gutter="0"/>
          <w:cols w:space="720"/>
          <w:noEndnote/>
          <w:rtlGutter w:val="0"/>
          <w:docGrid w:linePitch="360"/>
        </w:sectPr>
      </w:pPr>
      <w:r>
        <w:rPr>
          <w:rStyle w:val="CharStyle17"/>
          <w:b/>
          <w:bCs/>
        </w:rPr>
        <w:t>(7 pages)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479425" distB="114300" distL="0" distR="0" simplePos="0" relativeHeight="125829378" behindDoc="0" locked="0" layoutInCell="1" allowOverlap="1">
                <wp:simplePos x="0" y="0"/>
                <wp:positionH relativeFrom="page">
                  <wp:posOffset>1126490</wp:posOffset>
                </wp:positionH>
                <wp:positionV relativeFrom="paragraph">
                  <wp:posOffset>479425</wp:posOffset>
                </wp:positionV>
                <wp:extent cx="2178050" cy="2314575"/>
                <wp:wrapTopAndBottom/>
                <wp:docPr id="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78050" cy="23145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Our Ref: Noticelntent/2022/01/MxC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24 May 2022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Ms Teresa Cope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Chief Executive Officer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Manx Care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Head Office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Noble's Hospital Estate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Strang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BRADDAN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Isle of Man</w:t>
                            </w:r>
                          </w:p>
                          <w:p>
                            <w:pPr>
                              <w:pStyle w:val="Style1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7"/>
                              </w:rPr>
                              <w:t>IM4 4RJ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margin-left:88.700000000000003pt;margin-top:37.75pt;width:171.5pt;height:182.25pt;z-index:-125829375;mso-wrap-distance-left:0;mso-wrap-distance-top:37.75pt;mso-wrap-distance-right:0;mso-wrap-distance-bottom:9.pt;mso-position-horizontal-relative:page" filled="f" stroked="f">
                <v:textbox inset="0,0,0,0">
                  <w:txbxContent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Our Ref: Noticelntent/2022/01/MxC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24 May 2022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Ms Teresa Cope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Chief Executive Officer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Manx Care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Head Office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Noble's Hospital Estate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Strang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BRADDAN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Isle of Man</w:t>
                      </w:r>
                    </w:p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7"/>
                        </w:rPr>
                        <w:t>IM4 4RJ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1781175" distL="0" distR="0" simplePos="0" relativeHeight="125829380" behindDoc="0" locked="0" layoutInCell="1" allowOverlap="1">
                <wp:simplePos x="0" y="0"/>
                <wp:positionH relativeFrom="page">
                  <wp:posOffset>4749165</wp:posOffset>
                </wp:positionH>
                <wp:positionV relativeFrom="paragraph">
                  <wp:posOffset>0</wp:posOffset>
                </wp:positionV>
                <wp:extent cx="2311400" cy="1127125"/>
                <wp:wrapTopAndBottom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11400" cy="11271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0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/>
                              <w:ind w:left="0" w:right="0" w:firstLine="0"/>
                              <w:jc w:val="center"/>
                            </w:pPr>
                            <w:bookmarkStart w:id="24" w:name="bookmark24"/>
                            <w:r>
                              <w:rPr>
                                <w:rStyle w:val="CharStyle31"/>
                              </w:rPr>
                              <w:t>information</w:t>
                              <w:br/>
                              <w:t>commissioner</w:t>
                            </w:r>
                            <w:bookmarkEnd w:id="24"/>
                          </w:p>
                          <w:p>
                            <w:pPr>
                              <w:pStyle w:val="Style3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33"/>
                                <w:i/>
                                <w:iCs/>
                              </w:rPr>
                              <w:t>Barrantagh Fysseree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position:absolute;margin-left:373.94999999999999pt;margin-top:0;width:182.pt;height:88.75pt;z-index:-125829373;mso-wrap-distance-left:0;mso-wrap-distance-right:0;mso-wrap-distance-bottom:140.25pt;mso-position-horizontal-relative:page" filled="f" stroked="f">
                <v:textbox inset="0,0,0,0">
                  <w:txbxContent>
                    <w:p>
                      <w:pPr>
                        <w:pStyle w:val="Style30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/>
                        <w:ind w:left="0" w:right="0" w:firstLine="0"/>
                        <w:jc w:val="center"/>
                      </w:pPr>
                      <w:bookmarkStart w:id="24" w:name="bookmark24"/>
                      <w:r>
                        <w:rPr>
                          <w:rStyle w:val="CharStyle31"/>
                        </w:rPr>
                        <w:t>information</w:t>
                        <w:br/>
                        <w:t>commissioner</w:t>
                      </w:r>
                      <w:bookmarkEnd w:id="24"/>
                    </w:p>
                    <w:p>
                      <w:pPr>
                        <w:pStyle w:val="Style3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33"/>
                          <w:i/>
                          <w:iCs/>
                        </w:rPr>
                        <w:t>Barrantagh Fysseree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</w:pPr>
      <w:bookmarkStart w:id="26" w:name="bookmark26"/>
      <w:r>
        <w:rPr>
          <w:rStyle w:val="CharStyle20"/>
          <w:b/>
          <w:bCs/>
        </w:rPr>
        <w:t>NOTICE OF INTENT</w:t>
      </w:r>
      <w:bookmarkEnd w:id="26"/>
    </w:p>
    <w:p>
      <w:pPr>
        <w:pStyle w:val="Style16"/>
        <w:keepNext w:val="0"/>
        <w:keepLines w:val="0"/>
        <w:widowControl w:val="0"/>
        <w:shd w:val="clear" w:color="auto" w:fill="auto"/>
        <w:tabs>
          <w:tab w:pos="1400" w:val="left"/>
        </w:tabs>
        <w:bidi w:val="0"/>
        <w:spacing w:before="0" w:after="0" w:line="257" w:lineRule="auto"/>
        <w:ind w:left="0" w:right="0" w:firstLine="0"/>
        <w:jc w:val="center"/>
      </w:pPr>
      <w:r>
        <w:rPr>
          <w:rStyle w:val="CharStyle17"/>
        </w:rPr>
        <w:t>Given to:</w:t>
        <w:tab/>
      </w:r>
      <w:r>
        <w:rPr>
          <w:rStyle w:val="CharStyle17"/>
          <w:b/>
          <w:bCs/>
        </w:rPr>
        <w:t>Manx Care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0" w:right="0" w:firstLine="0"/>
        <w:jc w:val="center"/>
      </w:pPr>
      <w:r>
        <w:rPr>
          <w:rStyle w:val="CharStyle17"/>
        </w:rPr>
        <w:t xml:space="preserve">Issue Date: </w:t>
      </w:r>
      <w:r>
        <w:rPr>
          <w:rStyle w:val="CharStyle17"/>
          <w:b/>
          <w:bCs/>
        </w:rPr>
        <w:t>24 May 2022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540" w:line="257" w:lineRule="auto"/>
        <w:ind w:left="0" w:right="0" w:firstLine="0"/>
        <w:jc w:val="center"/>
      </w:pPr>
      <w:r>
        <w:rPr>
          <w:rStyle w:val="CharStyle17"/>
        </w:rPr>
        <w:t>pursuant to Regulation 112(4) of, and Paragraph 2 of Schedule 5 to,</w:t>
        <w:br/>
        <w:t>the GDPR and LED Implementing Regulations 2018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0" w:right="0" w:firstLine="260"/>
        <w:jc w:val="left"/>
      </w:pPr>
      <w:r>
        <w:rPr>
          <w:rStyle w:val="CharStyle17"/>
        </w:rPr>
        <w:t>Dear Ms Cope,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260" w:right="0" w:firstLine="20"/>
        <w:jc w:val="left"/>
      </w:pPr>
      <w:r>
        <w:rPr>
          <w:rStyle w:val="CharStyle17"/>
        </w:rPr>
        <w:t>The Information Commissioner ("Commissioner") intends to give a penalty notice to Manx</w:t>
        <w:br/>
        <w:t>Care in accordance with Regulation 112 of the GDPR and LED Implementing Regulations</w:t>
        <w:br/>
        <w:t xml:space="preserve">2018, on </w:t>
      </w:r>
      <w:r>
        <w:rPr>
          <w:rStyle w:val="CharStyle17"/>
          <w:b/>
          <w:bCs/>
        </w:rPr>
        <w:t>24 June 2022*.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260" w:right="0" w:firstLine="20"/>
        <w:jc w:val="left"/>
      </w:pPr>
      <w:r>
        <w:rPr>
          <w:rStyle w:val="CharStyle17"/>
        </w:rPr>
        <w:t>Annex 1 to this Notice of Intent contains the reasons why the Commissioner proposes to give</w:t>
        <w:br/>
        <w:t>the penalty notice and an indication of the proposed amount of the penalty.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260" w:right="0" w:firstLine="20"/>
        <w:jc w:val="left"/>
      </w:pPr>
      <w:r>
        <w:rPr>
          <w:rStyle w:val="CharStyle17"/>
        </w:rPr>
        <w:t>In accordance with paragraph 3(3) of Schedule 5 to the GDPR and LED Implementing</w:t>
        <w:br/>
        <w:t>Regulations 2018, Manx Care may make written representations about the Commissioner's</w:t>
        <w:br/>
        <w:t>intention to give that penalty notice.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260"/>
        <w:jc w:val="left"/>
      </w:pPr>
      <w:r>
        <w:rPr>
          <w:rStyle w:val="CharStyle17"/>
        </w:rPr>
        <w:t xml:space="preserve">Any written representations must be made by </w:t>
      </w:r>
      <w:r>
        <w:rPr>
          <w:rStyle w:val="CharStyle17"/>
          <w:b/>
          <w:bCs/>
        </w:rPr>
        <w:t>17 June 2022*.</w:t>
      </w:r>
    </w:p>
    <w:p>
      <w:pPr>
        <w:widowControl w:val="0"/>
        <w:spacing w:line="1" w:lineRule="exact"/>
      </w:pPr>
      <w:r>
        <w:drawing>
          <wp:anchor distT="673100" distB="0" distL="0" distR="0" simplePos="0" relativeHeight="125829382" behindDoc="0" locked="0" layoutInCell="1" allowOverlap="1">
            <wp:simplePos x="0" y="0"/>
            <wp:positionH relativeFrom="page">
              <wp:posOffset>1101090</wp:posOffset>
            </wp:positionH>
            <wp:positionV relativeFrom="paragraph">
              <wp:posOffset>673100</wp:posOffset>
            </wp:positionV>
            <wp:extent cx="2000250" cy="498475"/>
            <wp:wrapTopAndBottom/>
            <wp:docPr id="12" name="Shap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box 13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ext cx="2000250" cy="4984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1107440</wp:posOffset>
                </wp:positionH>
                <wp:positionV relativeFrom="paragraph">
                  <wp:posOffset>266700</wp:posOffset>
                </wp:positionV>
                <wp:extent cx="438150" cy="187325"/>
                <wp:wrapNone/>
                <wp:docPr id="14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38150" cy="1873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28"/>
                              </w:rPr>
                              <w:t>Signed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position:absolute;margin-left:87.200000000000003pt;margin-top:21.pt;width:34.5pt;height:14.7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28"/>
                        </w:rPr>
                        <w:t>Signed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80" w:line="252" w:lineRule="auto"/>
        <w:ind w:left="260" w:right="0" w:firstLine="20"/>
        <w:jc w:val="left"/>
      </w:pPr>
      <w:bookmarkStart w:id="28" w:name="bookmark28"/>
      <w:r>
        <w:rPr>
          <w:rStyle w:val="CharStyle20"/>
          <w:b/>
          <w:bCs/>
        </w:rPr>
        <w:t>lain McDonald</w:t>
        <w:br/>
        <w:t>Information Commissioner</w:t>
      </w:r>
      <w:bookmarkEnd w:id="28"/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260" w:right="0" w:firstLine="20"/>
        <w:jc w:val="left"/>
      </w:pPr>
      <w:r>
        <w:rPr>
          <w:rStyle w:val="CharStyle36"/>
        </w:rPr>
        <w:t>•periods include additional 3 days to the statutory time to take account of forthcoming Bank Holidays</w:t>
      </w:r>
    </w:p>
    <w:p>
      <w:pPr>
        <w:pStyle w:val="Style3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headerReference w:type="default" r:id="rId12"/>
          <w:footerReference w:type="default" r:id="rId13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945" w:right="1120" w:bottom="1475" w:left="1469" w:header="1517" w:footer="1047" w:gutter="0"/>
          <w:cols w:space="720"/>
          <w:noEndnote/>
          <w:rtlGutter w:val="0"/>
          <w:docGrid w:linePitch="360"/>
        </w:sectPr>
      </w:pPr>
      <w:r>
        <w:rPr>
          <w:rStyle w:val="CharStyle36"/>
        </w:rPr>
        <w:t xml:space="preserve">PO Box 69, Douglas, Isle of Man, IM99 1EQ T:+441624 693260 W: inforights.im E: </w:t>
      </w:r>
      <w:r>
        <w:fldChar w:fldCharType="begin"/>
      </w:r>
      <w:r>
        <w:rPr/>
        <w:instrText> HYPERLINK "mailto:ask@inforights.im" </w:instrText>
      </w:r>
      <w:r>
        <w:fldChar w:fldCharType="separate"/>
      </w:r>
      <w:r>
        <w:rPr>
          <w:rStyle w:val="CharStyle36"/>
        </w:rPr>
        <w:t>ask@inforights.im</w:t>
      </w:r>
      <w:r>
        <w:fldChar w:fldCharType="end"/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21" w:val="left"/>
        </w:tabs>
        <w:bidi w:val="0"/>
        <w:spacing w:before="0" w:line="254" w:lineRule="auto"/>
        <w:ind w:left="0" w:right="0" w:firstLine="700"/>
        <w:jc w:val="left"/>
      </w:pPr>
      <w:r>
        <w:rPr>
          <w:rStyle w:val="CharStyle17"/>
        </w:rPr>
        <w:t xml:space="preserve">The Commissioner intends to give a penalty notice to Manx Care on </w:t>
      </w:r>
      <w:r>
        <w:rPr>
          <w:rStyle w:val="CharStyle17"/>
          <w:b/>
          <w:bCs/>
        </w:rPr>
        <w:t>24 June 2022.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80"/>
        <w:ind w:left="1040" w:right="0" w:firstLine="0"/>
        <w:jc w:val="left"/>
      </w:pPr>
      <w:bookmarkStart w:id="30" w:name="bookmark30"/>
      <w:r>
        <w:rPr>
          <w:rStyle w:val="CharStyle20"/>
          <w:b/>
          <w:bCs/>
        </w:rPr>
        <w:t>Reasons why the penalty notice is proposed</w:t>
      </w:r>
      <w:bookmarkEnd w:id="30"/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4" w:lineRule="auto"/>
        <w:ind w:left="1040" w:right="0" w:hanging="340"/>
        <w:jc w:val="left"/>
      </w:pPr>
      <w:r>
        <w:rPr>
          <w:rStyle w:val="CharStyle17"/>
        </w:rPr>
        <w:t>The penalty notice relates to infringements of the Data Protection (Application of</w:t>
        <w:br/>
        <w:t>GDPR) Order 2018 ("Applied GDPR") connected to a personal data breach, allocated</w:t>
        <w:br/>
        <w:t>reference PDB2021/0087 by the Information Commissioner ("Commissioner").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after="280"/>
        <w:ind w:left="1040" w:right="0" w:firstLine="0"/>
        <w:jc w:val="left"/>
      </w:pPr>
      <w:bookmarkStart w:id="32" w:name="bookmark32"/>
      <w:r>
        <w:rPr>
          <w:rStyle w:val="CharStyle20"/>
          <w:b/>
          <w:bCs/>
        </w:rPr>
        <w:t>Description of the circumstances of the failure</w:t>
      </w:r>
      <w:bookmarkEnd w:id="32"/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4" w:lineRule="auto"/>
        <w:ind w:left="1040" w:right="0" w:hanging="340"/>
        <w:jc w:val="left"/>
      </w:pPr>
      <w:r>
        <w:rPr>
          <w:rStyle w:val="CharStyle17"/>
        </w:rPr>
        <w:t>On 22 October 2021, a patient was discharged from Ward 11 in Noble's Hospital, Isle</w:t>
        <w:br/>
        <w:t xml:space="preserve">of Man and, as part of that discharge, a </w:t>
      </w:r>
      <w:r>
        <w:rPr>
          <w:rStyle w:val="CharStyle17"/>
          <w:i/>
          <w:iCs/>
        </w:rPr>
        <w:t>"Request for Continuity of Care/District</w:t>
        <w:br/>
        <w:t>Nursing/Health Visiting"</w:t>
      </w:r>
      <w:r>
        <w:rPr>
          <w:rStyle w:val="CharStyle17"/>
        </w:rPr>
        <w:t xml:space="preserve"> form </w:t>
      </w:r>
      <w:r>
        <w:rPr>
          <w:rStyle w:val="CharStyle17"/>
          <w:b/>
          <w:bCs/>
        </w:rPr>
        <w:t xml:space="preserve">("the Form") </w:t>
      </w:r>
      <w:r>
        <w:rPr>
          <w:rStyle w:val="CharStyle17"/>
        </w:rPr>
        <w:t xml:space="preserve">was manually completed </w:t>
      </w:r>
      <w:r>
        <w:rPr>
          <w:rStyle w:val="CharStyle17"/>
          <w:b/>
          <w:bCs/>
        </w:rPr>
        <w:t>("the Record").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2" w:lineRule="auto"/>
        <w:ind w:left="1040" w:right="0" w:hanging="340"/>
        <w:jc w:val="left"/>
      </w:pPr>
      <w:r>
        <w:rPr>
          <w:rStyle w:val="CharStyle17"/>
        </w:rPr>
        <w:t xml:space="preserve">The Form, headed </w:t>
      </w:r>
      <w:r>
        <w:rPr>
          <w:rStyle w:val="CharStyle17"/>
          <w:i/>
          <w:iCs/>
        </w:rPr>
        <w:t>"Department of Health and Social Care",</w:t>
      </w:r>
      <w:r>
        <w:rPr>
          <w:rStyle w:val="CharStyle17"/>
        </w:rPr>
        <w:t xml:space="preserve"> is referenced </w:t>
      </w:r>
      <w:r>
        <w:rPr>
          <w:rStyle w:val="CharStyle17"/>
          <w:i/>
          <w:iCs/>
        </w:rPr>
        <w:t>"NH115"</w:t>
      </w:r>
      <w:r>
        <w:rPr>
          <w:rStyle w:val="CharStyle17"/>
        </w:rPr>
        <w:t xml:space="preserve"> and</w:t>
        <w:br/>
      </w:r>
      <w:r>
        <w:rPr>
          <w:rStyle w:val="CharStyle17"/>
          <w:i/>
          <w:iCs/>
        </w:rPr>
        <w:t>"DNR-2"</w:t>
      </w:r>
      <w:r>
        <w:rPr>
          <w:rStyle w:val="CharStyle17"/>
        </w:rPr>
        <w:t xml:space="preserve"> and states it was </w:t>
      </w:r>
      <w:r>
        <w:rPr>
          <w:rStyle w:val="CharStyle17"/>
          <w:i/>
          <w:iCs/>
        </w:rPr>
        <w:t>"Printed by Mannin Group"</w:t>
      </w:r>
      <w:r>
        <w:rPr>
          <w:rStyle w:val="CharStyle17"/>
        </w:rPr>
        <w:t xml:space="preserve"> in </w:t>
      </w:r>
      <w:r>
        <w:rPr>
          <w:rStyle w:val="CharStyle17"/>
          <w:i/>
          <w:iCs/>
        </w:rPr>
        <w:t>"January 2015”,</w:t>
      </w:r>
      <w:r>
        <w:rPr>
          <w:rStyle w:val="CharStyle17"/>
        </w:rPr>
        <w:t xml:space="preserve"> with a review</w:t>
        <w:br/>
        <w:t xml:space="preserve">date of </w:t>
      </w:r>
      <w:r>
        <w:rPr>
          <w:rStyle w:val="CharStyle17"/>
          <w:i/>
          <w:iCs/>
        </w:rPr>
        <w:t>"October 2015".</w:t>
      </w:r>
      <w:r>
        <w:rPr>
          <w:rStyle w:val="CharStyle17"/>
        </w:rPr>
        <w:t xml:space="preserve"> The Form does not indicate to whom it should be emailed</w:t>
        <w:br/>
        <w:t>upon completion.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2" w:lineRule="auto"/>
        <w:ind w:left="1040" w:right="0" w:hanging="340"/>
        <w:jc w:val="left"/>
      </w:pPr>
      <w:r>
        <w:rPr>
          <w:rStyle w:val="CharStyle17"/>
        </w:rPr>
        <w:t>The information provided by Manx Care, including that within the "Investigation</w:t>
        <w:br/>
        <w:t>Report" submitted to the Commissioner on 10 November 2021, evidences that:</w:t>
      </w:r>
    </w:p>
    <w:p>
      <w:pPr>
        <w:pStyle w:val="Style1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721" w:val="left"/>
        </w:tabs>
        <w:bidi w:val="0"/>
        <w:spacing w:before="0" w:after="0" w:line="257" w:lineRule="auto"/>
        <w:ind w:left="1740" w:right="0" w:hanging="360"/>
        <w:jc w:val="left"/>
      </w:pPr>
      <w:r>
        <w:rPr>
          <w:rStyle w:val="CharStyle17"/>
        </w:rPr>
        <w:t xml:space="preserve">The Record contains </w:t>
      </w:r>
      <w:r>
        <w:rPr>
          <w:rStyle w:val="CharStyle17"/>
          <w:b/>
          <w:bCs/>
        </w:rPr>
        <w:t xml:space="preserve">special category data ("data concerning health") </w:t>
      </w:r>
      <w:r>
        <w:rPr>
          <w:rStyle w:val="CharStyle17"/>
        </w:rPr>
        <w:t>and</w:t>
        <w:br/>
        <w:t>personal data relating to the patient, together with personal data relating to</w:t>
        <w:br/>
        <w:t>the next of kin.</w:t>
      </w:r>
    </w:p>
    <w:p>
      <w:pPr>
        <w:pStyle w:val="Style1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721" w:val="left"/>
        </w:tabs>
        <w:bidi w:val="0"/>
        <w:spacing w:before="0" w:after="0" w:line="257" w:lineRule="auto"/>
        <w:ind w:left="1740" w:right="0" w:hanging="360"/>
        <w:jc w:val="left"/>
      </w:pPr>
      <w:r>
        <w:rPr>
          <w:rStyle w:val="CharStyle17"/>
        </w:rPr>
        <w:t>The Record was scanned using a multi-function device, creating, automatically</w:t>
        <w:br/>
        <w:t>naming, and delivering to that staff member's email account, a PDF version of</w:t>
        <w:br/>
        <w:t xml:space="preserve">the Record </w:t>
      </w:r>
      <w:r>
        <w:rPr>
          <w:rStyle w:val="CharStyle17"/>
          <w:b/>
          <w:bCs/>
        </w:rPr>
        <w:t>("PDF Record").</w:t>
      </w:r>
    </w:p>
    <w:p>
      <w:pPr>
        <w:pStyle w:val="Style1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721" w:val="left"/>
        </w:tabs>
        <w:bidi w:val="0"/>
        <w:spacing w:before="0" w:after="0" w:line="257" w:lineRule="auto"/>
        <w:ind w:left="1380" w:right="0" w:firstLine="0"/>
        <w:jc w:val="left"/>
      </w:pPr>
      <w:r>
        <w:rPr>
          <w:rStyle w:val="CharStyle17"/>
        </w:rPr>
        <w:t>No technical security measures were applied to the PDF record.</w:t>
      </w:r>
    </w:p>
    <w:p>
      <w:pPr>
        <w:pStyle w:val="Style1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721" w:val="left"/>
        </w:tabs>
        <w:bidi w:val="0"/>
        <w:spacing w:before="0" w:after="0" w:line="257" w:lineRule="auto"/>
        <w:ind w:left="1380" w:right="0" w:firstLine="0"/>
        <w:jc w:val="left"/>
      </w:pPr>
      <w:r>
        <w:rPr>
          <w:rStyle w:val="CharStyle17"/>
        </w:rPr>
        <w:t xml:space="preserve">Staff attached the PDF Record </w:t>
      </w:r>
      <w:r>
        <w:rPr>
          <w:rStyle w:val="CharStyle17"/>
          <w:b/>
          <w:bCs/>
        </w:rPr>
        <w:t xml:space="preserve">to </w:t>
      </w:r>
      <w:r>
        <w:rPr>
          <w:rStyle w:val="CharStyle17"/>
        </w:rPr>
        <w:t xml:space="preserve">a new email </w:t>
      </w:r>
      <w:r>
        <w:rPr>
          <w:rStyle w:val="CharStyle17"/>
          <w:b/>
          <w:bCs/>
        </w:rPr>
        <w:t>("the Email").</w:t>
      </w:r>
    </w:p>
    <w:p>
      <w:pPr>
        <w:pStyle w:val="Style1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721" w:val="left"/>
        </w:tabs>
        <w:bidi w:val="0"/>
        <w:spacing w:before="0" w:after="0" w:line="257" w:lineRule="auto"/>
        <w:ind w:left="1380" w:right="0" w:firstLine="0"/>
        <w:jc w:val="left"/>
      </w:pPr>
      <w:r>
        <w:rPr>
          <w:rStyle w:val="CharStyle17"/>
        </w:rPr>
        <w:t>No technical security measures were applied to the Email.</w:t>
      </w:r>
    </w:p>
    <w:p>
      <w:pPr>
        <w:pStyle w:val="Style1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721" w:val="left"/>
        </w:tabs>
        <w:bidi w:val="0"/>
        <w:spacing w:before="0" w:line="257" w:lineRule="auto"/>
        <w:ind w:left="1380" w:right="0" w:firstLine="0"/>
        <w:jc w:val="left"/>
      </w:pPr>
      <w:r>
        <w:rPr>
          <w:rStyle w:val="CharStyle17"/>
        </w:rPr>
        <w:t xml:space="preserve">The insecure Email and Record were sent to multiple </w:t>
      </w:r>
      <w:r>
        <w:rPr>
          <w:rStyle w:val="CharStyle17"/>
          <w:b/>
          <w:bCs/>
        </w:rPr>
        <w:t xml:space="preserve">group </w:t>
      </w:r>
      <w:r>
        <w:rPr>
          <w:rStyle w:val="CharStyle17"/>
        </w:rPr>
        <w:t>email addresses.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4" w:lineRule="auto"/>
        <w:ind w:left="1040" w:right="0" w:hanging="340"/>
        <w:jc w:val="left"/>
      </w:pPr>
      <w:r>
        <w:rPr>
          <w:rStyle w:val="CharStyle17"/>
        </w:rPr>
        <w:t>The list of recipients of the Email and Record is copied directly from the Email below:</w:t>
        <w:br/>
      </w:r>
      <w:r>
        <w:rPr>
          <w:rStyle w:val="CharStyle17"/>
          <w:i/>
          <w:iCs/>
        </w:rPr>
        <w:t>“Manx Care Community Nursing Staff (NOT DISTRICT NURSE REFERRALS); Manx Care</w:t>
        <w:br/>
        <w:t>Community Care Directorate; Manx Care Community Dental Staff; Manx Care</w:t>
        <w:br/>
        <w:t>Community Health Admin Staff; Manx Care Community Nursing Staff (NOT DISTRICT</w:t>
        <w:br/>
        <w:t>NURSE REFERRALS); Manx Care Community Support All Staff; Manx Care Corporate</w:t>
        <w:br/>
        <w:t>Services Division; Manx Care Community Health Admin Staff; Manx Care Community</w:t>
        <w:br/>
        <w:t>Nursing Staff (NOT DISTRICT NURSE REFERRALS); Manx Care District nurses; Manx Care</w:t>
        <w:br/>
        <w:t>District nurses; Manx Care District nurses; Manx Care District nurses; Manx Care District</w:t>
        <w:br/>
        <w:t>nurses; Manx Care District nurses; Manx Care District nurses"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7" w:lineRule="auto"/>
        <w:ind w:left="1040" w:right="0" w:hanging="340"/>
        <w:jc w:val="left"/>
      </w:pPr>
      <w:r>
        <w:rPr>
          <w:rStyle w:val="CharStyle17"/>
        </w:rPr>
        <w:t>Analysis indicates that in excess of 2700 copies of the Email and the PDF Record were</w:t>
        <w:br/>
        <w:t xml:space="preserve">sent to more than 1870 different recipients </w:t>
      </w:r>
      <w:r>
        <w:rPr>
          <w:rStyle w:val="CharStyle17"/>
          <w:b/>
          <w:bCs/>
        </w:rPr>
        <w:t>(Annex 2).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30" w:val="left"/>
        </w:tabs>
        <w:bidi w:val="0"/>
        <w:spacing w:before="0" w:line="252" w:lineRule="auto"/>
        <w:ind w:left="1040" w:right="0" w:hanging="340"/>
        <w:jc w:val="left"/>
      </w:pPr>
      <w:r>
        <w:rPr>
          <w:rStyle w:val="CharStyle17"/>
        </w:rPr>
        <w:t>Recipients of the Email and PDF Record within Manx Care included catering staff</w:t>
        <w:br/>
        <w:t>through to non-clinical senior officers in Corporate Services Division.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090" w:val="left"/>
        </w:tabs>
        <w:bidi w:val="0"/>
        <w:spacing w:before="0" w:line="254" w:lineRule="auto"/>
        <w:ind w:left="1100" w:right="0" w:hanging="340"/>
        <w:jc w:val="left"/>
      </w:pPr>
      <w:r>
        <w:rPr>
          <w:rStyle w:val="CharStyle17"/>
        </w:rPr>
        <w:t>Email recipients were not restricted to Manx Care, however, and included individuals</w:t>
        <w:br/>
        <w:t>in other government departments; this was due to inclusion in email groups and sub</w:t>
        <w:t>-</w:t>
        <w:br/>
        <w:t>groups, or sub-sub-groups, within email groups.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55" w:val="left"/>
        </w:tabs>
        <w:bidi w:val="0"/>
        <w:spacing w:before="0" w:line="257" w:lineRule="auto"/>
        <w:ind w:left="1100" w:right="0" w:hanging="340"/>
        <w:jc w:val="left"/>
      </w:pPr>
      <w:r>
        <w:rPr>
          <w:rStyle w:val="CharStyle17"/>
        </w:rPr>
        <w:t>Manx Care has not informed the Commissioner that it has taken steps to remove the</w:t>
        <w:br/>
        <w:t>Email and PDF Record from the inboxes of staff.</w:t>
      </w:r>
    </w:p>
    <w:p>
      <w:pPr>
        <w:pStyle w:val="Style19"/>
        <w:keepNext/>
        <w:keepLines/>
        <w:widowControl w:val="0"/>
        <w:numPr>
          <w:ilvl w:val="0"/>
          <w:numId w:val="31"/>
        </w:numPr>
        <w:shd w:val="clear" w:color="auto" w:fill="auto"/>
        <w:tabs>
          <w:tab w:pos="1155" w:val="left"/>
        </w:tabs>
        <w:bidi w:val="0"/>
        <w:spacing w:before="0" w:after="280" w:line="252" w:lineRule="auto"/>
        <w:ind w:left="0" w:right="0" w:firstLine="760"/>
        <w:jc w:val="left"/>
      </w:pPr>
      <w:bookmarkStart w:id="34" w:name="bookmark34"/>
      <w:r>
        <w:rPr>
          <w:rStyle w:val="CharStyle20"/>
          <w:b/>
          <w:bCs/>
        </w:rPr>
        <w:t xml:space="preserve">Infringements (failures) applicable to </w:t>
      </w:r>
      <w:r>
        <w:rPr>
          <w:rStyle w:val="CharStyle20"/>
          <w:b/>
          <w:bCs/>
          <w:u w:val="single"/>
        </w:rPr>
        <w:t>this</w:t>
      </w:r>
      <w:r>
        <w:rPr>
          <w:rStyle w:val="CharStyle20"/>
          <w:b/>
          <w:bCs/>
        </w:rPr>
        <w:t xml:space="preserve"> personal data breach:</w:t>
      </w:r>
      <w:bookmarkEnd w:id="34"/>
    </w:p>
    <w:p>
      <w:pPr>
        <w:pStyle w:val="Style19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775" w:val="left"/>
        </w:tabs>
        <w:bidi w:val="0"/>
        <w:spacing w:before="0" w:after="0"/>
        <w:ind w:left="1420" w:right="0" w:firstLine="0"/>
        <w:jc w:val="left"/>
      </w:pPr>
      <w:r>
        <w:rPr>
          <w:rStyle w:val="CharStyle20"/>
          <w:b/>
          <w:bCs/>
        </w:rPr>
        <w:t>Article 5(1)(c) - Principle of 'data minimisation'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1760" w:right="0" w:firstLine="20"/>
        <w:jc w:val="left"/>
      </w:pPr>
      <w:r>
        <w:rPr>
          <w:rStyle w:val="CharStyle17"/>
        </w:rPr>
        <w:t>The transmission of personal data and special category data to any party</w:t>
        <w:br/>
        <w:t>unconnected with the community care of the patient is not adequate, relevant</w:t>
        <w:br/>
        <w:t>and limited to what is necessary in relation to the purposes for which they</w:t>
        <w:br/>
        <w:t>were processed and infringes Article 5(1)(c).</w:t>
      </w:r>
    </w:p>
    <w:p>
      <w:pPr>
        <w:pStyle w:val="Style19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775" w:val="left"/>
        </w:tabs>
        <w:bidi w:val="0"/>
        <w:spacing w:before="0" w:after="0" w:line="252" w:lineRule="auto"/>
        <w:ind w:left="1420" w:right="0" w:firstLine="0"/>
        <w:jc w:val="left"/>
      </w:pPr>
      <w:bookmarkStart w:id="37" w:name="bookmark37"/>
      <w:r>
        <w:rPr>
          <w:rStyle w:val="CharStyle20"/>
          <w:b/>
          <w:bCs/>
        </w:rPr>
        <w:t>Article 5(1)(f) - Principle of 'integrity and confidentiality'</w:t>
      </w:r>
      <w:bookmarkEnd w:id="37"/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1760" w:right="0" w:firstLine="20"/>
        <w:jc w:val="left"/>
      </w:pPr>
      <w:r>
        <w:rPr>
          <w:rStyle w:val="CharStyle17"/>
        </w:rPr>
        <w:t>Manx Care did not process the personal data and special category data of the</w:t>
        <w:br/>
        <w:t>patient in a manner that ensures appropriate security, including protection</w:t>
        <w:br/>
        <w:t>against unauthorised or unlawful processing and against accidental loss,</w:t>
        <w:br/>
        <w:t>destruction or damage, using appropriate technical or organisational</w:t>
        <w:br/>
        <w:t>measures and infringed Article 5(1 )(f)</w:t>
      </w:r>
    </w:p>
    <w:p>
      <w:pPr>
        <w:pStyle w:val="Style19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775" w:val="left"/>
        </w:tabs>
        <w:bidi w:val="0"/>
        <w:spacing w:before="0" w:after="0" w:line="257" w:lineRule="auto"/>
        <w:ind w:left="1420" w:right="0" w:firstLine="0"/>
        <w:jc w:val="left"/>
      </w:pPr>
      <w:bookmarkStart w:id="39" w:name="bookmark39"/>
      <w:r>
        <w:rPr>
          <w:rStyle w:val="CharStyle20"/>
          <w:b/>
          <w:bCs/>
        </w:rPr>
        <w:t>Article 5(2) - 'accountability'</w:t>
      </w:r>
      <w:bookmarkEnd w:id="39"/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1760" w:right="0" w:firstLine="20"/>
        <w:jc w:val="left"/>
      </w:pPr>
      <w:r>
        <w:rPr>
          <w:rStyle w:val="CharStyle17"/>
        </w:rPr>
        <w:t>Manx Care has failed to be responsible for, or demonstrate compliance with</w:t>
        <w:br/>
        <w:t>the principles of data protection.</w:t>
      </w:r>
    </w:p>
    <w:p>
      <w:pPr>
        <w:pStyle w:val="Style19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775" w:val="left"/>
        </w:tabs>
        <w:bidi w:val="0"/>
        <w:spacing w:before="0" w:after="0" w:line="252" w:lineRule="auto"/>
        <w:ind w:left="1420" w:right="0" w:firstLine="0"/>
        <w:jc w:val="left"/>
      </w:pPr>
      <w:bookmarkStart w:id="41" w:name="bookmark41"/>
      <w:r>
        <w:rPr>
          <w:rStyle w:val="CharStyle20"/>
          <w:b/>
          <w:bCs/>
        </w:rPr>
        <w:t>Article 24 - Responsibility of the controller</w:t>
      </w:r>
      <w:bookmarkEnd w:id="41"/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1760" w:right="0" w:firstLine="20"/>
        <w:jc w:val="left"/>
      </w:pPr>
      <w:r>
        <w:rPr>
          <w:rStyle w:val="CharStyle17"/>
        </w:rPr>
        <w:t>Manx Care failed to implement appropriate technical and organisational</w:t>
        <w:br/>
        <w:t>measures to ensure and to be able to demonstrate that processing is</w:t>
        <w:br/>
        <w:t>performed in accordance with the Applied GDPR, including a lack of data</w:t>
        <w:br/>
        <w:t>protection policies and internal procedural guidance for staff, infringing Article</w:t>
        <w:br/>
        <w:t>24.</w:t>
      </w:r>
    </w:p>
    <w:p>
      <w:pPr>
        <w:pStyle w:val="Style19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775" w:val="left"/>
        </w:tabs>
        <w:bidi w:val="0"/>
        <w:spacing w:before="0" w:after="0" w:line="252" w:lineRule="auto"/>
        <w:ind w:left="1420" w:right="0" w:firstLine="0"/>
        <w:jc w:val="left"/>
      </w:pPr>
      <w:bookmarkStart w:id="43" w:name="bookmark43"/>
      <w:r>
        <w:rPr>
          <w:rStyle w:val="CharStyle20"/>
          <w:b/>
          <w:bCs/>
        </w:rPr>
        <w:t>Article 25 - Data protection by design and by default</w:t>
      </w:r>
      <w:bookmarkEnd w:id="43"/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1760" w:right="0" w:firstLine="20"/>
        <w:jc w:val="left"/>
      </w:pPr>
      <w:r>
        <w:rPr>
          <w:rStyle w:val="CharStyle17"/>
        </w:rPr>
        <w:t xml:space="preserve">Manx Care failed to </w:t>
      </w:r>
      <w:r>
        <w:rPr>
          <w:rStyle w:val="CharStyle17"/>
          <w:i/>
          <w:iCs/>
        </w:rPr>
        <w:t>"implement appropriate technical and organisational</w:t>
        <w:br/>
        <w:t>measures... which are designed to implement data-protection principles, such as</w:t>
        <w:br/>
        <w:t>data minimisation, in an effective manner and to integrate the necessary</w:t>
        <w:br/>
        <w:t>safeguards into the processing in order to meet the requirements of this</w:t>
        <w:br/>
        <w:t>Regulation and protect the rights of data subjects",</w:t>
      </w:r>
      <w:r>
        <w:rPr>
          <w:rStyle w:val="CharStyle17"/>
        </w:rPr>
        <w:t xml:space="preserve"> infringing Article 25(1) (data</w:t>
        <w:br/>
        <w:t>protection by design)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1760" w:right="0" w:firstLine="20"/>
        <w:jc w:val="left"/>
        <w:sectPr>
          <w:headerReference w:type="default" r:id="rId14"/>
          <w:footerReference w:type="default" r:id="rId15"/>
          <w:headerReference w:type="first" r:id="rId16"/>
          <w:footerReference w:type="first" r:id="rId17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1945" w:right="1120" w:bottom="1475" w:left="1469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rStyle w:val="CharStyle17"/>
        </w:rPr>
        <w:t xml:space="preserve">Manx Care failed to </w:t>
      </w:r>
      <w:r>
        <w:rPr>
          <w:rStyle w:val="CharStyle17"/>
          <w:i/>
          <w:iCs/>
        </w:rPr>
        <w:t>"implement appropriate technical and organisational</w:t>
        <w:br/>
        <w:t>measures for ensuring that, by default, only personal data which are necessary</w:t>
        <w:br/>
        <w:t>for each specific purpose of the processing are processed. That obligation applies</w:t>
        <w:br/>
        <w:t>to... the extent of their processing... and their accessibility. In particular, such</w:t>
        <w:br/>
        <w:t>measures shall ensure that by default personal data are not made accessible</w:t>
        <w:br/>
        <w:t>without the individual's intervention to an indefinite number of natural persons"</w:t>
        <w:br/>
      </w:r>
      <w:r>
        <w:rPr>
          <w:rStyle w:val="CharStyle17"/>
        </w:rPr>
        <w:t>infringing Article 25(2) (data protection by default)</w:t>
      </w:r>
    </w:p>
    <w:p>
      <w:pPr>
        <w:pStyle w:val="Style19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1740" w:val="left"/>
        </w:tabs>
        <w:bidi w:val="0"/>
        <w:spacing w:before="0" w:after="0"/>
        <w:ind w:left="1400" w:right="0" w:firstLine="0"/>
        <w:jc w:val="left"/>
      </w:pPr>
      <w:bookmarkStart w:id="45" w:name="bookmark45"/>
      <w:r>
        <w:rPr>
          <w:rStyle w:val="CharStyle20"/>
          <w:b/>
          <w:bCs/>
        </w:rPr>
        <w:t>Article 32 - Security of processing</w:t>
      </w:r>
      <w:bookmarkEnd w:id="45"/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254" w:lineRule="auto"/>
        <w:ind w:left="1740" w:right="0" w:firstLine="0"/>
        <w:jc w:val="left"/>
      </w:pPr>
      <w:r>
        <w:rPr>
          <w:rStyle w:val="CharStyle17"/>
        </w:rPr>
        <w:t>Manx Care failed to implement appropriate technical and organisational</w:t>
        <w:br/>
        <w:t>measures to ensure a level of security appropriate to the risk to the rights and</w:t>
        <w:br/>
        <w:t>freedoms of natural persons caused by the transmission of personal data and</w:t>
        <w:br/>
        <w:t>special category data to any party unconnected with the treatment of the</w:t>
        <w:br/>
        <w:t>patient, infringing Article 32.</w:t>
      </w:r>
    </w:p>
    <w:p>
      <w:pPr>
        <w:pStyle w:val="Style16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40" w:val="left"/>
        </w:tabs>
        <w:bidi w:val="0"/>
        <w:spacing w:before="0" w:after="260" w:line="257" w:lineRule="auto"/>
        <w:ind w:left="1740" w:right="0" w:hanging="340"/>
        <w:jc w:val="left"/>
      </w:pPr>
      <w:r>
        <w:rPr>
          <w:rStyle w:val="CharStyle17"/>
          <w:b/>
          <w:bCs/>
        </w:rPr>
        <w:t>Article 34 - Communication of a personal data breach to the data subject</w:t>
        <w:br/>
      </w:r>
      <w:r>
        <w:rPr>
          <w:rStyle w:val="CharStyle17"/>
        </w:rPr>
        <w:t>The personal data breach represented a high and unmitigated risk to the</w:t>
        <w:br/>
        <w:t>rights and freedoms of the data subject.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254" w:lineRule="auto"/>
        <w:ind w:left="1740" w:right="0" w:firstLine="0"/>
        <w:jc w:val="left"/>
      </w:pPr>
      <w:r>
        <w:rPr>
          <w:rStyle w:val="CharStyle17"/>
        </w:rPr>
        <w:t>Although Manx Care identified on 25 October 2021 that the risk to the data</w:t>
        <w:br/>
        <w:t>subject was "High", it did not communicate the personal data breach to the</w:t>
        <w:br/>
        <w:t>data subject Instead, on 17 December 2021, the Commissioner, pursuant to</w:t>
        <w:br/>
        <w:t xml:space="preserve">Article 34(4) </w:t>
      </w:r>
      <w:r>
        <w:rPr>
          <w:rStyle w:val="CharStyle17"/>
          <w:b/>
          <w:bCs/>
        </w:rPr>
        <w:t xml:space="preserve">"required" </w:t>
      </w:r>
      <w:r>
        <w:rPr>
          <w:rStyle w:val="CharStyle17"/>
        </w:rPr>
        <w:t>Manx Care to do so.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254" w:lineRule="auto"/>
        <w:ind w:left="1740" w:right="0" w:firstLine="0"/>
        <w:jc w:val="left"/>
      </w:pPr>
      <w:r>
        <w:rPr>
          <w:rStyle w:val="CharStyle17"/>
        </w:rPr>
        <w:t>Further, although Manx Care was "required" to communicate the personal</w:t>
        <w:br/>
        <w:t xml:space="preserve">data breach to the data subject </w:t>
      </w:r>
      <w:r>
        <w:rPr>
          <w:rStyle w:val="CharStyle17"/>
          <w:i/>
          <w:iCs/>
        </w:rPr>
        <w:t xml:space="preserve">“without further delay, but in any event </w:t>
      </w:r>
      <w:r>
        <w:rPr>
          <w:rStyle w:val="CharStyle17"/>
          <w:b/>
          <w:bCs/>
          <w:i/>
          <w:iCs/>
        </w:rPr>
        <w:t xml:space="preserve">by </w:t>
      </w:r>
      <w:r>
        <w:rPr>
          <w:rStyle w:val="CharStyle17"/>
          <w:i/>
          <w:iCs/>
        </w:rPr>
        <w:t>24</w:t>
        <w:br/>
        <w:t>December 2021"</w:t>
      </w:r>
      <w:r>
        <w:rPr>
          <w:rStyle w:val="CharStyle17"/>
        </w:rPr>
        <w:t xml:space="preserve"> (emphasis added), Manx Care did not post the letter to the</w:t>
        <w:br/>
        <w:t>data subject until that date, with the resultant further, and avoidable, delay</w:t>
        <w:br/>
        <w:t>due to the Christmas break.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259" w:lineRule="auto"/>
        <w:ind w:left="1740" w:right="0" w:firstLine="0"/>
        <w:jc w:val="left"/>
      </w:pPr>
      <w:r>
        <w:rPr>
          <w:rStyle w:val="CharStyle17"/>
        </w:rPr>
        <w:t>Manx Care infringed Article 34(1) by failing to communicate the personal data</w:t>
        <w:br/>
        <w:t>breach to the data subject "without undue delay" and only after having been</w:t>
        <w:br/>
        <w:t>"required" to do so by the Commissioner.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257" w:lineRule="auto"/>
        <w:ind w:left="1740" w:right="0" w:firstLine="0"/>
        <w:jc w:val="left"/>
      </w:pPr>
      <w:r>
        <w:rPr>
          <w:rStyle w:val="CharStyle17"/>
        </w:rPr>
        <w:t>In addition, Manx Care infringed Article 34(2) by failing to include all the</w:t>
        <w:br/>
        <w:t>requisite information in its communication to the data subject.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/>
        <w:ind w:left="0" w:right="0" w:firstLine="340"/>
        <w:jc w:val="left"/>
      </w:pPr>
      <w:bookmarkStart w:id="47" w:name="bookmark47"/>
      <w:r>
        <w:rPr>
          <w:rStyle w:val="CharStyle20"/>
          <w:b/>
          <w:bCs/>
        </w:rPr>
        <w:t>Other associated infringement</w:t>
      </w:r>
      <w:bookmarkEnd w:id="47"/>
    </w:p>
    <w:p>
      <w:pPr>
        <w:pStyle w:val="Style19"/>
        <w:keepNext/>
        <w:keepLines/>
        <w:widowControl w:val="0"/>
        <w:shd w:val="clear" w:color="auto" w:fill="auto"/>
        <w:bidi w:val="0"/>
        <w:spacing w:before="0"/>
        <w:ind w:left="0" w:right="0" w:firstLine="340"/>
        <w:jc w:val="left"/>
      </w:pPr>
      <w:r>
        <w:rPr>
          <w:rStyle w:val="CharStyle20"/>
          <w:b/>
          <w:bCs/>
        </w:rPr>
        <w:t>Article 58 - Powers (of the Information Commissioner)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10" w:val="left"/>
        </w:tabs>
        <w:bidi w:val="0"/>
        <w:spacing w:before="0" w:after="260" w:line="257" w:lineRule="auto"/>
        <w:ind w:left="1040" w:right="0" w:hanging="320"/>
        <w:jc w:val="left"/>
      </w:pPr>
      <w:r>
        <w:rPr>
          <w:rStyle w:val="CharStyle17"/>
        </w:rPr>
        <w:t>On 29 October 2020, an Enforcement Notice (EN2020/0001) in respect of similar</w:t>
        <w:br/>
        <w:t>personal data breaches and infringements was given to the then Department of</w:t>
        <w:br/>
        <w:t>Health and Social Care. The 'steps' required to be taken were set out in paragraph 11</w:t>
        <w:br/>
        <w:t>of that Enforcement Notice.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05" w:val="left"/>
        </w:tabs>
        <w:bidi w:val="0"/>
        <w:spacing w:before="0" w:after="260" w:line="262" w:lineRule="auto"/>
        <w:ind w:left="1040" w:right="0" w:hanging="320"/>
        <w:jc w:val="left"/>
      </w:pPr>
      <w:r>
        <w:rPr>
          <w:rStyle w:val="CharStyle17"/>
        </w:rPr>
        <w:t>On 1 April 2021, responsibility for compliance with that Enforcement Notice was</w:t>
        <w:br/>
        <w:t>accepted by, and transferred to, Manx Care.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05" w:val="left"/>
        </w:tabs>
        <w:bidi w:val="0"/>
        <w:spacing w:before="0" w:after="260" w:line="262" w:lineRule="auto"/>
        <w:ind w:left="1040" w:right="0" w:hanging="320"/>
        <w:jc w:val="left"/>
      </w:pPr>
      <w:r>
        <w:rPr>
          <w:rStyle w:val="CharStyle17"/>
        </w:rPr>
        <w:t>Manx Care has failed to comply with that Enforcement Notice, infringing Article</w:t>
        <w:br/>
        <w:t>58(2)(d).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/>
        <w:ind w:left="0" w:right="0" w:firstLine="340"/>
        <w:jc w:val="left"/>
      </w:pPr>
      <w:bookmarkStart w:id="50" w:name="bookmark50"/>
      <w:r>
        <w:rPr>
          <w:rStyle w:val="CharStyle20"/>
          <w:b/>
          <w:bCs/>
        </w:rPr>
        <w:t>Aggravating factors</w:t>
      </w:r>
      <w:bookmarkEnd w:id="50"/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15" w:val="left"/>
        </w:tabs>
        <w:bidi w:val="0"/>
        <w:spacing w:before="0" w:after="260" w:line="252" w:lineRule="auto"/>
        <w:ind w:left="1040" w:right="0" w:hanging="320"/>
        <w:jc w:val="left"/>
      </w:pPr>
      <w:r>
        <w:rPr>
          <w:rStyle w:val="CharStyle17"/>
        </w:rPr>
        <w:t>Special category data (data relating to health) was disclosed. Special category data</w:t>
        <w:br/>
        <w:t>merit higher protection and the processing of special category data, by its nature,</w:t>
        <w:br/>
        <w:t>poses a higher risk to the rights and freedoms of data subjects.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7" w:val="left"/>
        </w:tabs>
        <w:bidi w:val="0"/>
        <w:spacing w:before="0" w:after="260" w:line="259" w:lineRule="auto"/>
        <w:ind w:left="1080" w:right="0" w:hanging="340"/>
        <w:jc w:val="left"/>
      </w:pPr>
      <w:r>
        <w:rPr>
          <w:rStyle w:val="CharStyle17"/>
        </w:rPr>
        <w:t>Articles 5(1)(f), 24, 25 and 32 each require 'appropriate technical and organisational</w:t>
        <w:br/>
        <w:t>measures' to be implemented, which take into account the risk to the rights and</w:t>
        <w:br/>
        <w:t>freedoms of data subjects.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7" w:val="left"/>
        </w:tabs>
        <w:bidi w:val="0"/>
        <w:spacing w:before="0" w:after="260" w:line="257" w:lineRule="auto"/>
        <w:ind w:left="1080" w:right="0" w:hanging="340"/>
        <w:jc w:val="left"/>
      </w:pPr>
      <w:r>
        <w:rPr>
          <w:rStyle w:val="CharStyle17"/>
        </w:rPr>
        <w:t>Despite the Enforcement Notice issued in October 2020, including the requirement</w:t>
        <w:br/>
        <w:t>for Manx Care to implement such measures, Manx Care failed to do so and did not</w:t>
        <w:br/>
        <w:t>have appropriate technical and organisational measures to ensure a level of security</w:t>
        <w:br/>
        <w:t>appropriate to the risk.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7" w:val="left"/>
        </w:tabs>
        <w:bidi w:val="0"/>
        <w:spacing w:before="0" w:after="260" w:line="262" w:lineRule="auto"/>
        <w:ind w:left="1080" w:right="0" w:hanging="340"/>
        <w:jc w:val="left"/>
      </w:pPr>
      <w:r>
        <w:rPr>
          <w:rStyle w:val="CharStyle17"/>
        </w:rPr>
        <w:t>The lack of such measures is, therefore, an aggravating factor in respect of the</w:t>
        <w:br/>
        <w:t>infringements of each of those Articles.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72" w:val="left"/>
        </w:tabs>
        <w:bidi w:val="0"/>
        <w:spacing w:before="0" w:after="260" w:line="252" w:lineRule="auto"/>
        <w:ind w:left="1080" w:right="0" w:hanging="340"/>
        <w:jc w:val="left"/>
      </w:pPr>
      <w:r>
        <w:rPr>
          <w:rStyle w:val="CharStyle17"/>
        </w:rPr>
        <w:t>The seriousness of the matter was raised directly with the Chief Executive Officer on</w:t>
        <w:br/>
        <w:t>17 December 2021, following a report of a similar personal data breach.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87" w:val="left"/>
        </w:tabs>
        <w:bidi w:val="0"/>
        <w:spacing w:before="0" w:after="260" w:line="257" w:lineRule="auto"/>
        <w:ind w:left="1080" w:right="0" w:hanging="340"/>
        <w:jc w:val="left"/>
      </w:pPr>
      <w:r>
        <w:rPr>
          <w:rStyle w:val="CharStyle17"/>
        </w:rPr>
        <w:t>Further similar personal data breaches were reported to the Commissioner in January</w:t>
        <w:br/>
        <w:t>2022.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line="257" w:lineRule="auto"/>
        <w:ind w:left="0" w:right="0" w:firstLine="380"/>
        <w:jc w:val="left"/>
      </w:pPr>
      <w:bookmarkStart w:id="52" w:name="bookmark52"/>
      <w:r>
        <w:rPr>
          <w:rStyle w:val="CharStyle20"/>
          <w:b/>
          <w:bCs/>
        </w:rPr>
        <w:t>Mitigating factors</w:t>
      </w:r>
      <w:bookmarkEnd w:id="52"/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2" w:val="left"/>
        </w:tabs>
        <w:bidi w:val="0"/>
        <w:spacing w:before="0" w:after="260" w:line="257" w:lineRule="auto"/>
        <w:ind w:left="0" w:right="0" w:firstLine="720"/>
        <w:jc w:val="left"/>
      </w:pPr>
      <w:r>
        <w:rPr>
          <w:rStyle w:val="CharStyle17"/>
        </w:rPr>
        <w:t>None.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line="257" w:lineRule="auto"/>
        <w:ind w:left="0" w:right="0" w:firstLine="380"/>
        <w:jc w:val="left"/>
      </w:pPr>
      <w:bookmarkStart w:id="54" w:name="bookmark54"/>
      <w:r>
        <w:rPr>
          <w:rStyle w:val="CharStyle20"/>
          <w:b/>
          <w:bCs/>
        </w:rPr>
        <w:t>Amount of proposed penalty</w:t>
      </w:r>
      <w:bookmarkEnd w:id="54"/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2" w:val="left"/>
        </w:tabs>
        <w:bidi w:val="0"/>
        <w:spacing w:before="0" w:after="260" w:line="257" w:lineRule="auto"/>
        <w:ind w:left="0" w:right="0" w:firstLine="720"/>
        <w:jc w:val="left"/>
      </w:pPr>
      <w:r>
        <w:rPr>
          <w:rStyle w:val="CharStyle17"/>
        </w:rPr>
        <w:t>The Commissioner may impose a penalty up to a maximum amount of £1,000,000.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82" w:val="left"/>
        </w:tabs>
        <w:bidi w:val="0"/>
        <w:spacing w:before="0" w:after="260" w:line="257" w:lineRule="auto"/>
        <w:ind w:left="1080" w:right="0" w:hanging="340"/>
        <w:jc w:val="left"/>
      </w:pPr>
      <w:r>
        <w:rPr>
          <w:rStyle w:val="CharStyle17"/>
        </w:rPr>
        <w:t>The Commissioner proposes to impose a penalty of £170,500.00 (One Hundred and</w:t>
        <w:br/>
        <w:t>Seventy Thousand, Five Hundred Pounds).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77" w:val="left"/>
        </w:tabs>
        <w:bidi w:val="0"/>
        <w:spacing w:before="0" w:after="260" w:line="252" w:lineRule="auto"/>
        <w:ind w:left="1080" w:right="0" w:hanging="340"/>
        <w:jc w:val="left"/>
      </w:pPr>
      <w:r>
        <w:rPr>
          <w:rStyle w:val="CharStyle17"/>
        </w:rPr>
        <w:t>The amount of the penalty takes into account the business of the controller, the</w:t>
        <w:br/>
        <w:t>nature of personal data processed and the seriousness of infringements.</w:t>
      </w:r>
    </w:p>
    <w:p>
      <w:pPr>
        <w:pStyle w:val="Style1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62" w:val="left"/>
        </w:tabs>
        <w:bidi w:val="0"/>
        <w:spacing w:before="0" w:after="260" w:line="257" w:lineRule="auto"/>
        <w:ind w:left="0" w:right="0" w:firstLine="720"/>
        <w:jc w:val="left"/>
        <w:sectPr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2240" w:h="18720"/>
          <w:pgMar w:top="2750" w:right="1116" w:bottom="1990" w:left="1474" w:header="0" w:footer="3" w:gutter="0"/>
          <w:cols w:space="720"/>
          <w:noEndnote/>
          <w:rtlGutter w:val="0"/>
          <w:docGrid w:linePitch="360"/>
        </w:sectPr>
      </w:pPr>
      <w:r>
        <w:rPr>
          <w:rStyle w:val="CharStyle17"/>
        </w:rPr>
        <w:t>The proposed penalty is broken down by infringement in Annex 3.</w:t>
      </w:r>
    </w:p>
    <w:tbl>
      <w:tblPr>
        <w:tblOverlap w:val="never"/>
        <w:jc w:val="center"/>
        <w:tblLayout w:type="fixed"/>
      </w:tblPr>
      <w:tblGrid>
        <w:gridCol w:w="4500"/>
        <w:gridCol w:w="4335"/>
        <w:gridCol w:w="1475"/>
        <w:gridCol w:w="1910"/>
        <w:gridCol w:w="2620"/>
      </w:tblGrid>
      <w:tr>
        <w:trPr>
          <w:trHeight w:val="116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Email Group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No of Members of group/sub group/sub-</w:t>
              <w:br/>
              <w:t>sub group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Total</w:t>
              <w:br/>
              <w:t>members of</w:t>
              <w:br/>
              <w:t>Group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No of emails</w:t>
              <w:br/>
              <w:t>sent to Group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Total instances (Total</w:t>
              <w:br/>
              <w:t>members of Group x</w:t>
              <w:br/>
              <w:t>No of emails sent to</w:t>
              <w:br/>
              <w:t>Group)</w:t>
            </w:r>
          </w:p>
        </w:tc>
      </w:tr>
      <w:tr>
        <w:trPr>
          <w:trHeight w:val="112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Community Nursing Staff (NOT</w:t>
              <w:br/>
              <w:t>DISTRICT NURSE REFERRALS)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197 individuals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197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3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591</w:t>
            </w:r>
          </w:p>
        </w:tc>
      </w:tr>
      <w:tr>
        <w:trPr>
          <w:trHeight w:val="84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Community Care Directorate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Individuals circa 900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Plus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6 sub-groups circa 560 individuals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1460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1460</w:t>
            </w:r>
          </w:p>
        </w:tc>
      </w:tr>
      <w:tr>
        <w:trPr>
          <w:trHeight w:val="8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Community Dental Staff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26 individuals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26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26</w:t>
            </w:r>
          </w:p>
        </w:tc>
      </w:tr>
      <w:tr>
        <w:trPr>
          <w:trHeight w:val="57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Community Health Admin Staff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8 individuals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8</w:t>
            </w:r>
          </w:p>
        </w:tc>
      </w:tr>
      <w:tr>
        <w:trPr>
          <w:trHeight w:val="84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Community Support All Staff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58 individuals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58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58</w:t>
            </w:r>
          </w:p>
        </w:tc>
      </w:tr>
      <w:tr>
        <w:trPr>
          <w:trHeight w:val="112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Corporate Services Division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9 individuals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Plus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4 sub-groups (16 individuals)</w:t>
            </w:r>
          </w:p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2 sub-sub-groups (4 individuals)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29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29</w:t>
            </w:r>
          </w:p>
        </w:tc>
      </w:tr>
      <w:tr>
        <w:trPr>
          <w:trHeight w:val="84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Manx Care District Nurses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79 individuals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79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</w:rPr>
              <w:t>7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553</w:t>
            </w:r>
          </w:p>
        </w:tc>
      </w:tr>
      <w:tr>
        <w:trPr>
          <w:trHeight w:val="885" w:hRule="exact"/>
        </w:trPr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39"/>
                <w:b/>
                <w:bCs/>
              </w:rPr>
              <w:t>Total (circa) number of instances of the Email and the Record sent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1837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9"/>
                <w:b/>
                <w:bCs/>
              </w:rPr>
              <w:t>2725</w:t>
            </w:r>
          </w:p>
        </w:tc>
      </w:tr>
    </w:tbl>
    <w:p>
      <w:pPr>
        <w:sectPr>
          <w:headerReference w:type="default" r:id="rId18"/>
          <w:footerReference w:type="default" r:id="rId19"/>
          <w:footnotePr>
            <w:pos w:val="pageBottom"/>
            <w:numFmt w:val="decimal"/>
            <w:numStart w:val="1"/>
            <w:numRestart w:val="continuous"/>
            <w15:footnoteColumns w:val="1"/>
          </w:footnotePr>
          <w:pgSz w:w="18720" w:h="12240" w:orient="landscape"/>
          <w:pgMar w:top="2219" w:right="2123" w:bottom="1381" w:left="1757" w:header="0" w:footer="953" w:gutter="0"/>
          <w:pgNumType w:start="17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2450"/>
        <w:gridCol w:w="1785"/>
        <w:gridCol w:w="1770"/>
        <w:gridCol w:w="1760"/>
      </w:tblGrid>
      <w:tr>
        <w:trPr>
          <w:trHeight w:val="58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Artide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Penalty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2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Aggravating</w:t>
              <w:br/>
              <w:t>factor*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Proposed</w:t>
              <w:br/>
              <w:t>penalty</w:t>
            </w:r>
          </w:p>
        </w:tc>
      </w:tr>
      <w:tr>
        <w:trPr>
          <w:trHeight w:val="28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5(1)(c),(f) &amp; 5(2)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rStyle w:val="CharStyle39"/>
              </w:rPr>
              <w:t>75000.00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25000.00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100000.00</w:t>
            </w:r>
          </w:p>
        </w:tc>
      </w:tr>
      <w:tr>
        <w:trPr>
          <w:trHeight w:val="2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24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rStyle w:val="CharStyle39"/>
              </w:rPr>
              <w:t>10000.00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2000.00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</w:pPr>
            <w:r>
              <w:rPr>
                <w:rStyle w:val="CharStyle39"/>
              </w:rPr>
              <w:t>12000.00</w:t>
            </w:r>
          </w:p>
        </w:tc>
      </w:tr>
      <w:tr>
        <w:trPr>
          <w:trHeight w:val="2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25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5000.00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1000.00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6000.00</w:t>
            </w:r>
          </w:p>
        </w:tc>
      </w:tr>
      <w:tr>
        <w:trPr>
          <w:trHeight w:val="85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9"/>
              </w:rPr>
              <w:t>32 (no penalty applied</w:t>
              <w:br/>
              <w:t>as already included in</w:t>
              <w:br/>
              <w:t>Article 5(1 )(f))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34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rStyle w:val="CharStyle39"/>
              </w:rPr>
              <w:t>17500.00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</w:pPr>
            <w:r>
              <w:rPr>
                <w:rStyle w:val="CharStyle39"/>
              </w:rPr>
              <w:t>17500.00</w:t>
            </w:r>
          </w:p>
        </w:tc>
      </w:tr>
      <w:tr>
        <w:trPr>
          <w:trHeight w:val="2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</w:rPr>
              <w:t>58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rStyle w:val="CharStyle39"/>
              </w:rPr>
              <w:t>35000.00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</w:pPr>
            <w:r>
              <w:rPr>
                <w:rStyle w:val="CharStyle39"/>
              </w:rPr>
              <w:t>35000.00</w:t>
            </w:r>
          </w:p>
        </w:tc>
      </w:tr>
      <w:tr>
        <w:trPr>
          <w:trHeight w:val="30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9"/>
                <w:b/>
                <w:bCs/>
              </w:rPr>
              <w:t>TOTAL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rStyle w:val="CharStyle39"/>
                <w:b/>
                <w:bCs/>
              </w:rPr>
              <w:t>142500.00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  <w:b/>
                <w:bCs/>
              </w:rPr>
              <w:t>28000.00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9"/>
                <w:b/>
                <w:bCs/>
              </w:rPr>
              <w:t>170500.00</w:t>
            </w:r>
          </w:p>
        </w:tc>
      </w:tr>
    </w:tbl>
    <w:sectPr>
      <w:headerReference w:type="default" r:id="rId20"/>
      <w:footerReference w:type="default" r:id="rId21"/>
      <w:footnotePr>
        <w:pos w:val="pageBottom"/>
        <w:numFmt w:val="decimal"/>
        <w:numStart w:val="1"/>
        <w:numRestart w:val="continuous"/>
        <w15:footnoteColumns w:val="1"/>
      </w:footnotePr>
      <w:pgSz w:w="12240" w:h="18720"/>
      <w:pgMar w:top="4395" w:right="2586" w:bottom="4035" w:left="1890" w:header="0" w:footer="3607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1158875</wp:posOffset>
              </wp:positionH>
              <wp:positionV relativeFrom="page">
                <wp:posOffset>10918825</wp:posOffset>
              </wp:positionV>
              <wp:extent cx="5699125" cy="104775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699125" cy="1047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4865" w:val="right"/>
                              <w:tab w:pos="89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>Manx Care</w:t>
                            <w:tab/>
                            <w:t>PN2022/01</w:t>
                            <w:tab/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9"/>
                                <w:rFonts w:ascii="Arial" w:eastAsia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9"/>
                              <w:rFonts w:ascii="Arial" w:eastAsia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 xml:space="preserve">of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>11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91.25pt;margin-top:859.75pt;width:448.75pt;height:8.25pt;z-index:-1887440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4865" w:val="right"/>
                        <w:tab w:pos="89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>Manx Care</w:t>
                      <w:tab/>
                      <w:t>PN2022/01</w:t>
                      <w:tab/>
                      <w:t xml:space="preserve">Page </w:t>
                    </w:r>
                    <w:fldSimple w:instr=" PAGE \* MERGEFORMAT ">
                      <w:r>
                        <w:rPr>
                          <w:rStyle w:val="CharStyle9"/>
                          <w:rFonts w:ascii="Arial" w:eastAsia="Arial" w:hAnsi="Arial" w:cs="Arial"/>
                          <w:b/>
                          <w:bCs/>
                          <w:sz w:val="15"/>
                          <w:szCs w:val="15"/>
                        </w:rPr>
                        <w:t>#</w:t>
                      </w:r>
                    </w:fldSimple>
                    <w:r>
                      <w:rPr>
                        <w:rStyle w:val="CharStyle9"/>
                        <w:rFonts w:ascii="Arial" w:eastAsia="Arial" w:hAnsi="Arial" w:cs="Arial"/>
                        <w:b/>
                        <w:bCs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 xml:space="preserve">of </w:t>
                    </w:r>
                    <w:r>
                      <w:rPr>
                        <w:rStyle w:val="CharStyle9"/>
                        <w:rFonts w:ascii="Arial" w:eastAsia="Arial" w:hAnsi="Arial" w:cs="Arial"/>
                        <w:b/>
                        <w:bCs/>
                        <w:sz w:val="15"/>
                        <w:szCs w:val="1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1174750</wp:posOffset>
              </wp:positionH>
              <wp:positionV relativeFrom="page">
                <wp:posOffset>10843260</wp:posOffset>
              </wp:positionV>
              <wp:extent cx="5695950" cy="161925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695950" cy="1619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4865" w:val="right"/>
                              <w:tab w:pos="897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>Manx Care</w:t>
                            <w:tab/>
                            <w:t>PN2022/01</w:t>
                            <w:tab/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9"/>
                                <w:rFonts w:ascii="Arial" w:eastAsia="Arial" w:hAnsi="Arial" w:cs="Arial"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 xml:space="preserve"> of 11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position:absolute;margin-left:92.5pt;margin-top:853.80000000000007pt;width:448.5pt;height:12.75pt;z-index:-1887440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4865" w:val="right"/>
                        <w:tab w:pos="897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>Manx Care</w:t>
                      <w:tab/>
                      <w:t>PN2022/01</w:t>
                      <w:tab/>
                      <w:t xml:space="preserve">Page </w:t>
                    </w:r>
                    <w:fldSimple w:instr=" PAGE \* MERGEFORMAT ">
                      <w:r>
                        <w:rPr>
                          <w:rStyle w:val="CharStyle9"/>
                          <w:rFonts w:ascii="Arial" w:eastAsia="Arial" w:hAnsi="Arial" w:cs="Arial"/>
                          <w:sz w:val="15"/>
                          <w:szCs w:val="15"/>
                        </w:rPr>
                        <w:t>#</w:t>
                      </w:r>
                    </w:fldSimple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 xml:space="preserve"> of 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6206490</wp:posOffset>
              </wp:positionH>
              <wp:positionV relativeFrom="page">
                <wp:posOffset>11014075</wp:posOffset>
              </wp:positionV>
              <wp:extent cx="501650" cy="98425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1650" cy="984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9"/>
                                <w:rFonts w:ascii="Arial" w:eastAsia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9"/>
                              <w:rFonts w:ascii="Arial" w:eastAsia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 xml:space="preserve">of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>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488.69999999999999pt;margin-top:867.25pt;width:39.5pt;height:7.75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9"/>
                          <w:rFonts w:ascii="Arial" w:eastAsia="Arial" w:hAnsi="Arial" w:cs="Arial"/>
                          <w:b/>
                          <w:bCs/>
                          <w:sz w:val="15"/>
                          <w:szCs w:val="15"/>
                        </w:rPr>
                        <w:t>#</w:t>
                      </w:r>
                    </w:fldSimple>
                    <w:r>
                      <w:rPr>
                        <w:rStyle w:val="CharStyle9"/>
                        <w:rFonts w:ascii="Arial" w:eastAsia="Arial" w:hAnsi="Arial" w:cs="Arial"/>
                        <w:b/>
                        <w:bCs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 xml:space="preserve">of </w:t>
                    </w:r>
                    <w:r>
                      <w:rPr>
                        <w:rStyle w:val="CharStyle9"/>
                        <w:rFonts w:ascii="Arial" w:eastAsia="Arial" w:hAnsi="Arial" w:cs="Arial"/>
                        <w:b/>
                        <w:bCs/>
                        <w:sz w:val="15"/>
                        <w:szCs w:val="1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6184265</wp:posOffset>
              </wp:positionH>
              <wp:positionV relativeFrom="page">
                <wp:posOffset>10509250</wp:posOffset>
              </wp:positionV>
              <wp:extent cx="504825" cy="95250"/>
              <wp:wrapNone/>
              <wp:docPr id="20" name="Shape 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4825" cy="952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9"/>
                                <w:rFonts w:ascii="Arial" w:eastAsia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9"/>
                              <w:rFonts w:ascii="Arial" w:eastAsia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5"/>
                              <w:szCs w:val="15"/>
                            </w:rPr>
                            <w:t xml:space="preserve">of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>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position:absolute;margin-left:486.94999999999999pt;margin-top:827.5pt;width:39.75pt;height:7.5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 xml:space="preserve">Page </w:t>
                    </w:r>
                    <w:fldSimple w:instr=" PAGE \* MERGEFORMAT ">
                      <w:r>
                        <w:rPr>
                          <w:rStyle w:val="CharStyle9"/>
                          <w:rFonts w:ascii="Arial" w:eastAsia="Arial" w:hAnsi="Arial" w:cs="Arial"/>
                          <w:b/>
                          <w:bCs/>
                          <w:sz w:val="15"/>
                          <w:szCs w:val="15"/>
                        </w:rPr>
                        <w:t>#</w:t>
                      </w:r>
                    </w:fldSimple>
                    <w:r>
                      <w:rPr>
                        <w:rStyle w:val="CharStyle9"/>
                        <w:rFonts w:ascii="Arial" w:eastAsia="Arial" w:hAnsi="Arial" w:cs="Arial"/>
                        <w:b/>
                        <w:bCs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Style w:val="CharStyle9"/>
                        <w:rFonts w:ascii="Arial" w:eastAsia="Arial" w:hAnsi="Arial" w:cs="Arial"/>
                        <w:sz w:val="15"/>
                        <w:szCs w:val="15"/>
                      </w:rPr>
                      <w:t xml:space="preserve">of </w:t>
                    </w:r>
                    <w:r>
                      <w:rPr>
                        <w:rStyle w:val="CharStyle9"/>
                        <w:rFonts w:ascii="Arial" w:eastAsia="Arial" w:hAnsi="Arial" w:cs="Arial"/>
                        <w:b/>
                        <w:bCs/>
                        <w:sz w:val="15"/>
                        <w:szCs w:val="1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000000"/>
          <w:u w:val="none"/>
          <w:vertAlign w:val="superscript"/>
        </w:rPr>
        <w:footnoteRef/>
      </w:r>
      <w:r>
        <w:rPr>
          <w:rStyle w:val="CharStyle3"/>
          <w:color w:val="000000"/>
          <w:u w:val="none"/>
        </w:rPr>
        <w:t xml:space="preserve"> </w:t>
      </w:r>
      <w:r>
        <w:fldChar w:fldCharType="begin"/>
      </w:r>
      <w:r>
        <w:rPr/>
        <w:instrText> HYPERLINK "https://digital.nhs.uk/services/nhsmail/the-secure-email-standard" </w:instrText>
      </w:r>
      <w:r>
        <w:fldChar w:fldCharType="separate"/>
      </w:r>
      <w:r>
        <w:rPr>
          <w:rStyle w:val="CharStyle3"/>
        </w:rPr>
        <w:t>https://digital.nhs.uk/services/nhsmail/the-secure-email-standard</w:t>
      </w:r>
      <w:r>
        <w:fldChar w:fldCharType="end"/>
      </w:r>
    </w:p>
  </w:footnote>
  <w:footnote w:id="3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color w:val="000000"/>
          <w:u w:val="none"/>
          <w:vertAlign w:val="superscript"/>
        </w:rPr>
        <w:footnoteRef/>
      </w:r>
      <w:r>
        <w:rPr>
          <w:rStyle w:val="CharStyle3"/>
          <w:color w:val="000000"/>
          <w:u w:val="none"/>
        </w:rPr>
        <w:t xml:space="preserve"> </w:t>
      </w:r>
      <w:r>
        <w:fldChar w:fldCharType="begin"/>
      </w:r>
      <w:r>
        <w:rPr/>
        <w:instrText> HYPERLINK "https://digital.nhs.uk/services/nhsmail/the-secure-emai1-standard/secure-email-standard-dcbl596-guidance" </w:instrText>
      </w:r>
      <w:r>
        <w:fldChar w:fldCharType="separate"/>
      </w:r>
      <w:r>
        <w:rPr>
          <w:rStyle w:val="CharStyle3"/>
        </w:rPr>
        <w:t>https://digital.nhs.uk/services/nhsmail/the-secure-emai1-standard/secure-email-standard-dcbl596-guidance</w:t>
      </w:r>
      <w:r>
        <w:fldChar w:fldCharType="end"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6210300</wp:posOffset>
              </wp:positionH>
              <wp:positionV relativeFrom="page">
                <wp:posOffset>1527810</wp:posOffset>
              </wp:positionV>
              <wp:extent cx="574675" cy="104775"/>
              <wp:wrapNone/>
              <wp:docPr id="4" name="Shape 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4675" cy="1047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CharStyle9"/>
                              <w:rFonts w:ascii="Segoe UI" w:eastAsia="Segoe UI" w:hAnsi="Segoe UI" w:cs="Segoe UI"/>
                              <w:b/>
                              <w:bCs/>
                            </w:rPr>
                            <w:t>ANNEX 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position:absolute;margin-left:489.pt;margin-top:120.3pt;width:45.25pt;height:8.2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CharStyle9"/>
                        <w:rFonts w:ascii="Segoe UI" w:eastAsia="Segoe UI" w:hAnsi="Segoe UI" w:cs="Segoe UI"/>
                        <w:b/>
                        <w:bCs/>
                      </w:rPr>
                      <w:t>ANNEX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6142990</wp:posOffset>
              </wp:positionH>
              <wp:positionV relativeFrom="page">
                <wp:posOffset>1571625</wp:posOffset>
              </wp:positionV>
              <wp:extent cx="561975" cy="104775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61975" cy="1047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CharStyle9"/>
                              <w:rFonts w:ascii="Segoe UI" w:eastAsia="Segoe UI" w:hAnsi="Segoe UI" w:cs="Segoe UI"/>
                              <w:b/>
                              <w:bCs/>
                            </w:rPr>
                            <w:t>ANNEX 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483.69999999999999pt;margin-top:123.75pt;width:44.25pt;height:8.25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CharStyle9"/>
                        <w:rFonts w:ascii="Segoe UI" w:eastAsia="Segoe UI" w:hAnsi="Segoe UI" w:cs="Segoe UI"/>
                        <w:b/>
                        <w:bCs/>
                      </w:rPr>
                      <w:t>ANNEX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9567545</wp:posOffset>
              </wp:positionH>
              <wp:positionV relativeFrom="page">
                <wp:posOffset>1234440</wp:posOffset>
              </wp:positionV>
              <wp:extent cx="577850" cy="98425"/>
              <wp:wrapNone/>
              <wp:docPr id="22" name="Shape 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7850" cy="984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CharStyle9"/>
                              <w:rFonts w:ascii="Segoe UI" w:eastAsia="Segoe UI" w:hAnsi="Segoe UI" w:cs="Segoe UI"/>
                              <w:b/>
                              <w:bCs/>
                            </w:rPr>
                            <w:t>ANNEX 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8" type="#_x0000_t202" style="position:absolute;margin-left:753.35000000000002pt;margin-top:97.200000000000003pt;width:45.5pt;height:7.75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CharStyle9"/>
                        <w:rFonts w:ascii="Segoe UI" w:eastAsia="Segoe UI" w:hAnsi="Segoe UI" w:cs="Segoe UI"/>
                        <w:b/>
                        <w:bCs/>
                      </w:rPr>
                      <w:t>ANNEX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6159500</wp:posOffset>
              </wp:positionH>
              <wp:positionV relativeFrom="page">
                <wp:posOffset>1768475</wp:posOffset>
              </wp:positionV>
              <wp:extent cx="568325" cy="98425"/>
              <wp:wrapNone/>
              <wp:docPr id="24" name="Shape 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68325" cy="984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CharStyle9"/>
                              <w:rFonts w:ascii="Segoe UI" w:eastAsia="Segoe UI" w:hAnsi="Segoe UI" w:cs="Segoe UI"/>
                              <w:b/>
                              <w:bCs/>
                            </w:rPr>
                            <w:t>ANNEX 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position:absolute;margin-left:485.pt;margin-top:139.25pt;width:44.75pt;height:7.75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CharStyle9"/>
                        <w:rFonts w:ascii="Segoe UI" w:eastAsia="Segoe UI" w:hAnsi="Segoe UI" w:cs="Segoe UI"/>
                        <w:b/>
                        <w:bCs/>
                      </w:rPr>
                      <w:t>ANNEX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"/>
      <w:numFmt w:val="lowerLetter"/>
      <w:lvlText w:val="(%1)"/>
      <w:rPr>
        <w:rFonts w:ascii="Segoe UI" w:eastAsia="Segoe UI" w:hAnsi="Segoe UI" w:cs="Segoe U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9"/>
      <w:numFmt w:val="lowerLetter"/>
      <w:lvlText w:val="(%1)"/>
      <w:rPr>
        <w:rFonts w:ascii="Segoe UI" w:eastAsia="Segoe UI" w:hAnsi="Segoe UI" w:cs="Segoe U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2"/>
      <w:numFmt w:val="lowerLetter"/>
      <w:lvlText w:val="(%1)"/>
      <w:rPr>
        <w:rFonts w:ascii="Segoe UI" w:eastAsia="Segoe UI" w:hAnsi="Segoe UI" w:cs="Segoe U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1"/>
      <w:numFmt w:val="decimal"/>
      <w:lvlText w:val="(%1)"/>
      <w:rPr>
        <w:rFonts w:ascii="Segoe UI" w:eastAsia="Segoe UI" w:hAnsi="Segoe UI" w:cs="Segoe U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27"/>
      <w:numFmt w:val="decimal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1"/>
      <w:numFmt w:val="lowerLetter"/>
      <w:lvlText w:val="(%1)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4"/>
      <w:numFmt w:val="lowerLetter"/>
      <w:lvlText w:val="(%1)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1"/>
      <w:numFmt w:val="decimal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2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等线" w:eastAsia="等线" w:hAnsi="等线" w:cs="等线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等线" w:eastAsia="等线" w:hAnsi="等线" w:cs="等线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Footnote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6296D2"/>
      <w:sz w:val="19"/>
      <w:szCs w:val="19"/>
      <w:u w:val="single"/>
    </w:rPr>
  </w:style>
  <w:style w:type="character" w:customStyle="1" w:styleId="CharStyle6">
    <w:name w:val="Heading #2_"/>
    <w:basedOn w:val="DefaultParagraphFont"/>
    <w:link w:val="Style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9">
    <w:name w:val="Header or footer (2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3">
    <w:name w:val="Body text (4)_"/>
    <w:basedOn w:val="DefaultParagraphFont"/>
    <w:link w:val="Style12"/>
    <w:rPr>
      <w:rFonts w:ascii="Arial" w:eastAsia="Arial" w:hAnsi="Arial" w:cs="Arial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CharStyle15">
    <w:name w:val="Heading #3_"/>
    <w:basedOn w:val="DefaultParagraphFont"/>
    <w:link w:val="Style14"/>
    <w:rPr>
      <w:rFonts w:ascii="Segoe UI" w:eastAsia="Segoe UI" w:hAnsi="Segoe UI" w:cs="Segoe UI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7">
    <w:name w:val="Body text_"/>
    <w:basedOn w:val="DefaultParagraphFont"/>
    <w:link w:val="Style16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0">
    <w:name w:val="Heading #4_"/>
    <w:basedOn w:val="DefaultParagraphFont"/>
    <w:link w:val="Style19"/>
    <w:rPr>
      <w:rFonts w:ascii="Segoe UI" w:eastAsia="Segoe UI" w:hAnsi="Segoe UI" w:cs="Segoe UI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8">
    <w:name w:val="Picture caption_"/>
    <w:basedOn w:val="DefaultParagraphFont"/>
    <w:link w:val="Style27"/>
    <w:rPr>
      <w:rFonts w:ascii="Segoe UI" w:eastAsia="Segoe UI" w:hAnsi="Segoe UI" w:cs="Segoe UI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31">
    <w:name w:val="Heading #1_"/>
    <w:basedOn w:val="DefaultParagraphFont"/>
    <w:link w:val="Style30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56"/>
      <w:szCs w:val="56"/>
      <w:u w:val="none"/>
    </w:rPr>
  </w:style>
  <w:style w:type="character" w:customStyle="1" w:styleId="CharStyle33">
    <w:name w:val="Body text (3)_"/>
    <w:basedOn w:val="DefaultParagraphFont"/>
    <w:link w:val="Style32"/>
    <w:rPr>
      <w:rFonts w:ascii="Arial" w:eastAsia="Arial" w:hAnsi="Arial" w:cs="Arial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CharStyle36">
    <w:name w:val="Body text (2)_"/>
    <w:basedOn w:val="DefaultParagraphFont"/>
    <w:link w:val="Style35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39">
    <w:name w:val="Other_"/>
    <w:basedOn w:val="DefaultParagraphFont"/>
    <w:link w:val="Style38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Footnote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6296D2"/>
      <w:sz w:val="19"/>
      <w:szCs w:val="19"/>
      <w:u w:val="single"/>
    </w:rPr>
  </w:style>
  <w:style w:type="paragraph" w:customStyle="1" w:styleId="Style5">
    <w:name w:val="Heading #2"/>
    <w:basedOn w:val="Normal"/>
    <w:link w:val="CharStyle6"/>
    <w:pPr>
      <w:widowControl w:val="0"/>
      <w:shd w:val="clear" w:color="auto" w:fill="auto"/>
      <w:spacing w:after="100" w:line="211" w:lineRule="auto"/>
      <w:jc w:val="center"/>
      <w:outlineLvl w:val="1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paragraph" w:customStyle="1" w:styleId="Style8">
    <w:name w:val="Header or footer (2)"/>
    <w:basedOn w:val="Normal"/>
    <w:link w:val="CharStyle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2">
    <w:name w:val="Body text (4)"/>
    <w:basedOn w:val="Normal"/>
    <w:link w:val="CharStyle13"/>
    <w:pPr>
      <w:widowControl w:val="0"/>
      <w:shd w:val="clear" w:color="auto" w:fill="auto"/>
      <w:spacing w:after="320"/>
      <w:jc w:val="center"/>
    </w:pPr>
    <w:rPr>
      <w:rFonts w:ascii="Arial" w:eastAsia="Arial" w:hAnsi="Arial" w:cs="Arial"/>
      <w:b w:val="0"/>
      <w:bCs w:val="0"/>
      <w:i/>
      <w:iCs/>
      <w:smallCaps w:val="0"/>
      <w:strike w:val="0"/>
      <w:sz w:val="17"/>
      <w:szCs w:val="17"/>
      <w:u w:val="none"/>
    </w:rPr>
  </w:style>
  <w:style w:type="paragraph" w:customStyle="1" w:styleId="Style14">
    <w:name w:val="Heading #3"/>
    <w:basedOn w:val="Normal"/>
    <w:link w:val="CharStyle15"/>
    <w:pPr>
      <w:widowControl w:val="0"/>
      <w:shd w:val="clear" w:color="auto" w:fill="auto"/>
      <w:spacing w:after="320"/>
      <w:jc w:val="center"/>
      <w:outlineLvl w:val="2"/>
    </w:pPr>
    <w:rPr>
      <w:rFonts w:ascii="Segoe UI" w:eastAsia="Segoe UI" w:hAnsi="Segoe UI" w:cs="Segoe UI"/>
      <w:b/>
      <w:bCs/>
      <w:i w:val="0"/>
      <w:iCs w:val="0"/>
      <w:smallCaps w:val="0"/>
      <w:strike w:val="0"/>
      <w:sz w:val="32"/>
      <w:szCs w:val="32"/>
      <w:u w:val="none"/>
    </w:rPr>
  </w:style>
  <w:style w:type="paragraph" w:styleId="Style16">
    <w:name w:val="Body text"/>
    <w:basedOn w:val="Normal"/>
    <w:link w:val="CharStyle17"/>
    <w:qFormat/>
    <w:pPr>
      <w:widowControl w:val="0"/>
      <w:shd w:val="clear" w:color="auto" w:fill="auto"/>
      <w:spacing w:after="280" w:line="266" w:lineRule="auto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9">
    <w:name w:val="Heading #4"/>
    <w:basedOn w:val="Normal"/>
    <w:link w:val="CharStyle20"/>
    <w:pPr>
      <w:widowControl w:val="0"/>
      <w:shd w:val="clear" w:color="auto" w:fill="auto"/>
      <w:spacing w:after="260" w:line="254" w:lineRule="auto"/>
      <w:outlineLvl w:val="3"/>
    </w:pPr>
    <w:rPr>
      <w:rFonts w:ascii="Segoe UI" w:eastAsia="Segoe UI" w:hAnsi="Segoe UI" w:cs="Segoe UI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Style27">
    <w:name w:val="Picture caption"/>
    <w:basedOn w:val="Normal"/>
    <w:link w:val="CharStyle28"/>
    <w:pPr>
      <w:widowControl w:val="0"/>
      <w:shd w:val="clear" w:color="auto" w:fill="auto"/>
    </w:pPr>
    <w:rPr>
      <w:rFonts w:ascii="Segoe UI" w:eastAsia="Segoe UI" w:hAnsi="Segoe UI" w:cs="Segoe UI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Style30">
    <w:name w:val="Heading #1"/>
    <w:basedOn w:val="Normal"/>
    <w:link w:val="CharStyle31"/>
    <w:pPr>
      <w:widowControl w:val="0"/>
      <w:shd w:val="clear" w:color="auto" w:fill="auto"/>
      <w:spacing w:after="160" w:line="209" w:lineRule="auto"/>
      <w:jc w:val="center"/>
      <w:outlineLvl w:val="0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56"/>
      <w:szCs w:val="56"/>
      <w:u w:val="none"/>
    </w:rPr>
  </w:style>
  <w:style w:type="paragraph" w:customStyle="1" w:styleId="Style32">
    <w:name w:val="Body text (3)"/>
    <w:basedOn w:val="Normal"/>
    <w:link w:val="CharStyle33"/>
    <w:pPr>
      <w:widowControl w:val="0"/>
      <w:shd w:val="clear" w:color="auto" w:fill="auto"/>
      <w:jc w:val="center"/>
    </w:pPr>
    <w:rPr>
      <w:rFonts w:ascii="Arial" w:eastAsia="Arial" w:hAnsi="Arial" w:cs="Arial"/>
      <w:b w:val="0"/>
      <w:bCs w:val="0"/>
      <w:i/>
      <w:iCs/>
      <w:smallCaps w:val="0"/>
      <w:strike w:val="0"/>
      <w:sz w:val="22"/>
      <w:szCs w:val="22"/>
      <w:u w:val="none"/>
    </w:rPr>
  </w:style>
  <w:style w:type="paragraph" w:customStyle="1" w:styleId="Style35">
    <w:name w:val="Body text (2)"/>
    <w:basedOn w:val="Normal"/>
    <w:link w:val="CharStyle36"/>
    <w:pPr>
      <w:widowControl w:val="0"/>
      <w:shd w:val="clear" w:color="auto" w:fill="auto"/>
      <w:spacing w:after="300"/>
      <w:ind w:left="130" w:firstLine="10"/>
    </w:pPr>
    <w:rPr>
      <w:rFonts w:ascii="Calibri" w:eastAsia="Calibri" w:hAnsi="Calibri" w:cs="Calibri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38">
    <w:name w:val="Other"/>
    <w:basedOn w:val="Normal"/>
    <w:link w:val="CharStyle39"/>
    <w:pPr>
      <w:widowControl w:val="0"/>
      <w:shd w:val="clear" w:color="auto" w:fill="auto"/>
      <w:spacing w:after="280" w:line="266" w:lineRule="auto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2.jpeg"/><Relationship Id="rId11" Type="http://schemas.openxmlformats.org/officeDocument/2006/relationships/image" Target="media/image2.jpeg" TargetMode="Externa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header" Target="header5.xml"/><Relationship Id="rId19" Type="http://schemas.openxmlformats.org/officeDocument/2006/relationships/footer" Target="footer6.xml"/><Relationship Id="rId20" Type="http://schemas.openxmlformats.org/officeDocument/2006/relationships/header" Target="header6.xml"/><Relationship Id="rId21" Type="http://schemas.openxmlformats.org/officeDocument/2006/relationships/footer" Target="footer7.xml"/></Relationships>
</file>

<file path=docProps/core.xml><?xml version="1.0" encoding="utf-8"?>
<cp:coreProperties xmlns:cp="http://schemas.openxmlformats.org/package/2006/metadata/core-properties" xmlns:dc="http://purl.org/dc/elements/1.1/">
  <dc:title>Penalty Notice -Manx Care 13 July 2022</dc:title>
  <dc:subject>Penalty</dc:subject>
  <dc:creator>IOM Information Commissioner</dc:creator>
  <cp:keywords>penalty iom manx care email secure data protection inofrmation commissioner isle of man</cp:keywords>
</cp:coreProperties>
</file>