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rStyle w:val="CharStyle13"/>
          <w:u w:val="single"/>
        </w:rPr>
        <w:t>In the matter of the General Data Protection Regulation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5760" w:right="0" w:firstLine="0"/>
        <w:jc w:val="left"/>
      </w:pPr>
      <w:r>
        <w:rPr>
          <w:rStyle w:val="CharStyle13"/>
        </w:rPr>
        <w:t>DPC Case Reference: IN-21-6-2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center"/>
      </w:pPr>
      <w:r>
        <w:rPr>
          <w:rStyle w:val="CharStyle13"/>
        </w:rPr>
        <w:t>In the matter of A&amp;G Couriers Limited T/A Fastway Couriers (Ireland)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80" w:line="288" w:lineRule="auto"/>
        <w:ind w:left="0" w:right="0" w:firstLine="0"/>
        <w:jc w:val="center"/>
      </w:pPr>
      <w:r>
        <w:rPr>
          <w:rStyle w:val="CharStyle13"/>
        </w:rPr>
        <w:t>Decision of the Data Protection Commission made pursuant to Section 111 of the Data Protection Act</w:t>
        <w:br/>
        <w:t>2018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220" w:line="240" w:lineRule="auto"/>
        <w:ind w:left="0" w:right="0" w:firstLine="0"/>
        <w:jc w:val="left"/>
      </w:pPr>
      <w:r>
        <w:rPr>
          <w:rStyle w:val="CharStyle13"/>
        </w:rPr>
        <w:t>Further to an own-volition inquiry commenced pursuant to Section 110 of the Data Protection Act 2018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rStyle w:val="CharStyle19"/>
        </w:rPr>
        <w:t>DECISION</w:t>
      </w:r>
      <w:bookmarkEnd w:id="0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020" w:line="240" w:lineRule="auto"/>
        <w:ind w:left="0" w:right="0" w:firstLine="0"/>
        <w:jc w:val="center"/>
      </w:pPr>
      <w:r>
        <w:rPr>
          <w:rStyle w:val="CharStyle13"/>
          <w:b/>
          <w:bCs/>
        </w:rPr>
        <w:t>Decision-Maker for the Data Protection Commission: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500" w:line="252" w:lineRule="auto"/>
        <w:ind w:left="0" w:right="0" w:firstLine="0"/>
        <w:jc w:val="center"/>
      </w:pPr>
      <w:r>
        <w:rPr>
          <w:rStyle w:val="CharStyle13"/>
          <w:b/>
          <w:bCs/>
        </w:rPr>
        <w:t>Helen Dixon</w:t>
        <w:br/>
        <w:t>Commissioner for Data Protection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r>
        <w:rPr>
          <w:rStyle w:val="CharStyle13"/>
        </w:rPr>
        <w:t>30 December 2022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178" w:lineRule="auto"/>
        <w:ind w:left="3880" w:right="0" w:firstLine="0"/>
        <w:jc w:val="left"/>
        <w:rPr>
          <w:sz w:val="22"/>
          <w:szCs w:val="22"/>
        </w:rPr>
      </w:pPr>
      <w:r>
        <w:rPr>
          <w:rStyle w:val="CharStyle13"/>
          <w:sz w:val="22"/>
          <w:szCs w:val="22"/>
        </w:rPr>
        <w:t>An Coimisiun um</w:t>
        <w:br/>
        <w:t>Chosaint Sonrai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/>
        <w:ind w:right="0" w:firstLine="0"/>
        <w:jc w:val="left"/>
      </w:pPr>
      <w:r>
        <w:rPr>
          <w:rStyle w:val="CharStyle23"/>
        </w:rPr>
        <w:t>Data Protection</w:t>
        <w:br/>
        <w:t>Commission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" w:line="194" w:lineRule="auto"/>
        <w:ind w:left="0" w:right="0" w:firstLine="0"/>
        <w:jc w:val="center"/>
      </w:pPr>
      <w:r>
        <w:rPr>
          <w:rStyle w:val="CharStyle13"/>
        </w:rPr>
        <w:t>Data Protection Commission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" w:line="194" w:lineRule="auto"/>
        <w:ind w:left="0" w:right="0" w:firstLine="0"/>
        <w:jc w:val="center"/>
      </w:pPr>
      <w:r>
        <w:rPr>
          <w:rStyle w:val="CharStyle13"/>
        </w:rPr>
        <w:t>21 Fitzwilliam Square South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194" w:lineRule="auto"/>
        <w:ind w:left="0" w:right="0" w:firstLine="0"/>
        <w:jc w:val="center"/>
      </w:pPr>
      <w:r>
        <w:rPr>
          <w:rStyle w:val="CharStyle13"/>
        </w:rPr>
        <w:t>Dublin 2, Ireland</w:t>
      </w:r>
      <w:r>
        <w:br w:type="page"/>
      </w:r>
    </w:p>
    <w:p>
      <w:pPr>
        <w:pStyle w:val="Style24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2" w:name="bookmark2"/>
      <w:r>
        <w:rPr>
          <w:rStyle w:val="CharStyle25"/>
        </w:rPr>
        <w:t>Contents</w:t>
      </w:r>
      <w:bookmarkEnd w:id="2"/>
    </w:p>
    <w:p>
      <w:pPr>
        <w:pStyle w:val="Style2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75" w:val="left"/>
          <w:tab w:leader="dot" w:pos="8547" w:val="right"/>
        </w:tabs>
        <w:bidi w:val="0"/>
        <w:spacing w:before="0" w:line="240" w:lineRule="auto"/>
        <w:ind w:left="0" w:right="0" w:firstLine="0"/>
        <w:jc w:val="both"/>
      </w:pPr>
      <w:r>
        <w:fldChar w:fldCharType="begin"/>
        <w:instrText xml:space="preserve"> TOC \o "1-5" \h \z </w:instrText>
        <w:fldChar w:fldCharType="separate"/>
      </w:r>
      <w:r>
        <w:rPr>
          <w:rStyle w:val="CharStyle27"/>
        </w:rPr>
        <w:t>Introduction</w:t>
        <w:tab/>
        <w:t>3</w:t>
      </w:r>
    </w:p>
    <w:p>
      <w:pPr>
        <w:pStyle w:val="Style2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75" w:val="left"/>
          <w:tab w:pos="2822" w:val="center"/>
          <w:tab w:leader="dot" w:pos="8547" w:val="right"/>
        </w:tabs>
        <w:bidi w:val="0"/>
        <w:spacing w:before="0" w:line="240" w:lineRule="auto"/>
        <w:ind w:left="0" w:right="0" w:firstLine="0"/>
        <w:jc w:val="both"/>
      </w:pPr>
      <w:hyperlink w:anchor="bookmark6" w:tooltip="Current Document">
        <w:r>
          <w:rPr>
            <w:rStyle w:val="CharStyle27"/>
          </w:rPr>
          <w:t>Legal Framework for the</w:t>
          <w:tab/>
          <w:t>Inquiry and the Decision</w:t>
          <w:tab/>
          <w:t>3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84" w:val="left"/>
          <w:tab w:pos="2350" w:val="left"/>
          <w:tab w:leader="dot" w:pos="8594" w:val="right"/>
        </w:tabs>
        <w:bidi w:val="0"/>
        <w:spacing w:before="0" w:line="240" w:lineRule="auto"/>
        <w:ind w:left="0" w:right="0"/>
        <w:jc w:val="both"/>
      </w:pPr>
      <w:hyperlink w:anchor="bookmark8" w:tooltip="Current Document">
        <w:r>
          <w:rPr>
            <w:rStyle w:val="CharStyle27"/>
          </w:rPr>
          <w:t>Legal Basis for the</w:t>
          <w:tab/>
          <w:t>Inquiry</w:t>
          <w:tab/>
          <w:t>3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84" w:val="left"/>
          <w:tab w:leader="dot" w:pos="8594" w:val="right"/>
        </w:tabs>
        <w:bidi w:val="0"/>
        <w:spacing w:before="0" w:line="240" w:lineRule="auto"/>
        <w:ind w:left="0" w:right="0"/>
        <w:jc w:val="both"/>
      </w:pPr>
      <w:hyperlink w:anchor="bookmark10" w:tooltip="Current Document">
        <w:r>
          <w:rPr>
            <w:rStyle w:val="CharStyle27"/>
          </w:rPr>
          <w:t>Data Relationship</w:t>
          <w:tab/>
          <w:t>4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88" w:val="left"/>
          <w:tab w:pos="2350" w:val="left"/>
          <w:tab w:leader="dot" w:pos="8594" w:val="right"/>
        </w:tabs>
        <w:bidi w:val="0"/>
        <w:spacing w:before="0" w:line="240" w:lineRule="auto"/>
        <w:ind w:left="0" w:right="0"/>
        <w:jc w:val="both"/>
      </w:pPr>
      <w:hyperlink w:anchor="bookmark12" w:tooltip="Current Document">
        <w:r>
          <w:rPr>
            <w:rStyle w:val="CharStyle27"/>
          </w:rPr>
          <w:t>Legal Basis for the</w:t>
          <w:tab/>
          <w:t>Decision</w:t>
          <w:tab/>
          <w:t>4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75" w:val="left"/>
          <w:tab w:leader="dot" w:pos="8547" w:val="right"/>
        </w:tabs>
        <w:bidi w:val="0"/>
        <w:spacing w:before="0" w:line="240" w:lineRule="auto"/>
        <w:ind w:left="0" w:right="0" w:firstLine="0"/>
        <w:jc w:val="both"/>
      </w:pPr>
      <w:hyperlink w:anchor="bookmark14" w:tooltip="Current Document">
        <w:r>
          <w:rPr>
            <w:rStyle w:val="CharStyle27"/>
          </w:rPr>
          <w:t>Factual Background</w:t>
          <w:tab/>
          <w:t>4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75" w:val="left"/>
          <w:tab w:leader="dot" w:pos="8547" w:val="right"/>
        </w:tabs>
        <w:bidi w:val="0"/>
        <w:spacing w:before="0" w:line="240" w:lineRule="auto"/>
        <w:ind w:left="0" w:right="0" w:firstLine="0"/>
        <w:jc w:val="both"/>
      </w:pPr>
      <w:hyperlink w:anchor="bookmark16" w:tooltip="Current Document">
        <w:r>
          <w:rPr>
            <w:rStyle w:val="CharStyle27"/>
          </w:rPr>
          <w:t>Scope of the Inquiry</w:t>
          <w:tab/>
          <w:t>10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75" w:val="left"/>
          <w:tab w:leader="dot" w:pos="8547" w:val="right"/>
        </w:tabs>
        <w:bidi w:val="0"/>
        <w:spacing w:before="0" w:line="240" w:lineRule="auto"/>
        <w:ind w:left="0" w:right="0" w:firstLine="0"/>
        <w:jc w:val="both"/>
      </w:pPr>
      <w:hyperlink w:anchor="bookmark18" w:tooltip="Current Document">
        <w:r>
          <w:rPr>
            <w:rStyle w:val="CharStyle27"/>
          </w:rPr>
          <w:t>Issue for Determination</w:t>
          <w:tab/>
          <w:t>10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75" w:val="left"/>
          <w:tab w:pos="2822" w:val="center"/>
          <w:tab w:leader="dot" w:pos="8547" w:val="right"/>
        </w:tabs>
        <w:bidi w:val="0"/>
        <w:spacing w:before="0" w:line="240" w:lineRule="auto"/>
        <w:ind w:left="0" w:right="0" w:firstLine="0"/>
        <w:jc w:val="both"/>
      </w:pPr>
      <w:hyperlink w:anchor="bookmark20" w:tooltip="Current Document">
        <w:r>
          <w:rPr>
            <w:rStyle w:val="CharStyle27"/>
          </w:rPr>
          <w:t>Issue: Article 32(1) of the</w:t>
          <w:tab/>
          <w:t>GDPR</w:t>
          <w:tab/>
          <w:t>11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84" w:val="left"/>
          <w:tab w:leader="dot" w:pos="8594" w:val="right"/>
        </w:tabs>
        <w:bidi w:val="0"/>
        <w:spacing w:before="0" w:line="240" w:lineRule="auto"/>
        <w:ind w:left="0" w:right="0"/>
        <w:jc w:val="both"/>
      </w:pPr>
      <w:hyperlink w:anchor="bookmark22" w:tooltip="Current Document">
        <w:r>
          <w:rPr>
            <w:rStyle w:val="CharStyle27"/>
          </w:rPr>
          <w:t>Assessing Risk</w:t>
          <w:tab/>
          <w:t>11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84" w:val="left"/>
          <w:tab w:pos="3583" w:val="center"/>
          <w:tab w:leader="dot" w:pos="8594" w:val="right"/>
        </w:tabs>
        <w:bidi w:val="0"/>
        <w:spacing w:before="0" w:line="240" w:lineRule="auto"/>
        <w:ind w:left="0" w:right="0"/>
        <w:jc w:val="both"/>
      </w:pPr>
      <w:hyperlink w:anchor="bookmark24" w:tooltip="Current Document">
        <w:r>
          <w:rPr>
            <w:rStyle w:val="CharStyle27"/>
          </w:rPr>
          <w:t>Security Measures Implemented</w:t>
          <w:tab/>
          <w:t>by Fastway</w:t>
          <w:tab/>
          <w:t>15</w:t>
        </w:r>
      </w:hyperlink>
    </w:p>
    <w:p>
      <w:pPr>
        <w:pStyle w:val="Style2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88" w:val="left"/>
          <w:tab w:leader="dot" w:pos="8594" w:val="right"/>
        </w:tabs>
        <w:bidi w:val="0"/>
        <w:spacing w:before="0" w:line="240" w:lineRule="auto"/>
        <w:ind w:left="0" w:right="0"/>
        <w:jc w:val="both"/>
      </w:pPr>
      <w:r>
        <w:rPr>
          <w:rStyle w:val="CharStyle27"/>
        </w:rPr>
        <w:t>The Appropriate Level of Security</w:t>
        <w:tab/>
        <w:t>29</w:t>
      </w:r>
    </w:p>
    <w:p>
      <w:pPr>
        <w:pStyle w:val="Style2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88" w:val="left"/>
          <w:tab w:leader="dot" w:pos="8594" w:val="right"/>
        </w:tabs>
        <w:bidi w:val="0"/>
        <w:spacing w:before="0" w:line="240" w:lineRule="auto"/>
        <w:ind w:left="0" w:right="0"/>
        <w:jc w:val="both"/>
      </w:pPr>
      <w:r>
        <w:rPr>
          <w:rStyle w:val="CharStyle27"/>
        </w:rPr>
        <w:t>Findings</w:t>
        <w:tab/>
        <w:t>32</w:t>
      </w:r>
    </w:p>
    <w:p>
      <w:pPr>
        <w:pStyle w:val="Style2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75" w:val="left"/>
          <w:tab w:leader="dot" w:pos="8547" w:val="right"/>
        </w:tabs>
        <w:bidi w:val="0"/>
        <w:spacing w:before="0" w:line="240" w:lineRule="auto"/>
        <w:ind w:left="0" w:right="0" w:firstLine="0"/>
        <w:jc w:val="both"/>
      </w:pPr>
      <w:r>
        <w:rPr>
          <w:rStyle w:val="CharStyle27"/>
        </w:rPr>
        <w:t>Corrective Powers</w:t>
        <w:tab/>
        <w:t>33</w:t>
      </w:r>
    </w:p>
    <w:p>
      <w:pPr>
        <w:pStyle w:val="Style2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584" w:val="left"/>
          <w:tab w:leader="dot" w:pos="8594" w:val="right"/>
        </w:tabs>
        <w:bidi w:val="0"/>
        <w:spacing w:before="0" w:line="240" w:lineRule="auto"/>
        <w:ind w:left="0" w:right="0"/>
        <w:jc w:val="both"/>
      </w:pPr>
      <w:r>
        <w:rPr>
          <w:rStyle w:val="CharStyle27"/>
        </w:rPr>
        <w:t>Reprimand</w:t>
        <w:tab/>
        <w:t>33</w:t>
      </w:r>
    </w:p>
    <w:p>
      <w:pPr>
        <w:pStyle w:val="Style26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84" w:val="left"/>
          <w:tab w:leader="dot" w:pos="8594" w:val="right"/>
        </w:tabs>
        <w:bidi w:val="0"/>
        <w:spacing w:before="0" w:line="240" w:lineRule="auto"/>
        <w:ind w:left="0" w:right="0"/>
        <w:jc w:val="both"/>
      </w:pPr>
      <w:r>
        <w:rPr>
          <w:rStyle w:val="CharStyle27"/>
        </w:rPr>
        <w:t>Administrative Fine</w:t>
        <w:tab/>
        <w:t>35</w:t>
      </w:r>
    </w:p>
    <w:p>
      <w:pPr>
        <w:pStyle w:val="Style2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68" w:val="left"/>
          <w:tab w:leader="dot" w:pos="8394" w:val="right"/>
        </w:tabs>
        <w:bidi w:val="0"/>
        <w:spacing w:before="0" w:line="240" w:lineRule="auto"/>
        <w:ind w:left="0" w:right="0" w:firstLine="420"/>
        <w:jc w:val="both"/>
      </w:pPr>
      <w:r>
        <w:rPr>
          <w:rStyle w:val="CharStyle27"/>
        </w:rPr>
        <w:t>Whether the Infringement Warrant an Administrative Fine</w:t>
        <w:tab/>
        <w:t>35</w:t>
      </w:r>
    </w:p>
    <w:p>
      <w:pPr>
        <w:pStyle w:val="Style2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68" w:val="left"/>
          <w:tab w:leader="dot" w:pos="8394" w:val="right"/>
        </w:tabs>
        <w:bidi w:val="0"/>
        <w:spacing w:before="0" w:line="240" w:lineRule="auto"/>
        <w:ind w:left="0" w:right="0" w:firstLine="420"/>
        <w:jc w:val="both"/>
      </w:pPr>
      <w:r>
        <w:rPr>
          <w:rStyle w:val="CharStyle27"/>
        </w:rPr>
        <w:t>The Applicable Range for the Administrative Fine</w:t>
        <w:tab/>
        <w:t>44</w:t>
      </w:r>
    </w:p>
    <w:p>
      <w:pPr>
        <w:pStyle w:val="Style2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75" w:val="left"/>
          <w:tab w:leader="dot" w:pos="8547" w:val="right"/>
        </w:tabs>
        <w:bidi w:val="0"/>
        <w:spacing w:before="0" w:line="240" w:lineRule="auto"/>
        <w:ind w:left="0" w:right="0" w:firstLine="0"/>
        <w:jc w:val="both"/>
        <w:sectPr>
          <w:footerReference w:type="default" r:id="rId5"/>
          <w:footnotePr>
            <w:pos w:val="pageBottom"/>
            <w:numFmt w:val="decimal"/>
            <w:numRestart w:val="continuous"/>
          </w:footnotePr>
          <w:pgSz w:w="12240" w:h="18720"/>
          <w:pgMar w:top="2848" w:right="1874" w:bottom="3984" w:left="1722" w:header="2420" w:footer="3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27"/>
        </w:rPr>
        <w:t>Right of Appeal</w:t>
        <w:tab/>
        <w:t>46</w:t>
      </w:r>
      <w:r>
        <w:fldChar w:fldCharType="end"/>
      </w:r>
    </w:p>
    <w:p>
      <w:pPr>
        <w:pStyle w:val="Style24"/>
        <w:keepNext/>
        <w:keepLines/>
        <w:widowControl w:val="0"/>
        <w:shd w:val="clear" w:color="auto" w:fill="auto"/>
        <w:bidi w:val="0"/>
        <w:spacing w:before="0" w:after="500" w:line="240" w:lineRule="auto"/>
        <w:ind w:left="0" w:right="0" w:firstLine="32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1731010</wp:posOffset>
                </wp:positionH>
                <wp:positionV relativeFrom="paragraph">
                  <wp:posOffset>12700</wp:posOffset>
                </wp:positionV>
                <wp:extent cx="1063625" cy="243840"/>
                <wp:wrapSquare wrapText="left"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63625" cy="2438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9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margin-left:136.30000000000001pt;margin-top:1.pt;width:83.75pt;height:19.199999999999999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9"/>
                        </w:rPr>
                        <w:t>Introduction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bookmarkStart w:id="4" w:name="bookmark4"/>
      <w:r>
        <w:rPr>
          <w:rStyle w:val="CharStyle25"/>
        </w:rPr>
        <w:t>1</w:t>
      </w:r>
      <w:bookmarkEnd w:id="4"/>
    </w:p>
    <w:p>
      <w:pPr>
        <w:pStyle w:val="Style12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960" w:val="left"/>
        </w:tabs>
        <w:bidi w:val="0"/>
        <w:spacing w:before="0" w:line="288" w:lineRule="auto"/>
        <w:ind w:left="900" w:right="0" w:hanging="540"/>
        <w:jc w:val="both"/>
      </w:pPr>
      <w:r>
        <w:rPr>
          <w:rStyle w:val="CharStyle13"/>
        </w:rPr>
        <w:t xml:space="preserve">This document </w:t>
      </w:r>
      <w:r>
        <w:rPr>
          <w:rStyle w:val="CharStyle13"/>
          <w:b/>
          <w:bCs/>
        </w:rPr>
        <w:t xml:space="preserve">('the Decision') </w:t>
      </w:r>
      <w:r>
        <w:rPr>
          <w:rStyle w:val="CharStyle13"/>
        </w:rPr>
        <w:t xml:space="preserve">is </w:t>
      </w:r>
      <w:r>
        <w:rPr>
          <w:rStyle w:val="CharStyle13"/>
          <w:b/>
          <w:bCs/>
        </w:rPr>
        <w:t xml:space="preserve">a </w:t>
      </w:r>
      <w:r>
        <w:rPr>
          <w:rStyle w:val="CharStyle13"/>
        </w:rPr>
        <w:t xml:space="preserve">decision made by the Data Protection Commission </w:t>
      </w:r>
      <w:r>
        <w:rPr>
          <w:rStyle w:val="CharStyle13"/>
          <w:b/>
          <w:bCs/>
        </w:rPr>
        <w:t>('the</w:t>
        <w:br/>
        <w:t xml:space="preserve">DPC') </w:t>
      </w:r>
      <w:r>
        <w:rPr>
          <w:rStyle w:val="CharStyle13"/>
        </w:rPr>
        <w:t xml:space="preserve">in accordance with section 111 of the Data Protection Act 2018 </w:t>
      </w:r>
      <w:r>
        <w:rPr>
          <w:rStyle w:val="CharStyle13"/>
          <w:b/>
          <w:bCs/>
        </w:rPr>
        <w:t xml:space="preserve">('the 2018 Act'). </w:t>
      </w:r>
      <w:r>
        <w:rPr>
          <w:rStyle w:val="CharStyle13"/>
        </w:rPr>
        <w:t>I</w:t>
        <w:br/>
        <w:t>make this Decision having considered the information obtained in the own volition inquiry</w:t>
        <w:br/>
      </w:r>
      <w:r>
        <w:rPr>
          <w:rStyle w:val="CharStyle13"/>
          <w:b/>
          <w:bCs/>
        </w:rPr>
        <w:t xml:space="preserve">('the Inquiry') </w:t>
      </w:r>
      <w:r>
        <w:rPr>
          <w:rStyle w:val="CharStyle13"/>
        </w:rPr>
        <w:t>pursuant to section 110 of the 2018 Act.</w:t>
      </w:r>
    </w:p>
    <w:p>
      <w:pPr>
        <w:pStyle w:val="Style12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960" w:val="left"/>
        </w:tabs>
        <w:bidi w:val="0"/>
        <w:spacing w:before="0" w:line="288" w:lineRule="auto"/>
        <w:ind w:left="900" w:right="0" w:hanging="540"/>
        <w:jc w:val="both"/>
      </w:pPr>
      <w:r>
        <w:rPr>
          <w:rStyle w:val="CharStyle13"/>
        </w:rPr>
        <w:t xml:space="preserve">A&amp;G Couriers Limited T/A Fastway Couriers (Ireland) </w:t>
      </w:r>
      <w:r>
        <w:rPr>
          <w:rStyle w:val="CharStyle13"/>
          <w:b/>
          <w:bCs/>
        </w:rPr>
        <w:t xml:space="preserve">('Fastway') </w:t>
      </w:r>
      <w:r>
        <w:rPr>
          <w:rStyle w:val="CharStyle13"/>
        </w:rPr>
        <w:t>was provided with a Draft</w:t>
        <w:br/>
        <w:t xml:space="preserve">Decision </w:t>
      </w:r>
      <w:r>
        <w:rPr>
          <w:rStyle w:val="CharStyle13"/>
          <w:b/>
          <w:bCs/>
        </w:rPr>
        <w:t xml:space="preserve">('the Draft Decision') </w:t>
      </w:r>
      <w:r>
        <w:rPr>
          <w:rStyle w:val="CharStyle13"/>
        </w:rPr>
        <w:t>on this Inquiry on 11 April 2022 to give it final opportunity</w:t>
        <w:br/>
        <w:t>to make submissions. This Decision is being provided to Fastway pursuant to section</w:t>
        <w:br/>
        <w:t>116(l)(a) of the 2018 Act in order to give Fastway notice of the Decision, the reasons for it,</w:t>
        <w:br/>
        <w:t>and the corrective powers that I have decided to exercise.</w:t>
      </w:r>
    </w:p>
    <w:p>
      <w:pPr>
        <w:pStyle w:val="Style12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960" w:val="left"/>
        </w:tabs>
        <w:bidi w:val="0"/>
        <w:spacing w:before="0" w:after="500" w:line="288" w:lineRule="auto"/>
        <w:ind w:left="900" w:right="0" w:hanging="540"/>
        <w:jc w:val="both"/>
      </w:pPr>
      <w:r>
        <w:rPr>
          <w:rStyle w:val="CharStyle13"/>
        </w:rPr>
        <w:t>This Decision contains corrective powers under section 115 of the 2018 Act and Article</w:t>
        <w:br/>
        <w:t xml:space="preserve">58(2) of the General Data Protection Regulation </w:t>
      </w:r>
      <w:r>
        <w:rPr>
          <w:rStyle w:val="CharStyle13"/>
          <w:b/>
          <w:bCs/>
        </w:rPr>
        <w:t xml:space="preserve">('the GDPR') </w:t>
      </w:r>
      <w:r>
        <w:rPr>
          <w:rStyle w:val="CharStyle13"/>
        </w:rPr>
        <w:t>arising from the</w:t>
        <w:br/>
        <w:t>infringements which have been identified herein. In this regard, Fastway is required to</w:t>
        <w:br/>
        <w:t>comply with these corrective powers.</w:t>
      </w:r>
    </w:p>
    <w:p>
      <w:pPr>
        <w:pStyle w:val="Style24"/>
        <w:keepNext/>
        <w:keepLines/>
        <w:widowControl w:val="0"/>
        <w:shd w:val="clear" w:color="auto" w:fill="auto"/>
        <w:bidi w:val="0"/>
        <w:spacing w:before="0" w:after="500" w:line="240" w:lineRule="auto"/>
        <w:ind w:left="0" w:right="0" w:firstLine="540"/>
        <w:jc w:val="left"/>
      </w:pPr>
      <w:bookmarkStart w:id="6" w:name="bookmark6"/>
      <w:r>
        <w:rPr>
          <w:rStyle w:val="CharStyle25"/>
        </w:rPr>
        <w:t xml:space="preserve">2. Legal Framework </w:t>
      </w:r>
      <w:r>
        <w:rPr>
          <w:rStyle w:val="CharStyle25"/>
          <w:color w:val="8DADB6"/>
        </w:rPr>
        <w:t xml:space="preserve">for </w:t>
      </w:r>
      <w:r>
        <w:rPr>
          <w:rStyle w:val="CharStyle25"/>
        </w:rPr>
        <w:t>the Inquiry and the Decision</w:t>
      </w:r>
      <w:bookmarkEnd w:id="6"/>
    </w:p>
    <w:p>
      <w:pPr>
        <w:pStyle w:val="Style31"/>
        <w:keepNext/>
        <w:keepLines/>
        <w:widowControl w:val="0"/>
        <w:numPr>
          <w:ilvl w:val="0"/>
          <w:numId w:val="17"/>
        </w:numPr>
        <w:shd w:val="clear" w:color="auto" w:fill="auto"/>
        <w:tabs>
          <w:tab w:pos="949" w:val="left"/>
        </w:tabs>
        <w:bidi w:val="0"/>
        <w:spacing w:before="0" w:line="240" w:lineRule="auto"/>
        <w:ind w:left="0" w:right="0" w:firstLine="320"/>
        <w:jc w:val="left"/>
        <w:rPr>
          <w:sz w:val="24"/>
          <w:szCs w:val="24"/>
        </w:rPr>
      </w:pPr>
      <w:bookmarkStart w:id="8" w:name="bookmark8"/>
      <w:r>
        <w:rPr>
          <w:rStyle w:val="CharStyle32"/>
          <w:color w:val="8DADB6"/>
          <w:sz w:val="24"/>
          <w:szCs w:val="24"/>
        </w:rPr>
        <w:t xml:space="preserve">Legal </w:t>
      </w:r>
      <w:r>
        <w:rPr>
          <w:rStyle w:val="CharStyle32"/>
          <w:sz w:val="24"/>
          <w:szCs w:val="24"/>
        </w:rPr>
        <w:t xml:space="preserve">Basis for </w:t>
      </w:r>
      <w:r>
        <w:rPr>
          <w:rStyle w:val="CharStyle32"/>
          <w:color w:val="8DADB6"/>
          <w:sz w:val="24"/>
          <w:szCs w:val="24"/>
        </w:rPr>
        <w:t>rhe Inquiry</w:t>
      </w:r>
      <w:bookmarkEnd w:id="8"/>
    </w:p>
    <w:p>
      <w:pPr>
        <w:pStyle w:val="Style12"/>
        <w:keepNext w:val="0"/>
        <w:keepLines w:val="0"/>
        <w:widowControl w:val="0"/>
        <w:numPr>
          <w:ilvl w:val="1"/>
          <w:numId w:val="19"/>
        </w:numPr>
        <w:shd w:val="clear" w:color="auto" w:fill="auto"/>
        <w:tabs>
          <w:tab w:pos="960" w:val="left"/>
        </w:tabs>
        <w:bidi w:val="0"/>
        <w:spacing w:before="0"/>
        <w:ind w:left="900" w:right="0" w:hanging="540"/>
        <w:jc w:val="both"/>
      </w:pPr>
      <w:r>
        <w:rPr>
          <w:rStyle w:val="CharStyle13"/>
        </w:rPr>
        <w:t>The GDPR is the legal regime covering the processing of personal data in the European</w:t>
        <w:br/>
        <w:t>Union. As a regulation, the GDPR is directly applicable in EU member states. The GDPR is</w:t>
        <w:br/>
        <w:t>given further effect in Irish law by the 2018 Act. As stated above, the Inquiry was</w:t>
        <w:br/>
        <w:t>commenced pursuant to section 110 of the 2018 Act. By way of background in this regard,</w:t>
        <w:br/>
        <w:t>under Part 6 of the 2018 Act, the DPC has the power to commence an inquiry on several</w:t>
        <w:br/>
        <w:t>bases, including on foot of a complaint, or of its own volition.</w:t>
      </w:r>
    </w:p>
    <w:p>
      <w:pPr>
        <w:pStyle w:val="Style12"/>
        <w:keepNext w:val="0"/>
        <w:keepLines w:val="0"/>
        <w:widowControl w:val="0"/>
        <w:numPr>
          <w:ilvl w:val="1"/>
          <w:numId w:val="19"/>
        </w:numPr>
        <w:shd w:val="clear" w:color="auto" w:fill="auto"/>
        <w:tabs>
          <w:tab w:pos="960" w:val="left"/>
        </w:tabs>
        <w:bidi w:val="0"/>
        <w:spacing w:before="0" w:after="420"/>
        <w:ind w:left="900" w:right="0" w:hanging="540"/>
        <w:jc w:val="both"/>
      </w:pPr>
      <w:r>
        <w:rPr>
          <w:rStyle w:val="CharStyle13"/>
        </w:rPr>
        <w:t>Section 110(1) of the 2018 Act provides that the DPC may, for the purpose of section</w:t>
        <w:br/>
        <w:t>109(5)(e) or section 113(2) of the 2018 Act, or of its own volition, cause such inquiry as it</w:t>
        <w:br/>
        <w:t>thinks fit to be conducted, in order to ascertain whether an infringement has occurred or</w:t>
        <w:br/>
        <w:t>is occurring of the GDPR or a provision of the 2018 Act, or regulation under the Act, that</w:t>
        <w:br/>
        <w:t>gives further effect to the GDPR. Section 110(2) of the 2018 Act provides that the DPC may,</w:t>
        <w:br/>
        <w:t>for the purposes of section 110(1), where it considers it appropriate to do so, cause any of</w:t>
        <w:br/>
        <w:t>its powers under Chapter 4 of Part 6 of the 2018 Act (excluding section 135 of the 2018</w:t>
        <w:br/>
        <w:t>Act) to be exercised and / or cause an investigation under Chapter 5 of Part 6 of the 2018</w:t>
        <w:br/>
        <w:t>Act to be carried out.</w:t>
      </w:r>
      <w:r>
        <w:br w:type="page"/>
      </w:r>
    </w:p>
    <w:p>
      <w:pPr>
        <w:pStyle w:val="Style31"/>
        <w:keepNext/>
        <w:keepLines/>
        <w:widowControl w:val="0"/>
        <w:numPr>
          <w:ilvl w:val="0"/>
          <w:numId w:val="17"/>
        </w:numPr>
        <w:shd w:val="clear" w:color="auto" w:fill="auto"/>
        <w:tabs>
          <w:tab w:pos="979" w:val="left"/>
        </w:tabs>
        <w:bidi w:val="0"/>
        <w:spacing w:before="0" w:after="300" w:line="240" w:lineRule="auto"/>
        <w:ind w:left="0" w:right="0"/>
        <w:jc w:val="left"/>
      </w:pPr>
      <w:bookmarkStart w:id="10" w:name="bookmark10"/>
      <w:r>
        <w:rPr>
          <w:rStyle w:val="CharStyle32"/>
        </w:rPr>
        <w:t>Data Relationship</w:t>
      </w:r>
      <w:bookmarkEnd w:id="10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60"/>
        <w:ind w:left="980" w:right="0" w:hanging="580"/>
        <w:jc w:val="both"/>
      </w:pPr>
      <w:r>
        <w:rPr>
          <w:rStyle w:val="CharStyle13"/>
        </w:rPr>
        <w:t>2.3 In notifying the personal data breach on 4 March 2021, Fastway initially identified itself as</w:t>
        <w:br/>
        <w:t>a data controller with the meaning of Article 4(7) of the GDPR.</w:t>
      </w:r>
      <w:r>
        <w:rPr>
          <w:rStyle w:val="CharStyle13"/>
          <w:vertAlign w:val="superscript"/>
        </w:rPr>
        <w:footnoteReference w:id="2"/>
      </w:r>
      <w:r>
        <w:rPr>
          <w:rStyle w:val="CharStyle13"/>
        </w:rPr>
        <w:t xml:space="preserve"> Fastway, then, further</w:t>
        <w:br/>
        <w:t>clarified in the course of the personal data breach handling process that in some cases it</w:t>
        <w:br/>
        <w:t>was a controller, in some a joint controller and in some other a processor.</w:t>
      </w:r>
      <w:r>
        <w:rPr>
          <w:rStyle w:val="CharStyle13"/>
          <w:vertAlign w:val="superscript"/>
        </w:rPr>
        <w:footnoteReference w:id="3"/>
      </w:r>
      <w:r>
        <w:rPr>
          <w:rStyle w:val="CharStyle13"/>
        </w:rPr>
        <w:t xml:space="preserve"> As outlined</w:t>
        <w:br/>
        <w:t>below, the scope of the Inquiry and this Decision relates to the obligation to implement</w:t>
        <w:br/>
        <w:t>appropriate technical and organisational measures pursuant to 32(1) of the GDPR. This</w:t>
        <w:br/>
        <w:t>obligation applies equally to data controllers and data processors. Therefore, it is not</w:t>
        <w:br/>
        <w:t>necessary for the purposes of this Decision to consider for which exact processing Fastway</w:t>
        <w:br/>
        <w:t>is a controller, joint controller, or processor. Fastway has identified itself as either a</w:t>
        <w:br/>
        <w:t>controller or processor in respect of all of the relevant processing operations under</w:t>
        <w:br/>
        <w:t>consideration in this Decision. Therefore, the obligation under 32(1) of the GDPR applies</w:t>
        <w:br/>
        <w:t>to Fastway in all of those circumstances.</w:t>
      </w:r>
    </w:p>
    <w:p>
      <w:pPr>
        <w:pStyle w:val="Style31"/>
        <w:keepNext/>
        <w:keepLines/>
        <w:widowControl w:val="0"/>
        <w:numPr>
          <w:ilvl w:val="0"/>
          <w:numId w:val="17"/>
        </w:numPr>
        <w:shd w:val="clear" w:color="auto" w:fill="auto"/>
        <w:tabs>
          <w:tab w:pos="979" w:val="left"/>
        </w:tabs>
        <w:bidi w:val="0"/>
        <w:spacing w:before="0" w:after="300" w:line="240" w:lineRule="auto"/>
        <w:ind w:left="0" w:right="0"/>
        <w:jc w:val="left"/>
      </w:pPr>
      <w:bookmarkStart w:id="12" w:name="bookmark12"/>
      <w:r>
        <w:rPr>
          <w:rStyle w:val="CharStyle32"/>
        </w:rPr>
        <w:t xml:space="preserve">Legal Basis </w:t>
      </w:r>
      <w:r>
        <w:rPr>
          <w:rStyle w:val="CharStyle32"/>
          <w:color w:val="8DADB6"/>
        </w:rPr>
        <w:t xml:space="preserve">for </w:t>
      </w:r>
      <w:r>
        <w:rPr>
          <w:rStyle w:val="CharStyle32"/>
        </w:rPr>
        <w:t>the Decision</w:t>
      </w:r>
      <w:bookmarkEnd w:id="12"/>
    </w:p>
    <w:p>
      <w:pPr>
        <w:pStyle w:val="Style12"/>
        <w:keepNext w:val="0"/>
        <w:keepLines w:val="0"/>
        <w:widowControl w:val="0"/>
        <w:numPr>
          <w:ilvl w:val="1"/>
          <w:numId w:val="21"/>
        </w:numPr>
        <w:shd w:val="clear" w:color="auto" w:fill="auto"/>
        <w:tabs>
          <w:tab w:pos="1007" w:val="left"/>
        </w:tabs>
        <w:bidi w:val="0"/>
        <w:spacing w:before="0" w:after="300"/>
        <w:ind w:left="980" w:right="0" w:hanging="580"/>
        <w:jc w:val="both"/>
      </w:pPr>
      <w:r>
        <w:rPr>
          <w:rStyle w:val="CharStyle13"/>
        </w:rPr>
        <w:t>Section 111 of the 2018 Act requires that the DPC must consider the information obtained</w:t>
        <w:br/>
        <w:t>during the Inquiry to decide whether an infringement is occurring or has occurred and, if</w:t>
        <w:br/>
        <w:t>so, to decide on the corrective powers, if any, to be exercised. As the sole member of the</w:t>
        <w:br/>
        <w:t>DPC as defined in section 15 of the 2018 Act, I perform this function in my role as the</w:t>
        <w:br/>
        <w:t>decision-maker in the DPC. In so doing, I am required to assess all of the materials and</w:t>
        <w:br/>
        <w:t>submissions gathered during the Inquiry, as well as submissions that Fastway has furnished</w:t>
        <w:br/>
        <w:t>to me, and any other materials which I consider to be relevant in the course of the</w:t>
        <w:br/>
        <w:t>preparation of this Decision.</w:t>
      </w:r>
    </w:p>
    <w:p>
      <w:pPr>
        <w:pStyle w:val="Style12"/>
        <w:keepNext w:val="0"/>
        <w:keepLines w:val="0"/>
        <w:widowControl w:val="0"/>
        <w:numPr>
          <w:ilvl w:val="1"/>
          <w:numId w:val="21"/>
        </w:numPr>
        <w:shd w:val="clear" w:color="auto" w:fill="auto"/>
        <w:tabs>
          <w:tab w:pos="1007" w:val="left"/>
        </w:tabs>
        <w:bidi w:val="0"/>
        <w:spacing w:before="0" w:after="300" w:line="283" w:lineRule="auto"/>
        <w:ind w:left="980" w:right="0" w:hanging="580"/>
        <w:jc w:val="both"/>
      </w:pPr>
      <w:r>
        <w:rPr>
          <w:rStyle w:val="CharStyle13"/>
        </w:rPr>
        <w:t>On 11 April 2022 I issued a Draft Decision to Fastway. Fastway made submissions on the</w:t>
        <w:br/>
        <w:t>Draft Decisions on 9 and 25 May 2022.</w:t>
      </w:r>
    </w:p>
    <w:p>
      <w:pPr>
        <w:pStyle w:val="Style12"/>
        <w:keepNext w:val="0"/>
        <w:keepLines w:val="0"/>
        <w:widowControl w:val="0"/>
        <w:numPr>
          <w:ilvl w:val="1"/>
          <w:numId w:val="21"/>
        </w:numPr>
        <w:shd w:val="clear" w:color="auto" w:fill="auto"/>
        <w:tabs>
          <w:tab w:pos="1007" w:val="left"/>
        </w:tabs>
        <w:bidi w:val="0"/>
        <w:spacing w:before="0" w:after="700"/>
        <w:ind w:left="980" w:right="0" w:hanging="580"/>
        <w:jc w:val="both"/>
      </w:pPr>
      <w:r>
        <w:rPr>
          <w:rStyle w:val="CharStyle13"/>
        </w:rPr>
        <w:t>Having considered the submissions that Fastway decided to make in respect of the Draft</w:t>
        <w:br/>
        <w:t>Decision on 9 and 25 May 2022, I had regard to those submissions before proceeding to</w:t>
        <w:br/>
        <w:t>make this Decision under section 111 of the 2018 Act.</w:t>
      </w:r>
    </w:p>
    <w:p>
      <w:pPr>
        <w:pStyle w:val="Style24"/>
        <w:keepNext/>
        <w:keepLines/>
        <w:widowControl w:val="0"/>
        <w:numPr>
          <w:ilvl w:val="0"/>
          <w:numId w:val="23"/>
        </w:numPr>
        <w:shd w:val="clear" w:color="auto" w:fill="auto"/>
        <w:tabs>
          <w:tab w:pos="979" w:val="left"/>
        </w:tabs>
        <w:bidi w:val="0"/>
        <w:spacing w:before="0" w:after="580" w:line="240" w:lineRule="auto"/>
        <w:ind w:left="0" w:right="0" w:firstLine="360"/>
        <w:jc w:val="left"/>
      </w:pPr>
      <w:bookmarkStart w:id="14" w:name="bookmark14"/>
      <w:r>
        <w:rPr>
          <w:rStyle w:val="CharStyle25"/>
        </w:rPr>
        <w:t>Factual Background</w:t>
      </w:r>
      <w:bookmarkEnd w:id="14"/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1007" w:val="left"/>
        </w:tabs>
        <w:bidi w:val="0"/>
        <w:spacing w:before="0" w:after="380" w:line="288" w:lineRule="auto"/>
        <w:ind w:left="960" w:right="0" w:hanging="560"/>
        <w:jc w:val="both"/>
      </w:pPr>
      <w:r>
        <w:rPr>
          <w:rStyle w:val="CharStyle13"/>
        </w:rPr>
        <w:t>Fastway is a company limited by shares</w:t>
      </w:r>
      <w:r>
        <w:rPr>
          <w:rStyle w:val="CharStyle13"/>
          <w:vertAlign w:val="superscript"/>
        </w:rPr>
        <w:footnoteReference w:id="4"/>
      </w:r>
      <w:r>
        <w:rPr>
          <w:rStyle w:val="CharStyle13"/>
        </w:rPr>
        <w:t>, which provides courier services, such as delivery</w:t>
        <w:br/>
        <w:t>of parcels, letters, packages, and documents, as well as parcel tracking and tracing options.</w:t>
      </w:r>
      <w:r>
        <w:br w:type="page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/>
        <w:ind w:left="980" w:right="0" w:firstLine="40"/>
        <w:jc w:val="both"/>
      </w:pPr>
      <w:r>
        <w:rPr>
          <w:rStyle w:val="CharStyle13"/>
        </w:rPr>
        <w:t xml:space="preserve">It appears to be </w:t>
      </w:r>
      <w:r>
        <w:rPr>
          <w:rStyle w:val="CharStyle13"/>
          <w:i/>
          <w:iCs/>
        </w:rPr>
        <w:t>"one of the largest courier businesses in Ireland, handling over 25 million</w:t>
        <w:br/>
        <w:t>parcels annually, as the delivery partner to over 15,000 Domestic and International</w:t>
        <w:br/>
        <w:t>clients”</w:t>
      </w:r>
      <w:r>
        <w:rPr>
          <w:rStyle w:val="CharStyle13"/>
          <w:i/>
          <w:iCs/>
          <w:vertAlign w:val="superscript"/>
        </w:rPr>
        <w:footnoteReference w:id="5"/>
      </w:r>
      <w:r>
        <w:rPr>
          <w:rStyle w:val="CharStyle13"/>
          <w:i/>
          <w:iCs/>
        </w:rPr>
        <w:t>.</w:t>
      </w:r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1014" w:val="left"/>
        </w:tabs>
        <w:bidi w:val="0"/>
        <w:spacing w:before="0" w:line="288" w:lineRule="auto"/>
        <w:ind w:left="980" w:right="0" w:hanging="580"/>
        <w:jc w:val="both"/>
      </w:pPr>
      <w:r>
        <w:rPr>
          <w:rStyle w:val="CharStyle13"/>
        </w:rPr>
        <w:t>Fastway processes personal data of data subjects related to each parcel in order deliver</w:t>
        <w:br/>
        <w:t>them, and stores these personal data in its internal report system for a period of</w:t>
        <w:br/>
        <w:t>thirty (30) days. After this period, the personal data is anonymised</w:t>
      </w:r>
      <w:r>
        <w:rPr>
          <w:rStyle w:val="CharStyle13"/>
          <w:vertAlign w:val="superscript"/>
        </w:rPr>
        <w:footnoteReference w:id="6"/>
      </w:r>
      <w:r>
        <w:rPr>
          <w:rStyle w:val="CharStyle13"/>
        </w:rPr>
        <w:t>.</w:t>
      </w:r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1014" w:val="left"/>
        </w:tabs>
        <w:bidi w:val="0"/>
        <w:spacing w:before="0"/>
        <w:ind w:left="980" w:right="0" w:hanging="580"/>
        <w:jc w:val="both"/>
      </w:pPr>
      <w:r>
        <w:rPr>
          <w:rStyle w:val="CharStyle13"/>
        </w:rPr>
        <w:t>Fastway notified the DPC of the personal data breach on 4 March 2021.</w:t>
      </w:r>
      <w:r>
        <w:rPr>
          <w:rStyle w:val="CharStyle13"/>
          <w:vertAlign w:val="superscript"/>
        </w:rPr>
        <w:footnoteReference w:id="7"/>
      </w:r>
      <w:r>
        <w:rPr>
          <w:rStyle w:val="CharStyle13"/>
        </w:rPr>
        <w:t xml:space="preserve"> The personal data</w:t>
        <w:br/>
        <w:t>breach notification concerned what Fastway described as a cyber-attack</w:t>
      </w:r>
      <w:r>
        <w:rPr>
          <w:rStyle w:val="CharStyle13"/>
          <w:vertAlign w:val="superscript"/>
        </w:rPr>
        <w:footnoteReference w:id="8"/>
      </w:r>
      <w:r>
        <w:rPr>
          <w:rStyle w:val="CharStyle13"/>
        </w:rPr>
        <w:t xml:space="preserve"> which resulted in</w:t>
        <w:br/>
        <w:t>unauthorised access to personal data held by Fastway. Fastway had engaged its service</w:t>
        <w:br/>
        <w:t xml:space="preserve">provider IT Software Contractor </w:t>
      </w:r>
      <w:r>
        <w:rPr>
          <w:rStyle w:val="CharStyle13"/>
          <w:b/>
          <w:bCs/>
        </w:rPr>
        <w:t xml:space="preserve">("IT Service Provider A") </w:t>
      </w:r>
      <w:r>
        <w:rPr>
          <w:rStyle w:val="CharStyle13"/>
        </w:rPr>
        <w:t>to undertake a "Brexit project"</w:t>
        <w:br/>
        <w:t>to provide Revenue &amp; Customs with access to the internal reporting system to</w:t>
        <w:br/>
        <w:t>facilitate declarations of duty and VAT.</w:t>
      </w:r>
      <w:r>
        <w:rPr>
          <w:rStyle w:val="CharStyle13"/>
          <w:vertAlign w:val="superscript"/>
        </w:rPr>
        <w:footnoteReference w:id="9"/>
      </w:r>
      <w:r>
        <w:rPr>
          <w:rStyle w:val="CharStyle13"/>
        </w:rPr>
        <w:t xml:space="preserve"> To facilitate this work Fastway </w:t>
      </w:r>
      <w:r>
        <w:rPr>
          <w:rStyle w:val="CharStyle13"/>
          <w:i/>
          <w:iCs/>
        </w:rPr>
        <w:t>"requested for a</w:t>
        <w:br/>
        <w:t>developer [IT Service Provider A] to immediately facilitate access to</w:t>
      </w:r>
      <w:r>
        <w:rPr>
          <w:rStyle w:val="CharStyle13"/>
        </w:rPr>
        <w:t xml:space="preserve"> the^H </w:t>
      </w:r>
      <w:r>
        <w:rPr>
          <w:rStyle w:val="CharStyle13"/>
          <w:i/>
          <w:iCs/>
        </w:rPr>
        <w:t>reports for</w:t>
        <w:br/>
        <w:t>external review".</w:t>
      </w:r>
      <w:r>
        <w:rPr>
          <w:rStyle w:val="CharStyle13"/>
          <w:i/>
          <w:iCs/>
          <w:vertAlign w:val="superscript"/>
        </w:rPr>
        <w:footnoteReference w:id="10"/>
      </w:r>
      <w:r>
        <w:rPr>
          <w:rStyle w:val="CharStyle13"/>
        </w:rPr>
        <w:t xml:space="preserve"> IT Service Provider A made system changes and, during this work, the</w:t>
        <w:br/>
        <w:t>server on which rests became exposed to the public internet. It is suggested by</w:t>
        <w:br/>
        <w:t>Fastway that due to insufficient checks on security patches, user restrictions and access</w:t>
        <w:br/>
        <w:t>controls by the developer, the configuration of the affected server was done incorrectly,</w:t>
        <w:br/>
        <w:t>and the IP address of the affected server was inadvertently exposed following the</w:t>
        <w:br/>
        <w:t>implementation of the systems changes.</w:t>
      </w:r>
      <w:r>
        <w:rPr>
          <w:rStyle w:val="CharStyle13"/>
          <w:vertAlign w:val="superscript"/>
        </w:rPr>
        <w:footnoteReference w:id="11"/>
      </w:r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1014" w:val="left"/>
        </w:tabs>
        <w:bidi w:val="0"/>
        <w:spacing w:before="0"/>
        <w:ind w:left="980" w:right="0" w:hanging="580"/>
        <w:jc w:val="both"/>
      </w:pPr>
      <w:r>
        <w:rPr>
          <w:rStyle w:val="CharStyle13"/>
        </w:rPr>
        <w:t>The notified personal data breach occurred when an individual gained access to the</w:t>
        <w:br/>
        <w:t>exposed server and exfiltrated personal information pertaining to a large number of data</w:t>
        <w:br/>
        <w:t>subjects.</w:t>
      </w:r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1014" w:val="left"/>
        </w:tabs>
        <w:bidi w:val="0"/>
        <w:spacing w:before="0"/>
        <w:ind w:left="980" w:right="0" w:hanging="58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799" w:right="1831" w:bottom="2599" w:left="1682" w:header="2371" w:footer="3" w:gutter="0"/>
          <w:cols w:space="720"/>
          <w:noEndnote/>
          <w:rtlGutter w:val="0"/>
          <w:docGrid w:linePitch="360"/>
        </w:sectPr>
      </w:pPr>
      <w:r>
        <w:rPr>
          <w:rStyle w:val="CharStyle13"/>
        </w:rPr>
        <w:t>The personal data breach notification indicated that 446,143 data subjects were affected</w:t>
        <w:br/>
        <w:t>by the incident</w:t>
      </w:r>
      <w:r>
        <w:rPr>
          <w:rStyle w:val="CharStyle13"/>
          <w:vertAlign w:val="superscript"/>
        </w:rPr>
        <w:footnoteReference w:id="12"/>
      </w:r>
      <w:r>
        <w:rPr>
          <w:rStyle w:val="CharStyle13"/>
        </w:rPr>
        <w:t xml:space="preserve"> and that their names, home addresses, email addresses and mobile</w:t>
        <w:br/>
        <w:t>numbers were disclosed.</w:t>
      </w:r>
      <w:r>
        <w:rPr>
          <w:rStyle w:val="CharStyle13"/>
          <w:vertAlign w:val="superscript"/>
        </w:rPr>
        <w:footnoteReference w:id="13"/>
      </w:r>
      <w:r>
        <w:rPr>
          <w:rStyle w:val="CharStyle13"/>
        </w:rPr>
        <w:t xml:space="preserve"> Fastway further clarified that these categories of personal data</w:t>
        <w:br/>
        <w:t>might not be fully present in each record affected by the personal data breach, since the</w:t>
        <w:br/>
        <w:t>data collected is client specific</w:t>
      </w:r>
      <w:r>
        <w:rPr>
          <w:rStyle w:val="CharStyle13"/>
          <w:vertAlign w:val="superscript"/>
        </w:rPr>
        <w:footnoteReference w:id="14"/>
      </w:r>
      <w:r>
        <w:rPr>
          <w:rStyle w:val="CharStyle13"/>
        </w:rPr>
        <w:t xml:space="preserve"> and not all fields are mandatory.</w:t>
      </w:r>
      <w:r>
        <w:rPr>
          <w:rStyle w:val="CharStyle13"/>
          <w:vertAlign w:val="superscript"/>
        </w:rPr>
        <w:footnoteReference w:id="15"/>
      </w:r>
      <w:r>
        <w:rPr>
          <w:rStyle w:val="CharStyle13"/>
        </w:rPr>
        <w:t xml:space="preserve"> Fastway also indicated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line="288" w:lineRule="auto"/>
        <w:ind w:left="960" w:right="0" w:firstLine="60"/>
        <w:jc w:val="both"/>
      </w:pPr>
      <w:r>
        <w:rPr>
          <w:rStyle w:val="CharStyle13"/>
          <w:color w:val="232824"/>
        </w:rPr>
        <w:t>that there were a further 602,430 data subjects whose data was anonymised, and</w:t>
        <w:br/>
        <w:t>therefore these records were unintelligible.</w:t>
      </w:r>
      <w:r>
        <w:rPr>
          <w:rStyle w:val="CharStyle13"/>
          <w:color w:val="232824"/>
          <w:vertAlign w:val="superscript"/>
        </w:rPr>
        <w:footnoteReference w:id="16"/>
      </w:r>
      <w:r>
        <w:rPr>
          <w:rStyle w:val="CharStyle13"/>
          <w:color w:val="232824"/>
        </w:rPr>
        <w:t xml:space="preserve"> Finally, Fastway stated that 624 couriers</w:t>
        <w:br/>
        <w:t>were also affected by the personal data breach, however in this case the personal data was</w:t>
        <w:br/>
        <w:t>limited to couriers' names.</w:t>
      </w:r>
      <w:r>
        <w:rPr>
          <w:rStyle w:val="CharStyle13"/>
          <w:color w:val="232824"/>
          <w:vertAlign w:val="superscript"/>
        </w:rPr>
        <w:footnoteReference w:id="17"/>
      </w:r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994" w:val="left"/>
        </w:tabs>
        <w:bidi w:val="0"/>
        <w:spacing w:before="0" w:line="288" w:lineRule="auto"/>
        <w:ind w:left="960" w:right="0" w:hanging="580"/>
        <w:jc w:val="both"/>
      </w:pPr>
      <w:r>
        <w:rPr>
          <w:rStyle w:val="CharStyle13"/>
          <w:color w:val="232824"/>
        </w:rPr>
        <w:t xml:space="preserve">Fastway further clarified that the identified 446,143 data subjects referred to </w:t>
      </w:r>
      <w:r>
        <w:rPr>
          <w:rStyle w:val="CharStyle13"/>
          <w:i/>
          <w:iCs/>
          <w:color w:val="232824"/>
        </w:rPr>
        <w:t>"unique data</w:t>
        <w:br/>
        <w:t>subjects whose data was not anonymised",</w:t>
      </w:r>
      <w:r>
        <w:rPr>
          <w:rStyle w:val="CharStyle13"/>
          <w:color w:val="232824"/>
        </w:rPr>
        <w:t xml:space="preserve"> since in some cases data subjects had multiple</w:t>
        <w:br/>
        <w:t>parcels from multiple Fastway clients.</w:t>
      </w:r>
      <w:r>
        <w:rPr>
          <w:rStyle w:val="CharStyle13"/>
          <w:color w:val="232824"/>
          <w:vertAlign w:val="superscript"/>
        </w:rPr>
        <w:footnoteReference w:id="18"/>
      </w:r>
      <w:r>
        <w:rPr>
          <w:rStyle w:val="CharStyle13"/>
          <w:color w:val="232824"/>
        </w:rPr>
        <w:t xml:space="preserve"> In its Submissions on the Commencement Letter</w:t>
        <w:br/>
        <w:t xml:space="preserve">(the </w:t>
      </w:r>
      <w:r>
        <w:rPr>
          <w:rStyle w:val="CharStyle13"/>
          <w:b/>
          <w:bCs/>
          <w:color w:val="232824"/>
        </w:rPr>
        <w:t xml:space="preserve">'Submissions on the Commencement Letter'), </w:t>
      </w:r>
      <w:r>
        <w:rPr>
          <w:rStyle w:val="CharStyle13"/>
          <w:color w:val="232824"/>
        </w:rPr>
        <w:t>Fastway explained: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line="288" w:lineRule="auto"/>
        <w:ind w:left="1400" w:right="0" w:firstLine="20"/>
        <w:jc w:val="both"/>
      </w:pPr>
      <w:r>
        <w:rPr>
          <w:rStyle w:val="CharStyle13"/>
          <w:i/>
          <w:iCs/>
          <w:color w:val="232824"/>
        </w:rPr>
        <w:t>“as around 10 000 records were accessed, and we are still unable to determine which</w:t>
        <w:br/>
        <w:t>of the 446 143 records these comprised. We are also still unable to determine how</w:t>
        <w:br/>
        <w:t>many duplicates may have been contained within the file the intruder accessed,</w:t>
        <w:br/>
        <w:t>therefore the total number of data subjects within the file may be less as there can be</w:t>
        <w:br/>
        <w:t>around 5 transactional records per data subject."</w:t>
      </w:r>
      <w:r>
        <w:rPr>
          <w:rStyle w:val="CharStyle13"/>
          <w:i/>
          <w:iCs/>
          <w:color w:val="232824"/>
          <w:vertAlign w:val="superscript"/>
        </w:rPr>
        <w:t>13</w:t>
      </w:r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994" w:val="left"/>
        </w:tabs>
        <w:bidi w:val="0"/>
        <w:spacing w:before="0"/>
        <w:ind w:left="960" w:right="0" w:hanging="580"/>
        <w:jc w:val="both"/>
      </w:pPr>
      <w:r>
        <w:rPr>
          <w:rStyle w:val="CharStyle13"/>
          <w:color w:val="232824"/>
        </w:rPr>
        <w:t xml:space="preserve">In its Additional Submissions on the Draft Decision (the </w:t>
      </w:r>
      <w:r>
        <w:rPr>
          <w:rStyle w:val="CharStyle13"/>
          <w:b/>
          <w:bCs/>
          <w:color w:val="232824"/>
        </w:rPr>
        <w:t>"Additional Submissions on the</w:t>
        <w:br/>
        <w:t xml:space="preserve">Draft Decision") </w:t>
      </w:r>
      <w:r>
        <w:rPr>
          <w:rStyle w:val="CharStyle13"/>
          <w:color w:val="232824"/>
        </w:rPr>
        <w:t>dated 25 May 2022, Fastway made submissions regarding the number of</w:t>
        <w:br/>
        <w:t xml:space="preserve">data subject </w:t>
      </w:r>
      <w:r>
        <w:rPr>
          <w:rStyle w:val="CharStyle13"/>
          <w:i/>
          <w:iCs/>
          <w:color w:val="232824"/>
        </w:rPr>
        <w:t>"actually accessed":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/>
        <w:ind w:left="1400" w:right="0" w:firstLine="20"/>
        <w:jc w:val="both"/>
      </w:pPr>
      <w:r>
        <w:rPr>
          <w:rStyle w:val="CharStyle13"/>
          <w:i/>
          <w:iCs/>
          <w:color w:val="232824"/>
        </w:rPr>
        <w:t>"Although the data of 446,143 data subjects was potentially at risk, it is important to</w:t>
        <w:br/>
        <w:t>emphasise that only the records of 10,000 data subjects were actually accessed.</w:t>
        <w:br/>
        <w:t>Accordingly, it is Fastway's view that only the data of these 10,000 data subjects that</w:t>
        <w:br/>
        <w:t>should be taken into account when considering a potential administrative fine</w:t>
        <w:br/>
        <w:t>pursuant to Article 83(2)(a)."</w:t>
      </w:r>
      <w:r>
        <w:rPr>
          <w:rStyle w:val="CharStyle13"/>
          <w:i/>
          <w:iCs/>
          <w:color w:val="232824"/>
          <w:vertAlign w:val="superscript"/>
        </w:rPr>
        <w:footnoteReference w:id="19"/>
      </w:r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994" w:val="left"/>
        </w:tabs>
        <w:bidi w:val="0"/>
        <w:spacing w:before="0"/>
        <w:ind w:left="960" w:right="0" w:hanging="58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760" w:right="1853" w:bottom="2646" w:left="1685" w:header="2332" w:footer="3" w:gutter="0"/>
          <w:cols w:space="720"/>
          <w:noEndnote/>
          <w:rtlGutter w:val="0"/>
          <w:docGrid w:linePitch="360"/>
        </w:sectPr>
      </w:pPr>
      <w:r>
        <w:rPr>
          <w:rStyle w:val="CharStyle13"/>
          <w:color w:val="232824"/>
        </w:rPr>
        <w:t xml:space="preserve">With reference to its "Brexit project", Fastway stated that this project was </w:t>
      </w:r>
      <w:r>
        <w:rPr>
          <w:rStyle w:val="CharStyle13"/>
          <w:i/>
          <w:iCs/>
          <w:color w:val="232824"/>
        </w:rPr>
        <w:t>“properly</w:t>
        <w:br/>
        <w:t>mapped and planned in accordance with the Fastway Project Process”</w:t>
      </w:r>
      <w:r>
        <w:rPr>
          <w:rStyle w:val="CharStyle13"/>
          <w:i/>
          <w:iCs/>
          <w:color w:val="232824"/>
          <w:vertAlign w:val="superscript"/>
        </w:rPr>
        <w:footnoteReference w:id="20"/>
      </w:r>
      <w:r>
        <w:rPr>
          <w:rStyle w:val="CharStyle13"/>
          <w:i/>
          <w:iCs/>
          <w:color w:val="232824"/>
        </w:rPr>
        <w:t>,</w:t>
      </w:r>
      <w:r>
        <w:rPr>
          <w:rStyle w:val="CharStyle13"/>
          <w:color w:val="232824"/>
        </w:rPr>
        <w:t xml:space="preserve"> providing the DPC</w:t>
        <w:br/>
        <w:t>with the related emails exchange between Fastway and IT Service Provider A on 19 and 20</w:t>
        <w:br/>
        <w:t>January 2021.</w:t>
      </w:r>
      <w:r>
        <w:rPr>
          <w:rStyle w:val="CharStyle13"/>
          <w:color w:val="232824"/>
          <w:vertAlign w:val="superscript"/>
        </w:rPr>
        <w:footnoteReference w:id="21"/>
      </w:r>
      <w:r>
        <w:rPr>
          <w:rStyle w:val="CharStyle13"/>
          <w:color w:val="232824"/>
        </w:rPr>
        <w:t xml:space="preserve"> Nonetheless, on 7 February 2021 this project became </w:t>
      </w:r>
      <w:r>
        <w:rPr>
          <w:rStyle w:val="CharStyle13"/>
          <w:i/>
          <w:iCs/>
          <w:color w:val="232824"/>
        </w:rPr>
        <w:t>"super urgent"</w:t>
      </w:r>
      <w:r>
        <w:rPr>
          <w:rStyle w:val="CharStyle13"/>
          <w:color w:val="232824"/>
        </w:rPr>
        <w:t xml:space="preserve"> as</w:t>
        <w:br/>
        <w:t>indicated by the emails provided by Fastway.</w:t>
      </w:r>
      <w:r>
        <w:rPr>
          <w:rStyle w:val="CharStyle13"/>
          <w:color w:val="232824"/>
          <w:vertAlign w:val="superscript"/>
        </w:rPr>
        <w:footnoteReference w:id="22"/>
      </w:r>
      <w:r>
        <w:rPr>
          <w:rStyle w:val="CharStyle13"/>
          <w:color w:val="232824"/>
        </w:rPr>
        <w:t xml:space="preserve"> In that regard, the DPC wishes to underline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/>
        <w:ind w:left="980" w:right="0" w:firstLine="40"/>
        <w:jc w:val="both"/>
      </w:pPr>
      <w:r>
        <w:rPr>
          <w:rStyle w:val="CharStyle13"/>
        </w:rPr>
        <w:t>that it appears to be a discrepancy in the timeline description provided by Fastway:</w:t>
        <w:br/>
        <w:t>although the emails provided show that IT Service Provider A was requested to undertake</w:t>
        <w:br/>
        <w:t>the system changes on 7 February 2021, Fastway indicated in its previous submission that</w:t>
        <w:br/>
        <w:t>it made the request to IT Service Provider A on 10 February 2021.</w:t>
      </w:r>
      <w:r>
        <w:rPr>
          <w:rStyle w:val="CharStyle13"/>
          <w:vertAlign w:val="superscript"/>
        </w:rPr>
        <w:footnoteReference w:id="23"/>
      </w:r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1034" w:val="left"/>
        </w:tabs>
        <w:bidi w:val="0"/>
        <w:spacing w:before="0" w:after="300" w:line="283" w:lineRule="auto"/>
        <w:ind w:left="980" w:right="0" w:hanging="560"/>
        <w:jc w:val="both"/>
      </w:pPr>
      <w:r>
        <w:rPr>
          <w:rStyle w:val="CharStyle13"/>
        </w:rPr>
        <w:t>In configuring the changes on the system, on 23 February 2021 (approximately 9am) the</w:t>
        <w:br/>
        <w:t>server became exposed to public access.</w:t>
      </w:r>
      <w:r>
        <w:rPr>
          <w:rStyle w:val="CharStyle13"/>
          <w:vertAlign w:val="superscript"/>
        </w:rPr>
        <w:footnoteReference w:id="24"/>
      </w:r>
    </w:p>
    <w:p>
      <w:pPr>
        <w:pStyle w:val="Style12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1034" w:val="left"/>
        </w:tabs>
        <w:bidi w:val="0"/>
        <w:spacing w:before="0" w:after="300"/>
        <w:ind w:left="980" w:right="0" w:hanging="560"/>
        <w:jc w:val="both"/>
      </w:pPr>
      <w:r>
        <w:rPr>
          <w:rStyle w:val="CharStyle13"/>
        </w:rPr>
        <w:t>Fastway outlined that it became aware of the personal data breach on 24 February 2021</w:t>
      </w:r>
      <w:r>
        <w:rPr>
          <w:rStyle w:val="CharStyle13"/>
          <w:vertAlign w:val="superscript"/>
        </w:rPr>
        <w:footnoteReference w:id="25"/>
      </w:r>
      <w:r>
        <w:rPr>
          <w:rStyle w:val="CharStyle13"/>
          <w:vertAlign w:val="superscript"/>
        </w:rPr>
        <w:br/>
      </w:r>
      <w:r>
        <w:rPr>
          <w:rStyle w:val="CharStyle13"/>
        </w:rPr>
        <w:t>when an email was received by members of Fastway Franchise Support Office from an</w:t>
        <w:br/>
        <w:t>individual claiming to have gained access to an exposed server.</w:t>
      </w:r>
      <w:r>
        <w:rPr>
          <w:rStyle w:val="CharStyle13"/>
          <w:vertAlign w:val="superscript"/>
        </w:rPr>
        <w:footnoteReference w:id="26"/>
      </w:r>
      <w:r>
        <w:rPr>
          <w:rStyle w:val="CharStyle13"/>
        </w:rPr>
        <w:t xml:space="preserve"> This email was initially</w:t>
        <w:br/>
        <w:t>thought to be a phishing email and it was forwarded to IT Service Provider A for</w:t>
        <w:br/>
        <w:t>investigation on 25 February 2021.</w:t>
      </w:r>
      <w:r>
        <w:rPr>
          <w:rStyle w:val="CharStyle13"/>
          <w:vertAlign w:val="superscript"/>
        </w:rPr>
        <w:footnoteReference w:id="27"/>
      </w:r>
      <w:r>
        <w:rPr>
          <w:rStyle w:val="CharStyle13"/>
        </w:rPr>
        <w:t xml:space="preserve"> On 26 February 2021 IT Service Provider A brought all</w:t>
        <w:br/>
        <w:t>access and permissions to the server under surveillance,</w:t>
      </w:r>
      <w:r>
        <w:rPr>
          <w:rStyle w:val="CharStyle13"/>
          <w:vertAlign w:val="superscript"/>
        </w:rPr>
        <w:footnoteReference w:id="28"/>
      </w:r>
      <w:r>
        <w:rPr>
          <w:rStyle w:val="CharStyle13"/>
        </w:rPr>
        <w:t xml:space="preserve"> and ended the vulnerability at</w:t>
        <w:br/>
        <w:t>approximately 9am.</w:t>
      </w:r>
      <w:r>
        <w:rPr>
          <w:rStyle w:val="CharStyle13"/>
          <w:vertAlign w:val="superscript"/>
        </w:rPr>
        <w:footnoteReference w:id="29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380" behindDoc="0" locked="0" layoutInCell="1" allowOverlap="1">
                <wp:simplePos x="0" y="0"/>
                <wp:positionH relativeFrom="page">
                  <wp:posOffset>1325880</wp:posOffset>
                </wp:positionH>
                <wp:positionV relativeFrom="paragraph">
                  <wp:posOffset>12700</wp:posOffset>
                </wp:positionV>
                <wp:extent cx="265430" cy="167640"/>
                <wp:wrapSquare wrapText="righ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65430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</w:rPr>
                              <w:t>3.11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104.40000000000001pt;margin-top:1.pt;width:20.900000000000002pt;height:13.200000000000001pt;z-index:-125829373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</w:rPr>
                        <w:t>3.11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13"/>
        </w:rPr>
        <w:t xml:space="preserve">An information security consultancy firm, prepared a report on the incident (the </w:t>
      </w:r>
      <w:r>
        <w:rPr>
          <w:rStyle w:val="CharStyle13"/>
          <w:b/>
          <w:bCs/>
        </w:rPr>
        <w:t>"IT</w:t>
        <w:br/>
        <w:t xml:space="preserve">Security Report") </w:t>
      </w:r>
      <w:r>
        <w:rPr>
          <w:rStyle w:val="CharStyle13"/>
        </w:rPr>
        <w:t>for Fastway. This report stated that Fastway's system was exposed from</w:t>
        <w:br/>
        <w:t>approximately 9am on 23 February 2021 to approximately 9am on 26 February 2021.</w:t>
      </w:r>
      <w:r>
        <w:rPr>
          <w:rStyle w:val="CharStyle13"/>
          <w:vertAlign w:val="superscript"/>
        </w:rPr>
        <w:footnoteReference w:id="30"/>
      </w:r>
      <w:r>
        <w:rPr>
          <w:rStyle w:val="CharStyle13"/>
        </w:rPr>
        <w:t xml:space="preserve"> In</w:t>
        <w:br/>
        <w:t>this period of time, Fastway identified that an unauthorised individual had gained access</w:t>
        <w:br/>
        <w:t>on the 24 February 2021 at 07:18</w:t>
      </w:r>
      <w:r>
        <w:rPr>
          <w:rStyle w:val="CharStyle13"/>
          <w:vertAlign w:val="superscript"/>
        </w:rPr>
        <w:footnoteReference w:id="31"/>
      </w:r>
      <w:r>
        <w:rPr>
          <w:rStyle w:val="CharStyle13"/>
        </w:rPr>
        <w:t xml:space="preserve"> and successfully downloaded]]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/>
        <w:ind w:left="980" w:right="0" w:firstLine="40"/>
        <w:jc w:val="both"/>
      </w:pPr>
      <w:r>
        <w:rPr>
          <w:rStyle w:val="CharStyle13"/>
        </w:rPr>
        <w:t>the personal information of data subjects ir^| format.</w:t>
      </w:r>
      <w:r>
        <w:rPr>
          <w:rStyle w:val="CharStyle13"/>
          <w:vertAlign w:val="superscript"/>
        </w:rPr>
        <w:footnoteReference w:id="32"/>
      </w:r>
      <w:r>
        <w:rPr>
          <w:rStyle w:val="CharStyle13"/>
        </w:rPr>
        <w:t xml:space="preserve"> Fastway also observed that it</w:t>
        <w:br/>
        <w:t>did not experience any loss of personal data, although it could not be certain whether or</w:t>
        <w:br/>
        <w:t>not the unauthorised individual had destroyed the data following its exfiltration.</w:t>
      </w:r>
      <w:r>
        <w:rPr>
          <w:rStyle w:val="CharStyle13"/>
          <w:vertAlign w:val="superscript"/>
        </w:rPr>
        <w:footnoteReference w:id="33"/>
      </w:r>
      <w:r>
        <w:rPr>
          <w:rStyle w:val="CharStyle13"/>
        </w:rPr>
        <w:t xml:space="preserve"> In its</w:t>
        <w:br/>
        <w:t xml:space="preserve">Submissions on the Draft Decision (the </w:t>
      </w:r>
      <w:r>
        <w:rPr>
          <w:rStyle w:val="CharStyle13"/>
          <w:b/>
          <w:bCs/>
        </w:rPr>
        <w:t xml:space="preserve">"Submissions on the Draft Decision") </w:t>
      </w:r>
      <w:r>
        <w:rPr>
          <w:rStyle w:val="CharStyle13"/>
        </w:rPr>
        <w:t>dated 9 May</w:t>
        <w:br/>
        <w:t xml:space="preserve">2022, Fastway also added that it </w:t>
      </w:r>
      <w:r>
        <w:rPr>
          <w:rStyle w:val="CharStyle13"/>
          <w:i/>
          <w:iCs/>
        </w:rPr>
        <w:t>"contracted an external company to conduct a deepweb</w:t>
        <w:br/>
        <w:t>search to identify if any data accessed during this incident had been leaked. The results</w:t>
        <w:br/>
        <w:t>came back in the negative."</w:t>
      </w:r>
      <w:r>
        <w:rPr>
          <w:rStyle w:val="CharStyle13"/>
          <w:i/>
          <w:iCs/>
          <w:vertAlign w:val="superscript"/>
        </w:rPr>
        <w:t>1</w:t>
      </w:r>
      <w:r>
        <w:rPr>
          <w:rStyle w:val="CharStyle13"/>
          <w:i/>
          <w:iCs/>
        </w:rPr>
        <w:t>*</w:t>
      </w:r>
      <w:r>
        <w:br w:type="page"/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34" w:val="left"/>
        </w:tabs>
        <w:bidi w:val="0"/>
        <w:spacing w:before="0" w:line="288" w:lineRule="auto"/>
        <w:ind w:left="980" w:right="0" w:hanging="560"/>
        <w:jc w:val="both"/>
      </w:pPr>
      <w:r>
        <w:rPr>
          <w:rStyle w:val="CharStyle13"/>
        </w:rPr>
        <w:t>On 2 March 2021, IT Service Provider A confirmed Fastway had been breached and</w:t>
        <w:br/>
        <w:t>personal data was compromised.</w:t>
      </w:r>
      <w:r>
        <w:rPr>
          <w:rStyle w:val="CharStyle13"/>
          <w:vertAlign w:val="superscript"/>
        </w:rPr>
        <w:footnoteReference w:id="34"/>
      </w:r>
      <w:r>
        <w:rPr>
          <w:rStyle w:val="CharStyle13"/>
        </w:rPr>
        <w:t xml:space="preserve"> Consequently, Fastway initiated the Incident</w:t>
        <w:br/>
        <w:t>Management Plan, which included investigating the event and timeline, as well as</w:t>
        <w:br/>
        <w:t>preparing the personal data breach notification to the DPC.</w:t>
      </w:r>
      <w:r>
        <w:rPr>
          <w:rStyle w:val="CharStyle13"/>
          <w:vertAlign w:val="superscript"/>
        </w:rPr>
        <w:footnoteReference w:id="35"/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34" w:val="left"/>
        </w:tabs>
        <w:bidi w:val="0"/>
        <w:spacing w:before="0"/>
        <w:ind w:left="980" w:right="0" w:hanging="560"/>
        <w:jc w:val="both"/>
      </w:pPr>
      <w:r>
        <w:rPr>
          <w:rStyle w:val="CharStyle13"/>
        </w:rPr>
        <w:t>After the initial personal data breach notification to the DPC on 4 March 2021, Fastway</w:t>
        <w:br/>
        <w:t>provided updates on the personal data breach notification to the DPC on 5 March 2021</w:t>
      </w:r>
      <w:r>
        <w:rPr>
          <w:rStyle w:val="CharStyle13"/>
          <w:vertAlign w:val="superscript"/>
        </w:rPr>
        <w:footnoteReference w:id="36"/>
      </w:r>
      <w:r>
        <w:rPr>
          <w:rStyle w:val="CharStyle13"/>
          <w:vertAlign w:val="superscript"/>
        </w:rPr>
        <w:br/>
      </w:r>
      <w:r>
        <w:rPr>
          <w:rStyle w:val="CharStyle13"/>
        </w:rPr>
        <w:t>and 10 March 2021</w:t>
      </w:r>
      <w:r>
        <w:rPr>
          <w:rStyle w:val="CharStyle13"/>
          <w:vertAlign w:val="superscript"/>
        </w:rPr>
        <w:footnoteReference w:id="37"/>
      </w:r>
      <w:r>
        <w:rPr>
          <w:rStyle w:val="CharStyle13"/>
        </w:rPr>
        <w:t>. On 5 March 2021, Fastway also reported the incident to the An Garda</w:t>
        <w:br/>
        <w:t>Siochana.</w:t>
      </w:r>
      <w:r>
        <w:rPr>
          <w:rStyle w:val="CharStyle13"/>
          <w:vertAlign w:val="superscript"/>
        </w:rPr>
        <w:footnoteReference w:id="38"/>
      </w:r>
      <w:r>
        <w:rPr>
          <w:rStyle w:val="CharStyle13"/>
        </w:rPr>
        <w:t xml:space="preserve"> Fastway also notified the personal data breach to its clients and 265,742 data</w:t>
        <w:br/>
        <w:t>subjects were notified by Fastway on behalf of its clients.</w:t>
      </w:r>
      <w:r>
        <w:rPr>
          <w:rStyle w:val="CharStyle13"/>
          <w:vertAlign w:val="superscript"/>
        </w:rPr>
        <w:footnoteReference w:id="39"/>
      </w:r>
      <w:r>
        <w:rPr>
          <w:rStyle w:val="CharStyle13"/>
        </w:rPr>
        <w:t xml:space="preserve"> Fastway also prepared an</w:t>
        <w:br/>
        <w:t xml:space="preserve">interim incident report </w:t>
      </w:r>
      <w:r>
        <w:rPr>
          <w:rStyle w:val="CharStyle13"/>
          <w:b/>
          <w:bCs/>
        </w:rPr>
        <w:t xml:space="preserve">('Data Breach Report') </w:t>
      </w:r>
      <w:r>
        <w:rPr>
          <w:rStyle w:val="CharStyle13"/>
        </w:rPr>
        <w:t>on 5 March 2021</w:t>
      </w:r>
      <w:r>
        <w:rPr>
          <w:rStyle w:val="CharStyle13"/>
          <w:vertAlign w:val="superscript"/>
        </w:rPr>
        <w:footnoteReference w:id="40"/>
      </w:r>
      <w:r>
        <w:rPr>
          <w:rStyle w:val="CharStyle13"/>
        </w:rPr>
        <w:t xml:space="preserve"> and engaged with an</w:t>
        <w:br/>
        <w:t>external information security consultancy firm to prepare a full incident response to the</w:t>
        <w:br/>
        <w:t>personal data breach.</w:t>
      </w:r>
      <w:r>
        <w:rPr>
          <w:rStyle w:val="CharStyle13"/>
          <w:vertAlign w:val="superscript"/>
        </w:rPr>
        <w:footnoteReference w:id="41"/>
      </w:r>
      <w:r>
        <w:rPr>
          <w:rStyle w:val="CharStyle13"/>
        </w:rPr>
        <w:t xml:space="preserve"> Furthermore, on 11 March 2021, Fastway published a public</w:t>
        <w:br/>
        <w:t>statement on its website.</w:t>
      </w:r>
      <w:r>
        <w:rPr>
          <w:rStyle w:val="CharStyle13"/>
          <w:vertAlign w:val="superscript"/>
        </w:rPr>
        <w:footnoteReference w:id="42"/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34" w:val="left"/>
        </w:tabs>
        <w:bidi w:val="0"/>
        <w:spacing w:before="0"/>
        <w:ind w:left="980" w:right="0" w:hanging="560"/>
        <w:jc w:val="both"/>
      </w:pPr>
      <w:r>
        <w:rPr>
          <w:rStyle w:val="CharStyle13"/>
        </w:rPr>
        <w:t>The DPC raised queries with Fastway on 5 March 2021</w:t>
      </w:r>
      <w:r>
        <w:rPr>
          <w:rStyle w:val="CharStyle13"/>
          <w:vertAlign w:val="superscript"/>
        </w:rPr>
        <w:footnoteReference w:id="43"/>
      </w:r>
      <w:r>
        <w:rPr>
          <w:rStyle w:val="CharStyle13"/>
        </w:rPr>
        <w:t xml:space="preserve"> to which Fastway responded on</w:t>
        <w:br/>
        <w:t>18 March 2021.</w:t>
      </w:r>
      <w:r>
        <w:rPr>
          <w:rStyle w:val="CharStyle13"/>
          <w:vertAlign w:val="superscript"/>
        </w:rPr>
        <w:footnoteReference w:id="44"/>
      </w:r>
      <w:r>
        <w:rPr>
          <w:rStyle w:val="CharStyle13"/>
        </w:rPr>
        <w:t xml:space="preserve"> In its response to the queries dated 18 March 2021, Fastway indicated</w:t>
        <w:br/>
        <w:t>that investigative work carried out by IT Service Provider A confirmed that a breach of</w:t>
        <w:br/>
        <w:t>personal data had occurred. The response also contained a number of documents in</w:t>
        <w:br/>
        <w:t>relation to the circumstances of the personal data breach.</w:t>
      </w:r>
      <w:r>
        <w:rPr>
          <w:rStyle w:val="CharStyle13"/>
          <w:vertAlign w:val="superscript"/>
        </w:rPr>
        <w:footnoteReference w:id="45"/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34" w:val="left"/>
        </w:tabs>
        <w:bidi w:val="0"/>
        <w:spacing w:before="0"/>
        <w:ind w:left="980" w:right="0" w:hanging="560"/>
        <w:jc w:val="both"/>
        <w:sectPr>
          <w:footnotePr>
            <w:pos w:val="pageBottom"/>
            <w:numFmt w:val="decimal"/>
            <w:numStart w:val="2"/>
            <w:numRestart w:val="continuous"/>
            <w15:footnoteColumns w:val="1"/>
          </w:footnotePr>
          <w:pgSz w:w="12240" w:h="18720"/>
          <w:pgMar w:top="2838" w:right="1831" w:bottom="2568" w:left="1687" w:header="2410" w:footer="3" w:gutter="0"/>
          <w:cols w:space="720"/>
          <w:noEndnote/>
          <w:rtlGutter w:val="0"/>
          <w:docGrid w:linePitch="360"/>
        </w:sectPr>
      </w:pPr>
      <w:r>
        <w:rPr>
          <w:rStyle w:val="CharStyle13"/>
        </w:rPr>
        <w:t>On 12 March 2021, the DPC requested the clients list.</w:t>
      </w:r>
      <w:r>
        <w:rPr>
          <w:rStyle w:val="CharStyle13"/>
          <w:vertAlign w:val="superscript"/>
        </w:rPr>
        <w:footnoteReference w:id="46"/>
      </w:r>
      <w:r>
        <w:rPr>
          <w:rStyle w:val="CharStyle13"/>
        </w:rPr>
        <w:t xml:space="preserve"> Fastway did not provide the clients</w:t>
        <w:br/>
        <w:t>list to the DPC. On 19 March 2021, the DPC issued a letter to Fastway regarding the nature</w:t>
        <w:br/>
        <w:t>of the personal data breach and the related obligations of communication of a personal</w:t>
        <w:br/>
        <w:t>data breach to data subjects.</w:t>
      </w:r>
      <w:r>
        <w:rPr>
          <w:rStyle w:val="CharStyle13"/>
          <w:vertAlign w:val="superscript"/>
        </w:rPr>
        <w:footnoteReference w:id="47"/>
      </w:r>
      <w:r>
        <w:rPr>
          <w:rStyle w:val="CharStyle13"/>
        </w:rPr>
        <w:t xml:space="preserve"> On 31 March 2021, the DPC received a response to its letter</w:t>
        <w:br/>
        <w:t>by the legal representatives of Fastway clarifying the use of the word "cyber-attack" and</w:t>
        <w:br/>
        <w:t>the ongoing investigation by the An Garda Siochana.</w:t>
      </w:r>
      <w:r>
        <w:rPr>
          <w:rStyle w:val="CharStyle13"/>
          <w:vertAlign w:val="superscript"/>
        </w:rPr>
        <w:footnoteReference w:id="48"/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14" w:val="left"/>
        </w:tabs>
        <w:bidi w:val="0"/>
        <w:spacing w:before="0" w:line="288" w:lineRule="auto"/>
        <w:ind w:left="960" w:right="0" w:hanging="560"/>
        <w:jc w:val="both"/>
      </w:pPr>
      <w:r>
        <w:rPr>
          <w:rStyle w:val="CharStyle13"/>
          <w:color w:val="232824"/>
        </w:rPr>
        <w:t>On 23 March 2021, the DPC requested the IT Security Report</w:t>
      </w:r>
      <w:r>
        <w:rPr>
          <w:rStyle w:val="CharStyle13"/>
          <w:color w:val="232824"/>
          <w:vertAlign w:val="superscript"/>
        </w:rPr>
        <w:footnoteReference w:id="49"/>
      </w:r>
      <w:r>
        <w:rPr>
          <w:rStyle w:val="CharStyle13"/>
          <w:color w:val="232824"/>
        </w:rPr>
        <w:t xml:space="preserve"> and on 30 March 2021 the</w:t>
        <w:br/>
        <w:t>DPC requested Fastway's record of processing activities.</w:t>
      </w:r>
      <w:r>
        <w:rPr>
          <w:rStyle w:val="CharStyle13"/>
          <w:color w:val="232824"/>
          <w:vertAlign w:val="superscript"/>
        </w:rPr>
        <w:footnoteReference w:id="50"/>
      </w:r>
      <w:r>
        <w:rPr>
          <w:rStyle w:val="CharStyle13"/>
          <w:color w:val="232824"/>
        </w:rPr>
        <w:t xml:space="preserve"> On 2 April 2021, Fastway</w:t>
        <w:br/>
        <w:t>provided the record of processing.</w:t>
      </w:r>
      <w:r>
        <w:rPr>
          <w:rStyle w:val="CharStyle13"/>
          <w:color w:val="232824"/>
          <w:vertAlign w:val="superscript"/>
        </w:rPr>
        <w:footnoteReference w:id="51"/>
      </w:r>
      <w:r>
        <w:rPr>
          <w:rStyle w:val="CharStyle13"/>
          <w:color w:val="232824"/>
        </w:rPr>
        <w:t xml:space="preserve"> On 6 April 2021, the DPC further requested the IT</w:t>
        <w:br/>
        <w:t>Security Report</w:t>
      </w:r>
      <w:r>
        <w:rPr>
          <w:rStyle w:val="CharStyle13"/>
          <w:color w:val="232824"/>
          <w:vertAlign w:val="superscript"/>
        </w:rPr>
        <w:footnoteReference w:id="52"/>
      </w:r>
      <w:r>
        <w:rPr>
          <w:rStyle w:val="CharStyle13"/>
          <w:color w:val="232824"/>
        </w:rPr>
        <w:t>, which was provided by Fastway on the same day.</w:t>
      </w:r>
      <w:r>
        <w:rPr>
          <w:rStyle w:val="CharStyle13"/>
          <w:color w:val="232824"/>
          <w:vertAlign w:val="superscript"/>
        </w:rPr>
        <w:footnoteReference w:id="53"/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14" w:val="left"/>
        </w:tabs>
        <w:bidi w:val="0"/>
        <w:spacing w:before="0" w:line="288" w:lineRule="auto"/>
        <w:ind w:left="960" w:right="0" w:hanging="560"/>
        <w:jc w:val="both"/>
      </w:pPr>
      <w:r>
        <w:rPr>
          <w:rStyle w:val="CharStyle13"/>
          <w:color w:val="232824"/>
        </w:rPr>
        <w:t>On 6 May 2021, the DPC raised further queries with Fastway.</w:t>
      </w:r>
      <w:r>
        <w:rPr>
          <w:rStyle w:val="CharStyle13"/>
          <w:color w:val="232824"/>
          <w:vertAlign w:val="superscript"/>
        </w:rPr>
        <w:footnoteReference w:id="54"/>
      </w:r>
      <w:r>
        <w:rPr>
          <w:rStyle w:val="CharStyle13"/>
          <w:color w:val="232824"/>
        </w:rPr>
        <w:t xml:space="preserve"> Fastway provided a</w:t>
        <w:br/>
        <w:t>response on 17 May 2021, and also provided the audit questionnaire template related to</w:t>
        <w:br/>
        <w:t>IT Service Provider A.</w:t>
      </w:r>
      <w:r>
        <w:rPr>
          <w:rStyle w:val="CharStyle13"/>
          <w:color w:val="232824"/>
          <w:vertAlign w:val="superscript"/>
        </w:rPr>
        <w:footnoteReference w:id="55"/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14" w:val="left"/>
        </w:tabs>
        <w:bidi w:val="0"/>
        <w:spacing w:before="0" w:after="320" w:line="288" w:lineRule="auto"/>
        <w:ind w:left="960" w:right="0" w:hanging="560"/>
        <w:jc w:val="both"/>
      </w:pPr>
      <w:r>
        <w:rPr>
          <w:rStyle w:val="CharStyle13"/>
          <w:color w:val="232824"/>
        </w:rPr>
        <w:t>On 25 May 2021, the DPC raised further queries with Fastway.</w:t>
      </w:r>
      <w:r>
        <w:rPr>
          <w:rStyle w:val="CharStyle13"/>
          <w:color w:val="232824"/>
          <w:vertAlign w:val="superscript"/>
        </w:rPr>
        <w:footnoteReference w:id="56"/>
      </w:r>
      <w:r>
        <w:rPr>
          <w:rStyle w:val="CharStyle13"/>
          <w:color w:val="232824"/>
        </w:rPr>
        <w:t xml:space="preserve"> Fastway provided a</w:t>
        <w:br/>
        <w:t>response on 27 May 2021.</w:t>
      </w:r>
      <w:r>
        <w:rPr>
          <w:rStyle w:val="CharStyle13"/>
          <w:color w:val="232824"/>
          <w:vertAlign w:val="superscript"/>
        </w:rPr>
        <w:footnoteReference w:id="57"/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14" w:val="left"/>
        </w:tabs>
        <w:bidi w:val="0"/>
        <w:spacing w:before="0"/>
        <w:ind w:left="960" w:right="0" w:hanging="560"/>
        <w:jc w:val="both"/>
      </w:pPr>
      <w:r>
        <w:rPr>
          <w:rStyle w:val="CharStyle13"/>
          <w:color w:val="232824"/>
        </w:rPr>
        <w:t xml:space="preserve">The DPC issued an Inquiry Commencement Letter </w:t>
      </w:r>
      <w:r>
        <w:rPr>
          <w:rStyle w:val="CharStyle13"/>
          <w:b/>
          <w:bCs/>
          <w:color w:val="232824"/>
        </w:rPr>
        <w:t xml:space="preserve">('the Commencement Letter') </w:t>
      </w:r>
      <w:r>
        <w:rPr>
          <w:rStyle w:val="CharStyle13"/>
          <w:color w:val="232824"/>
        </w:rPr>
        <w:t>via</w:t>
        <w:br/>
        <w:t>registered post to Fastway on 18 October 2021 notifying Fastway that the DPC had</w:t>
        <w:br/>
        <w:t>commenced an Inquiry under and in accordance with section 110(1) of the 2018 Act.</w:t>
      </w:r>
      <w:r>
        <w:rPr>
          <w:rStyle w:val="CharStyle13"/>
          <w:color w:val="232824"/>
          <w:vertAlign w:val="superscript"/>
        </w:rPr>
        <w:footnoteReference w:id="58"/>
      </w:r>
      <w:r>
        <w:rPr>
          <w:rStyle w:val="CharStyle13"/>
          <w:color w:val="232824"/>
        </w:rPr>
        <w:t xml:space="preserve"> The</w:t>
        <w:br/>
        <w:t>letter contained details of the personal data breach notified to the DPC which would be</w:t>
        <w:br/>
        <w:t>the subject of the Inquiry and contained six questions seeking further information from</w:t>
        <w:br/>
        <w:t>Fastway.</w:t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14" w:val="left"/>
        </w:tabs>
        <w:bidi w:val="0"/>
        <w:spacing w:before="0"/>
        <w:ind w:left="960" w:right="0" w:hanging="560"/>
        <w:jc w:val="both"/>
      </w:pPr>
      <w:r>
        <w:rPr>
          <w:rStyle w:val="CharStyle13"/>
          <w:color w:val="232824"/>
        </w:rPr>
        <w:t>The decision to commence the Inquiry was taken having regard to the circumstances of</w:t>
        <w:br/>
        <w:t>personal data breach notified by Fastway. The Commencement Letter informed Fastway</w:t>
        <w:br/>
        <w:t>that the Inquiry would examine whether or not Fastway discharged its obligations in</w:t>
        <w:br/>
        <w:t>connection with the subject matter of that personal data breach and determine whether</w:t>
        <w:br/>
        <w:t>or not any provision(s) of the 2018 Act and/or the GDPR had been contravened by Fastway</w:t>
        <w:br/>
        <w:t>in that context. In this regard, the scope of the Inquiry was expressly stated to focus on</w:t>
        <w:br/>
        <w:t>Fastway's organisational and technical measures in place to ensure appropriate security of</w:t>
        <w:br/>
        <w:t>the personal data pursuant to Article 32(1) of the GDPR in the context of its processing of</w:t>
        <w:br/>
        <w:t>personal data in respect of its provision of delivery services and its storage of personal data</w:t>
        <w:br/>
        <w:t>in its internal report system^^J at the time of the notified personal data breach.</w:t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14" w:val="left"/>
        </w:tabs>
        <w:bidi w:val="0"/>
        <w:spacing w:before="0" w:line="288" w:lineRule="auto"/>
        <w:ind w:left="960" w:right="0" w:hanging="560"/>
        <w:jc w:val="both"/>
      </w:pPr>
      <w:r>
        <w:rPr>
          <w:rStyle w:val="CharStyle13"/>
          <w:color w:val="232824"/>
        </w:rPr>
        <w:t>The Commencement Letter set out that the Inquiry would formally document the facts as</w:t>
        <w:br/>
        <w:t>they relate to the subject of the Inquiry. The facts, as established during the course of the</w:t>
        <w:br/>
        <w:t>Inquiry, are set out in this Decision.</w:t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14" w:val="left"/>
        </w:tabs>
        <w:bidi w:val="0"/>
        <w:spacing w:before="0" w:line="288" w:lineRule="auto"/>
        <w:ind w:left="960" w:right="0" w:hanging="560"/>
        <w:jc w:val="both"/>
        <w:sectPr>
          <w:footnotePr>
            <w:pos w:val="pageBottom"/>
            <w:numFmt w:val="decimal"/>
            <w:numStart w:val="3"/>
            <w:numRestart w:val="continuous"/>
            <w15:footnoteColumns w:val="1"/>
          </w:footnotePr>
          <w:pgSz w:w="12240" w:h="18720"/>
          <w:pgMar w:top="2832" w:right="1843" w:bottom="2325" w:left="1680" w:header="2404" w:footer="3" w:gutter="0"/>
          <w:cols w:space="720"/>
          <w:noEndnote/>
          <w:rtlGutter w:val="0"/>
          <w:docGrid w:linePitch="360"/>
        </w:sectPr>
      </w:pPr>
      <w:r>
        <w:rPr>
          <w:rStyle w:val="CharStyle13"/>
          <w:color w:val="232824"/>
        </w:rPr>
        <w:t>Fastway provided submissions in response to the Commencement Letter on 8 November</w:t>
        <w:br/>
        <w:t>2021.</w:t>
      </w:r>
      <w:r>
        <w:rPr>
          <w:rStyle w:val="CharStyle13"/>
          <w:color w:val="232824"/>
          <w:vertAlign w:val="superscript"/>
        </w:rPr>
        <w:footnoteReference w:id="59"/>
      </w:r>
      <w:r>
        <w:rPr>
          <w:rStyle w:val="CharStyle13"/>
          <w:color w:val="232824"/>
        </w:rPr>
        <w:t xml:space="preserve"> In its submissions, Fastway provided extensive documentation on technical and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283" w:lineRule="auto"/>
        <w:ind w:left="980" w:right="0" w:firstLine="40"/>
        <w:jc w:val="both"/>
      </w:pPr>
      <w:r>
        <w:rPr>
          <w:rStyle w:val="CharStyle13"/>
        </w:rPr>
        <w:t>organisational measures which Fastway had in place to meet the requirements of the</w:t>
        <w:br/>
        <w:t>GDPR.</w:t>
      </w:r>
    </w:p>
    <w:p>
      <w:pPr>
        <w:pStyle w:val="Style12"/>
        <w:keepNext w:val="0"/>
        <w:keepLines w:val="0"/>
        <w:widowControl w:val="0"/>
        <w:numPr>
          <w:ilvl w:val="1"/>
          <w:numId w:val="25"/>
        </w:numPr>
        <w:shd w:val="clear" w:color="auto" w:fill="auto"/>
        <w:tabs>
          <w:tab w:pos="1023" w:val="left"/>
        </w:tabs>
        <w:bidi w:val="0"/>
        <w:spacing w:before="0" w:after="440" w:line="288" w:lineRule="auto"/>
        <w:ind w:left="980" w:right="0" w:hanging="560"/>
        <w:jc w:val="both"/>
      </w:pPr>
      <w:r>
        <w:rPr>
          <w:rStyle w:val="CharStyle13"/>
        </w:rPr>
        <w:t>Having received Fastway's submissions, the DPC proceeded to prepare the Draft Decision.</w:t>
        <w:br/>
        <w:t>On 11 April 2022 I provided the Draft Decision to Fastway. Fastway was afforded the</w:t>
        <w:br/>
        <w:t>opportunity to make submissions on the proposed infringement that was provisionally</w:t>
        <w:br/>
        <w:t>identified in the Draft Decision and the corrective powers that I proposed to exercise. On</w:t>
        <w:br/>
        <w:t>9 and 25 May 2022 Fastway made submissions on the Draft Decision. I have had full regard</w:t>
        <w:br/>
        <w:t>to those submissions and I have reached conclusions that an infringement of data</w:t>
        <w:br/>
        <w:t>protection legislation has occurred and that it is necessary to exercise certain corrective</w:t>
        <w:br/>
        <w:t>powers. This infringement and corrective powers are set out in this Decision.</w:t>
      </w:r>
    </w:p>
    <w:p>
      <w:pPr>
        <w:pStyle w:val="Style24"/>
        <w:keepNext/>
        <w:keepLines/>
        <w:widowControl w:val="0"/>
        <w:numPr>
          <w:ilvl w:val="0"/>
          <w:numId w:val="27"/>
        </w:numPr>
        <w:shd w:val="clear" w:color="auto" w:fill="auto"/>
        <w:tabs>
          <w:tab w:pos="1000" w:val="left"/>
        </w:tabs>
        <w:bidi w:val="0"/>
        <w:spacing w:before="0" w:after="340" w:line="240" w:lineRule="auto"/>
        <w:ind w:left="0" w:right="0"/>
        <w:jc w:val="left"/>
      </w:pPr>
      <w:bookmarkStart w:id="16" w:name="bookmark16"/>
      <w:r>
        <w:rPr>
          <w:rStyle w:val="CharStyle25"/>
        </w:rPr>
        <w:t>Scope of the Inquiry</w:t>
      </w:r>
      <w:bookmarkEnd w:id="16"/>
    </w:p>
    <w:p>
      <w:pPr>
        <w:pStyle w:val="Style12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1023" w:val="left"/>
        </w:tabs>
        <w:bidi w:val="0"/>
        <w:spacing w:before="0" w:after="300" w:line="288" w:lineRule="auto"/>
        <w:ind w:left="980" w:right="0" w:hanging="560"/>
        <w:jc w:val="both"/>
      </w:pPr>
      <w:r>
        <w:rPr>
          <w:rStyle w:val="CharStyle13"/>
        </w:rPr>
        <w:t>The scope of the Inquiry, which was set out in the Inquiry Commencement Letter, was to</w:t>
        <w:br/>
        <w:t>examine whether or not Fastway discharged its obligations in connection with the subject</w:t>
        <w:br/>
        <w:t>matter of the personal data breach and to determine whether or not any provision(s) of</w:t>
        <w:br/>
        <w:t>the 2018 Act and/or the GDPR have been contravened by Fastway in that context.</w:t>
      </w:r>
    </w:p>
    <w:p>
      <w:pPr>
        <w:pStyle w:val="Style12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1023" w:val="left"/>
        </w:tabs>
        <w:bidi w:val="0"/>
        <w:spacing w:before="0" w:after="500"/>
        <w:ind w:left="980" w:right="0" w:hanging="560"/>
        <w:jc w:val="both"/>
      </w:pPr>
      <w:r>
        <w:rPr>
          <w:rStyle w:val="CharStyle13"/>
        </w:rPr>
        <w:t>In this regard, the Commencement Letter specified that the Inquiry would focus on</w:t>
        <w:br/>
        <w:t>Fastway's organisational and technical measures in place to ensure security of the personal</w:t>
        <w:br/>
        <w:t>data in the context of its processing of personal data in respect of its provision of delivery</w:t>
        <w:br/>
        <w:t>services and its storage of personal data in its internal report systemat the time</w:t>
        <w:br/>
        <w:t>of the notified personal data breach. In particular, the Commencement Letter expressly</w:t>
        <w:br/>
        <w:t>stated that the scope of the Inquiry would include Article 32(1) of the GDPR. The</w:t>
        <w:br/>
        <w:t>Commencement Letter stated that the Inquiry would focus on the areas of Security of</w:t>
        <w:br/>
        <w:t>Personal Data, Data Protection Governance, and Training and Awareness.</w:t>
      </w:r>
    </w:p>
    <w:p>
      <w:pPr>
        <w:pStyle w:val="Style24"/>
        <w:keepNext/>
        <w:keepLines/>
        <w:widowControl w:val="0"/>
        <w:numPr>
          <w:ilvl w:val="0"/>
          <w:numId w:val="27"/>
        </w:numPr>
        <w:shd w:val="clear" w:color="auto" w:fill="auto"/>
        <w:tabs>
          <w:tab w:pos="1000" w:val="left"/>
        </w:tabs>
        <w:bidi w:val="0"/>
        <w:spacing w:before="0" w:after="340" w:line="240" w:lineRule="auto"/>
        <w:ind w:left="0" w:right="0"/>
        <w:jc w:val="left"/>
      </w:pPr>
      <w:bookmarkStart w:id="18" w:name="bookmark18"/>
      <w:r>
        <w:rPr>
          <w:rStyle w:val="CharStyle25"/>
        </w:rPr>
        <w:t>Issue for Determination</w:t>
      </w:r>
      <w:bookmarkEnd w:id="18"/>
    </w:p>
    <w:p>
      <w:pPr>
        <w:pStyle w:val="Style12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1023" w:val="left"/>
        </w:tabs>
        <w:bidi w:val="0"/>
        <w:spacing w:before="0" w:after="340" w:line="288" w:lineRule="auto"/>
        <w:ind w:left="980" w:right="0" w:hanging="660"/>
        <w:jc w:val="both"/>
        <w:sectPr>
          <w:footnotePr>
            <w:pos w:val="pageBottom"/>
            <w:numFmt w:val="decimal"/>
            <w:numStart w:val="3"/>
            <w:numRestart w:val="continuous"/>
            <w15:footnoteColumns w:val="1"/>
          </w:footnotePr>
          <w:pgSz w:w="12240" w:h="18720"/>
          <w:pgMar w:top="2769" w:right="1847" w:bottom="2769" w:left="1676" w:header="2341" w:footer="3" w:gutter="0"/>
          <w:cols w:space="720"/>
          <w:noEndnote/>
          <w:rtlGutter w:val="0"/>
          <w:docGrid w:linePitch="360"/>
        </w:sectPr>
      </w:pPr>
      <w:r>
        <w:rPr>
          <w:rStyle w:val="CharStyle13"/>
        </w:rPr>
        <w:t>Having considered the Commencement Letter, and the other relevant materials, I find that</w:t>
        <w:br/>
        <w:t>it falls for me to consider in this Decision whether Fastway has complied with its obligations</w:t>
        <w:br/>
        <w:t>under Article 32(1) of the GDPR by implementing appropriate technical and organisational</w:t>
        <w:br/>
        <w:t>measures to ensure appropriate security of the personal data in the context of its</w:t>
        <w:br/>
        <w:t>processing of personal data in respect of its provision of delivery services and its storage of</w:t>
        <w:br/>
        <w:t>personal data in its internal report system at the time of the notified personal data</w:t>
        <w:br/>
        <w:t>breach.</w:t>
      </w:r>
    </w:p>
    <w:p>
      <w:pPr>
        <w:pStyle w:val="Style24"/>
        <w:keepNext/>
        <w:keepLines/>
        <w:widowControl w:val="0"/>
        <w:numPr>
          <w:ilvl w:val="0"/>
          <w:numId w:val="27"/>
        </w:numPr>
        <w:shd w:val="clear" w:color="auto" w:fill="auto"/>
        <w:tabs>
          <w:tab w:pos="1060" w:val="left"/>
        </w:tabs>
        <w:bidi w:val="0"/>
        <w:spacing w:before="0" w:after="340" w:line="240" w:lineRule="auto"/>
        <w:ind w:left="0" w:right="0" w:firstLine="460"/>
        <w:jc w:val="both"/>
      </w:pPr>
      <w:bookmarkStart w:id="20" w:name="bookmark20"/>
      <w:r>
        <w:rPr>
          <w:rStyle w:val="CharStyle25"/>
        </w:rPr>
        <w:t>Issue: Article 32(1] of the GDPR</w:t>
      </w:r>
      <w:bookmarkEnd w:id="20"/>
    </w:p>
    <w:p>
      <w:pPr>
        <w:pStyle w:val="Style12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1049" w:val="left"/>
        </w:tabs>
        <w:bidi w:val="0"/>
        <w:spacing w:before="0" w:after="200" w:line="288" w:lineRule="auto"/>
        <w:ind w:left="1080" w:right="0" w:hanging="720"/>
        <w:jc w:val="both"/>
      </w:pPr>
      <w:r>
        <w:rPr>
          <w:rStyle w:val="CharStyle13"/>
          <w:color w:val="232824"/>
        </w:rPr>
        <w:t>Article 32(1) of the GDPR details the security obligations for the processing of personal data</w:t>
        <w:br/>
        <w:t>by controllers and processors and sets out criteria for assessing what constitutes</w:t>
        <w:br/>
      </w:r>
      <w:r>
        <w:rPr>
          <w:rStyle w:val="CharStyle13"/>
          <w:i/>
          <w:iCs/>
          <w:color w:val="232824"/>
        </w:rPr>
        <w:t>'appropriate security'</w:t>
      </w:r>
      <w:r>
        <w:rPr>
          <w:rStyle w:val="CharStyle13"/>
          <w:color w:val="232824"/>
        </w:rPr>
        <w:t xml:space="preserve"> and </w:t>
      </w:r>
      <w:r>
        <w:rPr>
          <w:rStyle w:val="CharStyle13"/>
          <w:i/>
          <w:iCs/>
          <w:color w:val="232824"/>
        </w:rPr>
        <w:t>'appropriate technical or organisational measures':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288" w:lineRule="auto"/>
        <w:ind w:left="1420" w:right="0" w:firstLine="40"/>
        <w:jc w:val="both"/>
      </w:pPr>
      <w:r>
        <w:rPr>
          <w:rStyle w:val="CharStyle13"/>
          <w:i/>
          <w:iCs/>
          <w:color w:val="232824"/>
        </w:rPr>
        <w:t>Taking into account the state of the art, the costs of implementation and the nature,</w:t>
        <w:br/>
        <w:t>scope, context and purposes of processing as well as the risk of varying likelihood and</w:t>
        <w:br/>
        <w:t>severity for the rights and freedoms of natural persons, the controller and the</w:t>
        <w:br/>
        <w:t>processor shall implement appropriate technical and organisational measures to</w:t>
        <w:br/>
        <w:t>ensure a level of security appropriate to the risk, including inter alia as appropriate:</w:t>
      </w:r>
    </w:p>
    <w:p>
      <w:pPr>
        <w:pStyle w:val="Style12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800" w:val="left"/>
        </w:tabs>
        <w:bidi w:val="0"/>
        <w:spacing w:before="0" w:after="200"/>
        <w:ind w:left="1420" w:right="0" w:firstLine="0"/>
        <w:jc w:val="both"/>
      </w:pPr>
      <w:r>
        <w:rPr>
          <w:rStyle w:val="CharStyle13"/>
          <w:i/>
          <w:iCs/>
          <w:color w:val="232824"/>
        </w:rPr>
        <w:t>the pseudonymisation and encryption of personal data;</w:t>
      </w:r>
    </w:p>
    <w:p>
      <w:pPr>
        <w:pStyle w:val="Style12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800" w:val="left"/>
        </w:tabs>
        <w:bidi w:val="0"/>
        <w:spacing w:before="0" w:after="200" w:line="283" w:lineRule="auto"/>
        <w:ind w:left="1840" w:right="0" w:hanging="380"/>
        <w:jc w:val="both"/>
      </w:pPr>
      <w:r>
        <w:rPr>
          <w:rStyle w:val="CharStyle13"/>
          <w:i/>
          <w:iCs/>
          <w:color w:val="232824"/>
        </w:rPr>
        <w:t>the ability to ensure the ongoing confidentiality, integrity, availability and</w:t>
        <w:br/>
        <w:t>resilience of processing systems and services;</w:t>
      </w:r>
    </w:p>
    <w:p>
      <w:pPr>
        <w:pStyle w:val="Style12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800" w:val="left"/>
        </w:tabs>
        <w:bidi w:val="0"/>
        <w:spacing w:before="0" w:after="200" w:line="288" w:lineRule="auto"/>
        <w:ind w:left="1840" w:right="0" w:hanging="380"/>
        <w:jc w:val="both"/>
      </w:pPr>
      <w:r>
        <w:rPr>
          <w:rStyle w:val="CharStyle13"/>
          <w:i/>
          <w:iCs/>
          <w:color w:val="232824"/>
        </w:rPr>
        <w:t>the ability to restore the availability and access to personal data in a timely</w:t>
        <w:br/>
        <w:t>manner in the event of a physical or technical incident;</w:t>
      </w:r>
    </w:p>
    <w:p>
      <w:pPr>
        <w:pStyle w:val="Style12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800" w:val="left"/>
        </w:tabs>
        <w:bidi w:val="0"/>
        <w:spacing w:before="0" w:after="520" w:line="283" w:lineRule="auto"/>
        <w:ind w:left="1840" w:right="0" w:hanging="380"/>
        <w:jc w:val="both"/>
      </w:pPr>
      <w:r>
        <w:rPr>
          <w:rStyle w:val="CharStyle13"/>
          <w:i/>
          <w:iCs/>
          <w:color w:val="232824"/>
        </w:rPr>
        <w:t>a process for regularly testing, assessing and evaluating the effectiveness of</w:t>
        <w:br/>
        <w:t>technical and organisational measures for ensuring the security of the processing.</w:t>
      </w:r>
    </w:p>
    <w:p>
      <w:pPr>
        <w:pStyle w:val="Style12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1049" w:val="left"/>
        </w:tabs>
        <w:bidi w:val="0"/>
        <w:spacing w:before="0" w:after="300" w:line="283" w:lineRule="auto"/>
        <w:ind w:left="960" w:right="0" w:hanging="600"/>
        <w:jc w:val="both"/>
      </w:pPr>
      <w:r>
        <w:rPr>
          <w:rStyle w:val="CharStyle13"/>
          <w:color w:val="232824"/>
        </w:rPr>
        <w:t>Recital 83 of the GDPR provides useful interpretative indications on how to assess data</w:t>
        <w:br/>
        <w:t>security risk: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660"/>
        <w:ind w:left="1420" w:right="0" w:firstLine="40"/>
        <w:jc w:val="both"/>
      </w:pPr>
      <w:r>
        <w:rPr>
          <w:rStyle w:val="CharStyle13"/>
          <w:i/>
          <w:iCs/>
          <w:color w:val="232824"/>
        </w:rPr>
        <w:t>"In order to maintain security and to prevent processing in infringement of this</w:t>
        <w:br/>
        <w:t>Regulation, the controller or processor should evaluate the risks inherent in the</w:t>
        <w:br/>
        <w:t>processing and implement measures to mitigate those risks, such as encryption. Those</w:t>
        <w:br/>
        <w:t>measures should ensure an appropriate level of security, including confidentiality,</w:t>
        <w:br/>
        <w:t>taking into account the state of the art and the costs of implementation in relation to</w:t>
        <w:br/>
        <w:t>the risks and the nature of the personal data to be protected. In assessing data security</w:t>
        <w:br/>
        <w:t>risk, consideration should be given to the risks that are presented by personal data</w:t>
        <w:br/>
        <w:t>processing, such as accidental or unlawful destruction, loss, alteration, unauthorised</w:t>
        <w:br/>
        <w:t>disclosure of, or access to, personal data transmitted, stored or otherwise processed</w:t>
        <w:br/>
        <w:t>which may in particular lead to physical, material or non-material damage."</w:t>
      </w:r>
    </w:p>
    <w:p>
      <w:pPr>
        <w:pStyle w:val="Style31"/>
        <w:keepNext/>
        <w:keepLines/>
        <w:widowControl w:val="0"/>
        <w:numPr>
          <w:ilvl w:val="0"/>
          <w:numId w:val="31"/>
        </w:numPr>
        <w:shd w:val="clear" w:color="auto" w:fill="auto"/>
        <w:tabs>
          <w:tab w:pos="940" w:val="left"/>
        </w:tabs>
        <w:bidi w:val="0"/>
        <w:spacing w:before="0" w:line="240" w:lineRule="auto"/>
        <w:ind w:left="0" w:right="0" w:firstLine="340"/>
        <w:jc w:val="both"/>
      </w:pPr>
      <w:bookmarkStart w:id="22" w:name="bookmark22"/>
      <w:r>
        <w:rPr>
          <w:rStyle w:val="CharStyle32"/>
        </w:rPr>
        <w:t>Assessing Risk</w:t>
      </w:r>
      <w:bookmarkEnd w:id="22"/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1000" w:val="left"/>
        </w:tabs>
        <w:bidi w:val="0"/>
        <w:spacing w:before="0" w:after="0" w:line="288" w:lineRule="auto"/>
        <w:ind w:left="0" w:right="0" w:firstLine="280"/>
        <w:jc w:val="both"/>
      </w:pPr>
      <w:r>
        <w:rPr>
          <w:rStyle w:val="CharStyle13"/>
          <w:color w:val="232824"/>
        </w:rPr>
        <w:t>Article 32(1) of the GDPR obliges controllers and processors to implement a level of security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288" w:lineRule="auto"/>
        <w:ind w:left="0" w:right="0" w:firstLine="960"/>
        <w:jc w:val="both"/>
      </w:pPr>
      <w:r>
        <w:rPr>
          <w:rStyle w:val="CharStyle13"/>
          <w:color w:val="232824"/>
        </w:rPr>
        <w:t>appropriate to the risks presented by its processing of personal data.</w:t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1049" w:val="left"/>
        </w:tabs>
        <w:bidi w:val="0"/>
        <w:spacing w:before="0" w:after="300" w:line="288" w:lineRule="auto"/>
        <w:ind w:left="960" w:right="0" w:hanging="680"/>
        <w:jc w:val="both"/>
      </w:pPr>
      <w:r>
        <w:rPr>
          <w:rStyle w:val="CharStyle13"/>
          <w:color w:val="232824"/>
        </w:rPr>
        <w:t>The level of security must be appropriate to the risk presented to the rights and freedoms</w:t>
        <w:br/>
        <w:t>of natural persons, and must have regard to the state of the art, the costs of</w:t>
      </w:r>
      <w:r>
        <w:br w:type="page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/>
        <w:ind w:left="1020" w:right="0" w:firstLine="20"/>
        <w:jc w:val="both"/>
      </w:pPr>
      <w:r>
        <w:rPr>
          <w:rStyle w:val="CharStyle13"/>
          <w:color w:val="232824"/>
        </w:rPr>
        <w:t>implementation and the nature, scope, context and purposes of processing. Therefore, the</w:t>
        <w:br/>
        <w:t>first step is to assess the risk presented to the rights and freedoms of data subjects by the</w:t>
        <w:br/>
        <w:t>processing of personal data (as assessed below), and then to assess the appropriateness of</w:t>
        <w:br/>
        <w:t>the security measures implemented (as detailed in the following Parts 6.ii and 6.iii).</w:t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987" w:val="left"/>
        </w:tabs>
        <w:bidi w:val="0"/>
        <w:spacing w:before="0" w:after="300"/>
        <w:ind w:left="0" w:right="0" w:firstLine="320"/>
        <w:jc w:val="both"/>
      </w:pPr>
      <w:r>
        <w:rPr>
          <w:rStyle w:val="CharStyle13"/>
          <w:color w:val="232824"/>
        </w:rPr>
        <w:t>Recital 76 of the GDPR provides further guidance as to how risk should be evaluated: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/>
        <w:ind w:left="1420" w:right="0" w:firstLine="20"/>
        <w:jc w:val="both"/>
      </w:pPr>
      <w:r>
        <w:rPr>
          <w:rStyle w:val="CharStyle13"/>
          <w:i/>
          <w:iCs/>
          <w:color w:val="232824"/>
        </w:rPr>
        <w:t>The likelihood and severity of the risk to the rights and freedoms of the data subject</w:t>
        <w:br/>
        <w:t>should be determined by reference to the nature, scope, context and purposes of the</w:t>
        <w:br/>
        <w:t>processing. Risk should be evaluated on the basis of an objective assessment, by which</w:t>
        <w:br/>
        <w:t>it is established whether data processing operations involve a risk or a high risk.</w:t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1007" w:val="left"/>
        </w:tabs>
        <w:bidi w:val="0"/>
        <w:spacing w:before="0" w:after="300"/>
        <w:ind w:left="1020" w:right="0" w:hanging="680"/>
        <w:jc w:val="both"/>
      </w:pPr>
      <w:r>
        <w:rPr>
          <w:rStyle w:val="CharStyle13"/>
          <w:i/>
          <w:iCs/>
          <w:color w:val="232824"/>
        </w:rPr>
        <w:t>Digital Rights Ireland v Minister for Communications, Marine and Natural Resources and</w:t>
        <w:br/>
        <w:t>others</w:t>
      </w:r>
      <w:r>
        <w:rPr>
          <w:rStyle w:val="CharStyle13"/>
          <w:color w:val="232824"/>
        </w:rPr>
        <w:t xml:space="preserve"> judgement</w:t>
      </w:r>
      <w:r>
        <w:rPr>
          <w:rStyle w:val="CharStyle13"/>
          <w:color w:val="232824"/>
          <w:vertAlign w:val="superscript"/>
        </w:rPr>
        <w:footnoteReference w:id="60"/>
      </w:r>
      <w:r>
        <w:rPr>
          <w:rStyle w:val="CharStyle13"/>
          <w:color w:val="232824"/>
        </w:rPr>
        <w:t xml:space="preserve"> provides further guidance on this risk assessment. In this case, the</w:t>
        <w:br/>
        <w:t xml:space="preserve">Court of Justice of the European Union </w:t>
      </w:r>
      <w:r>
        <w:rPr>
          <w:rStyle w:val="CharStyle13"/>
          <w:b/>
          <w:bCs/>
          <w:color w:val="232824"/>
        </w:rPr>
        <w:t xml:space="preserve">("theCJEU") </w:t>
      </w:r>
      <w:r>
        <w:rPr>
          <w:rStyle w:val="CharStyle13"/>
          <w:color w:val="232824"/>
        </w:rPr>
        <w:t>declared the Data Retention Directive</w:t>
      </w:r>
      <w:r>
        <w:rPr>
          <w:rStyle w:val="CharStyle13"/>
          <w:color w:val="232824"/>
          <w:vertAlign w:val="superscript"/>
        </w:rPr>
        <w:footnoteReference w:id="61"/>
      </w:r>
      <w:r>
        <w:rPr>
          <w:rStyle w:val="CharStyle13"/>
          <w:color w:val="232824"/>
          <w:vertAlign w:val="superscript"/>
        </w:rPr>
        <w:br/>
      </w:r>
      <w:r>
        <w:rPr>
          <w:rStyle w:val="CharStyle13"/>
          <w:color w:val="232824"/>
        </w:rPr>
        <w:t>invalid. The Directive required electronic communication service providers to retain certain</w:t>
        <w:br/>
        <w:t>data for a period of time. The CJEU held that the Directive did not ensure effective</w:t>
        <w:br/>
        <w:t>protection of the data retained against the risk of abuse and unlawful access in</w:t>
        <w:br/>
        <w:t>circumstances where it did not lay down specific rules in relation to</w:t>
      </w:r>
    </w:p>
    <w:p>
      <w:pPr>
        <w:pStyle w:val="Style12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733" w:val="left"/>
        </w:tabs>
        <w:bidi w:val="0"/>
        <w:spacing w:before="0" w:after="300"/>
        <w:ind w:left="1420" w:right="0" w:firstLine="20"/>
        <w:jc w:val="both"/>
      </w:pPr>
      <w:r>
        <w:rPr>
          <w:rStyle w:val="CharStyle13"/>
          <w:i/>
          <w:iCs/>
          <w:color w:val="232824"/>
        </w:rPr>
        <w:t>the vast quantity of data whose retention is required by that directive, (ii) the</w:t>
        <w:br/>
        <w:t>sensitive nature of that data and (Hi) the risk of unlawful access to that data, rules</w:t>
        <w:br/>
        <w:t>which would serve, in particular, to govern the protection and security of the data in</w:t>
        <w:br/>
        <w:t>question in a clear and strict manner in order to ensure their full integrity and</w:t>
        <w:br/>
        <w:t>confidentiality.</w:t>
      </w:r>
      <w:r>
        <w:rPr>
          <w:rStyle w:val="CharStyle13"/>
          <w:i/>
          <w:iCs/>
          <w:color w:val="232824"/>
          <w:vertAlign w:val="superscript"/>
        </w:rPr>
        <w:footnoteReference w:id="62"/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1007" w:val="left"/>
        </w:tabs>
        <w:bidi w:val="0"/>
        <w:spacing w:before="0" w:after="300" w:line="283" w:lineRule="auto"/>
        <w:ind w:left="980" w:right="0" w:hanging="640"/>
        <w:jc w:val="both"/>
      </w:pPr>
      <w:r>
        <w:rPr>
          <w:rStyle w:val="CharStyle13"/>
          <w:color w:val="232824"/>
        </w:rPr>
        <w:t>Therefore, risk must be assessed objectively by reference to (i) the likelihood of the risk to</w:t>
        <w:br/>
        <w:t>the rights and freedoms of natural persons, and (ii) the severity of that risk.</w:t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1007" w:val="left"/>
        </w:tabs>
        <w:bidi w:val="0"/>
        <w:spacing w:before="0" w:after="300"/>
        <w:ind w:left="980" w:right="0" w:hanging="640"/>
        <w:jc w:val="both"/>
        <w:sectPr>
          <w:footnotePr>
            <w:pos w:val="pageBottom"/>
            <w:numFmt w:val="decimal"/>
            <w:numStart w:val="3"/>
            <w:numRestart w:val="continuous"/>
            <w15:footnoteColumns w:val="1"/>
          </w:footnotePr>
          <w:pgSz w:w="12240" w:h="18720"/>
          <w:pgMar w:top="2742" w:right="1832" w:bottom="2376" w:left="1678" w:header="2314" w:footer="3" w:gutter="0"/>
          <w:cols w:space="720"/>
          <w:noEndnote/>
          <w:rtlGutter w:val="0"/>
          <w:docGrid w:linePitch="360"/>
        </w:sectPr>
      </w:pPr>
      <w:r>
        <w:rPr>
          <w:rStyle w:val="CharStyle13"/>
          <w:color w:val="232824"/>
        </w:rPr>
        <w:t>Hence, the risk assessment must consider, first, the likelihood of the risk to the rights and</w:t>
        <w:br/>
        <w:t>freedom of data subjects whose personal data are processed by Fastway; and second, the</w:t>
        <w:br/>
        <w:t>severity of that risk in respect of the rights and freedoms of the data subjects. These</w:t>
        <w:br/>
        <w:t>objective assessments must be made by reference to the nature, scope, context and</w:t>
        <w:br/>
        <w:t>purposes of the processing. In considering these factors, regard must also be had to the</w:t>
        <w:br/>
        <w:t>quantity of personal data processed and the sensitivity of that data. Only in light of the risk</w:t>
        <w:br/>
        <w:t>assessment is possible to analyse the appropriateness of the security measures</w:t>
        <w:br/>
        <w:t>implemented (as detailed in the following Parts 6.ii and 6.iii).</w:t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922" w:val="left"/>
        </w:tabs>
        <w:bidi w:val="0"/>
        <w:spacing w:before="0"/>
        <w:ind w:left="980" w:right="0" w:hanging="620"/>
        <w:jc w:val="both"/>
      </w:pPr>
      <w:r>
        <w:rPr>
          <w:rStyle w:val="CharStyle13"/>
        </w:rPr>
        <w:t>Therefore, it is necessary first to examine the nature, scope, context and purposes of the</w:t>
        <w:br/>
        <w:t>processing. In terms of the nature of the Fastway's processing of personal data, this</w:t>
        <w:br/>
        <w:t>consists of electronic records stored in Fastway's server^^H for a period of thirty (30)</w:t>
        <w:br/>
        <w:t>days. After this period, the personal data is anonymised</w:t>
      </w:r>
      <w:r>
        <w:rPr>
          <w:rStyle w:val="CharStyle13"/>
          <w:vertAlign w:val="superscript"/>
        </w:rPr>
        <w:footnoteReference w:id="63"/>
      </w:r>
      <w:r>
        <w:rPr>
          <w:rStyle w:val="CharStyle13"/>
        </w:rPr>
        <w:t>. In respect of each data subject,</w:t>
        <w:br/>
        <w:t>Fastway may process personal data such as names, home addresses, email addresses and</w:t>
        <w:br/>
        <w:t>mobile numbers. However, Fastway clarified that that these categories of personal data</w:t>
        <w:br/>
        <w:t>might not be fully present in each record, since the data collected depends on its clients</w:t>
        <w:br/>
        <w:t>and not all fields are mandatory.</w:t>
      </w:r>
      <w:r>
        <w:rPr>
          <w:rStyle w:val="CharStyle13"/>
          <w:vertAlign w:val="superscript"/>
        </w:rPr>
        <w:footnoteReference w:id="64"/>
      </w:r>
      <w:r>
        <w:rPr>
          <w:rStyle w:val="CharStyle13"/>
        </w:rPr>
        <w:t xml:space="preserve"> In these circumstances, the personal data processed by</w:t>
        <w:br/>
        <w:t>Fastway may be considered at the lower end of the scale in terms of sensitivity.</w:t>
        <w:br/>
        <w:t>Nonetheless, the quantity of personal data processed by Fastway is significant: in its</w:t>
        <w:br/>
        <w:t xml:space="preserve">Additional Submissions on the Draft Decision, Fastway reported that </w:t>
      </w:r>
      <w:r>
        <w:rPr>
          <w:rStyle w:val="CharStyle13"/>
          <w:i/>
          <w:iCs/>
        </w:rPr>
        <w:t>"the records of 10,000</w:t>
        <w:br/>
        <w:t>data subjects were actually accessed".</w:t>
      </w:r>
      <w:r>
        <w:rPr>
          <w:rStyle w:val="CharStyle13"/>
          <w:i/>
          <w:iCs/>
          <w:vertAlign w:val="superscript"/>
        </w:rPr>
        <w:footnoteReference w:id="65"/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922" w:val="left"/>
        </w:tabs>
        <w:bidi w:val="0"/>
        <w:spacing w:before="0"/>
        <w:ind w:left="980" w:right="0" w:hanging="760"/>
        <w:jc w:val="both"/>
      </w:pPr>
      <w:r>
        <w:rPr>
          <w:rStyle w:val="CharStyle13"/>
        </w:rPr>
        <w:t>The scope and the context of the processing of the personal data involves the use of</w:t>
        <w:br/>
        <w:t>package recipient address and contact information to facilitate the delivery of packages</w:t>
        <w:br/>
        <w:t>and, potentially, revenue and sender reconciliation records.</w:t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922" w:val="left"/>
        </w:tabs>
        <w:bidi w:val="0"/>
        <w:spacing w:before="0" w:line="288" w:lineRule="auto"/>
        <w:ind w:left="980" w:right="0" w:hanging="760"/>
        <w:jc w:val="both"/>
      </w:pPr>
      <w:r>
        <w:rPr>
          <w:rStyle w:val="CharStyle13"/>
        </w:rPr>
        <w:t>The purposes of Fastway's processing of personal data relates to Fastway's delivery service.</w:t>
        <w:br/>
        <w:t>In its Record of Processing, Fastway identified five purposes: Custom declaration,</w:t>
        <w:br/>
        <w:t>Manifesting, Manifest enhancement, Scan event capture-tracking, Delivery performance</w:t>
        <w:br/>
        <w:t>reporting (used internally and for clients).</w:t>
      </w:r>
      <w:r>
        <w:rPr>
          <w:rStyle w:val="CharStyle13"/>
          <w:vertAlign w:val="superscript"/>
        </w:rPr>
        <w:footnoteReference w:id="66"/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922" w:val="left"/>
        </w:tabs>
        <w:bidi w:val="0"/>
        <w:spacing w:before="0"/>
        <w:ind w:left="980" w:right="0" w:hanging="760"/>
        <w:jc w:val="both"/>
        <w:sectPr>
          <w:footnotePr>
            <w:pos w:val="pageBottom"/>
            <w:numFmt w:val="decimal"/>
            <w:numStart w:val="3"/>
            <w:numRestart w:val="continuous"/>
            <w15:footnoteColumns w:val="1"/>
          </w:footnotePr>
          <w:pgSz w:w="12240" w:h="18720"/>
          <w:pgMar w:top="3044" w:right="1840" w:bottom="2655" w:left="1688" w:header="2616" w:footer="3" w:gutter="0"/>
          <w:cols w:space="720"/>
          <w:noEndnote/>
          <w:rtlGutter w:val="0"/>
          <w:docGrid w:linePitch="360"/>
        </w:sectPr>
      </w:pPr>
      <w:r>
        <w:rPr>
          <w:rStyle w:val="CharStyle13"/>
        </w:rPr>
        <w:t>Assessed objectively, I consider that the risks posed by Fastway's processing at the time of</w:t>
        <w:br/>
        <w:t>the personal data breach involved low to moderate risks both in likelihood and severity to</w:t>
        <w:br/>
        <w:t>the rights and freedoms of data subjects. Although the significant quantity of personal data</w:t>
        <w:br/>
        <w:t>related to a large number of data subjects processed and stored for a period of thirty (30)</w:t>
        <w:br/>
        <w:t>days by Fastway, this personal data may be considered at the lower end of the scale in</w:t>
        <w:br/>
        <w:t>terms of sensitivity. Therefore, I find that the severity of the risk to the rights and freedoms</w:t>
        <w:br/>
        <w:t>of natural persons is low. The likelihood of the risk relates to the possibility that such large</w:t>
        <w:br/>
        <w:t>quantity of personal data, stored as electronic records in a server of Fastway's IT</w:t>
        <w:br/>
        <w:t>infrastructure, may be subjected to an accidental or unlawful destruction, loss, alternation,</w:t>
        <w:br/>
        <w:t>unauthorised disclosure or access to personal data. In its Submissions on the Draft</w:t>
        <w:br/>
        <w:t>Decision, Fastway provided an overall description and related documentation on the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283" w:lineRule="auto"/>
        <w:ind w:left="980" w:right="0" w:firstLine="40"/>
        <w:jc w:val="both"/>
      </w:pPr>
      <w:r>
        <w:rPr>
          <w:rStyle w:val="CharStyle13"/>
          <w:color w:val="232824"/>
        </w:rPr>
        <w:t>systems and controls implemented to ensure data security prior to the personal data</w:t>
        <w:br/>
        <w:t>breach in 2020, stating that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288" w:lineRule="auto"/>
        <w:ind w:left="1420" w:right="0" w:firstLine="20"/>
        <w:jc w:val="both"/>
      </w:pPr>
      <w:r>
        <w:rPr>
          <w:rStyle w:val="CharStyle13"/>
          <w:i/>
          <w:iCs/>
          <w:color w:val="232824"/>
        </w:rPr>
        <w:t>"The position at this stage was that risks to the data subjects' rights and freedoms</w:t>
        <w:br/>
        <w:t>were not determined as being high, not only in terms of the nature of the personal</w:t>
        <w:br/>
        <w:t>data processed, but also as a result of the already implemented security measures."</w:t>
      </w:r>
      <w:r>
        <w:rPr>
          <w:rStyle w:val="CharStyle13"/>
          <w:i/>
          <w:iCs/>
          <w:color w:val="232824"/>
          <w:vertAlign w:val="superscript"/>
        </w:rPr>
        <w:t>65</w:t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887" w:val="left"/>
        </w:tabs>
        <w:bidi w:val="0"/>
        <w:spacing w:before="0" w:after="300"/>
        <w:ind w:left="980" w:right="0" w:hanging="760"/>
        <w:jc w:val="both"/>
      </w:pPr>
      <w:r>
        <w:rPr>
          <w:rStyle w:val="CharStyle13"/>
          <w:color w:val="232824"/>
        </w:rPr>
        <w:t>However, pursuant to Article 32(l)(d) of the GDPR and in light of the obligation to regularly</w:t>
        <w:br/>
        <w:t>evaluate the effectiveness of technical and organisational measures, it is clearthat Fastway</w:t>
        <w:br/>
        <w:t>should have conducted a risk assessment before initiating the process of reviewing access</w:t>
        <w:br/>
        <w:t>to its internal server in the context of the "Brexit project" in order to identify any possible</w:t>
        <w:br/>
        <w:t>risk arising from this specific change to the system. Its failure to do so aggravating the</w:t>
        <w:br/>
        <w:t>likelihood regarding the risks to the rights and freedoms of data subjects. Fastway</w:t>
        <w:br/>
        <w:t>confirmed that the risk assessment regarding the changes to the system was not</w:t>
        <w:br/>
        <w:t>performed.</w:t>
      </w:r>
      <w:r>
        <w:rPr>
          <w:rStyle w:val="CharStyle13"/>
          <w:color w:val="232824"/>
          <w:vertAlign w:val="superscript"/>
        </w:rPr>
        <w:footnoteReference w:id="67"/>
      </w:r>
      <w:r>
        <w:rPr>
          <w:rStyle w:val="CharStyle13"/>
          <w:color w:val="232824"/>
        </w:rPr>
        <w:t xml:space="preserve"> Therefore, I consider that there was a moderate likelihood regarding the risks</w:t>
        <w:br/>
        <w:t>to the rights and freedoms of data subjects. In the Data Breach Report, in evaluating the</w:t>
        <w:br/>
        <w:t>circumstances around the personal data breach, Fastway identified various critical aspects,</w:t>
        <w:br/>
        <w:t>among of them: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/>
        <w:ind w:left="1420" w:right="0" w:firstLine="20"/>
        <w:jc w:val="both"/>
      </w:pPr>
      <w:r>
        <w:rPr>
          <w:rStyle w:val="CharStyle13"/>
          <w:i/>
          <w:iCs/>
          <w:color w:val="232824"/>
        </w:rPr>
        <w:t>"Process review 3: A Risk Assessment should have been conducted to carry out</w:t>
        <w:br/>
        <w:t>vulnerability identification, to review and address any changes or new risks in data</w:t>
        <w:br/>
        <w:t>protection by the way of security gap analysis.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/>
        <w:ind w:left="1420" w:right="0" w:firstLine="20"/>
        <w:jc w:val="both"/>
      </w:pPr>
      <w:r>
        <w:rPr>
          <w:rStyle w:val="CharStyle13"/>
          <w:i/>
          <w:iCs/>
          <w:color w:val="232824"/>
        </w:rPr>
        <w:t>- Process review 4: During the risk assessment, the architectural issue and</w:t>
        <w:br/>
        <w:t>vulnerability could have been caught. All aspects should have been considered from</w:t>
        <w:br/>
        <w:t>data storage, remote access for other stakeholders and verify if the policies and</w:t>
        <w:br/>
        <w:t>procedures are adequate."</w:t>
      </w:r>
      <w:r>
        <w:rPr>
          <w:rStyle w:val="CharStyle13"/>
          <w:i/>
          <w:iCs/>
          <w:color w:val="232824"/>
          <w:vertAlign w:val="superscript"/>
        </w:rPr>
        <w:footnoteReference w:id="68"/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887" w:val="left"/>
        </w:tabs>
        <w:bidi w:val="0"/>
        <w:spacing w:before="0" w:after="300"/>
        <w:ind w:left="980" w:right="0" w:hanging="760"/>
        <w:jc w:val="both"/>
      </w:pPr>
      <w:r>
        <w:rPr>
          <w:rStyle w:val="CharStyle13"/>
          <w:color w:val="232824"/>
        </w:rPr>
        <w:t>Fastway explained that a possible reason for the lack of the risk assessment prior to the</w:t>
        <w:br/>
        <w:t xml:space="preserve">changes to the system was due to an </w:t>
      </w:r>
      <w:r>
        <w:rPr>
          <w:rStyle w:val="CharStyle13"/>
          <w:i/>
          <w:iCs/>
          <w:color w:val="232824"/>
        </w:rPr>
        <w:t>"urgent request to facilitate declarations of duty and</w:t>
        <w:br/>
        <w:t>VAT'.</w:t>
      </w:r>
      <w:r>
        <w:rPr>
          <w:rStyle w:val="CharStyle13"/>
          <w:i/>
          <w:iCs/>
          <w:color w:val="232824"/>
          <w:vertAlign w:val="superscript"/>
        </w:rPr>
        <w:footnoteReference w:id="69"/>
      </w:r>
      <w:r>
        <w:rPr>
          <w:rStyle w:val="CharStyle13"/>
          <w:color w:val="232824"/>
        </w:rPr>
        <w:t xml:space="preserve"> However, Fastway also correctly recognised that urgency cannot allow exceptions</w:t>
        <w:br/>
        <w:t>to the obligation to implement appropriate security measures and to follow policies and</w:t>
        <w:br/>
        <w:t>procedures that have been implemented</w:t>
      </w:r>
      <w:r>
        <w:rPr>
          <w:rStyle w:val="CharStyle13"/>
          <w:color w:val="232824"/>
          <w:vertAlign w:val="superscript"/>
        </w:rPr>
        <w:footnoteReference w:id="70"/>
      </w:r>
      <w:r>
        <w:rPr>
          <w:rStyle w:val="CharStyle13"/>
          <w:color w:val="232824"/>
        </w:rPr>
        <w:t>.</w:t>
      </w:r>
      <w:r>
        <w:br w:type="page"/>
      </w:r>
    </w:p>
    <w:p>
      <w:pPr>
        <w:pStyle w:val="Style12"/>
        <w:keepNext w:val="0"/>
        <w:keepLines w:val="0"/>
        <w:widowControl w:val="0"/>
        <w:numPr>
          <w:ilvl w:val="1"/>
          <w:numId w:val="33"/>
        </w:numPr>
        <w:shd w:val="clear" w:color="auto" w:fill="auto"/>
        <w:tabs>
          <w:tab w:pos="994" w:val="left"/>
        </w:tabs>
        <w:bidi w:val="0"/>
        <w:spacing w:before="0" w:after="480"/>
        <w:ind w:left="1000" w:right="0" w:hanging="760"/>
        <w:jc w:val="both"/>
      </w:pPr>
      <w:r>
        <w:rPr>
          <w:rStyle w:val="CharStyle13"/>
          <w:color w:val="232824"/>
        </w:rPr>
        <w:t>In all the circumstances, I consider that the likelihood and the severity of the risk to the</w:t>
        <w:br/>
        <w:t>rights and freedoms of the data subjects was low to moderate and Fastway did not assess</w:t>
        <w:br/>
        <w:t>the risks before the decision to apply the changes on its system.</w:t>
      </w:r>
    </w:p>
    <w:p>
      <w:pPr>
        <w:pStyle w:val="Style31"/>
        <w:keepNext/>
        <w:keepLines/>
        <w:widowControl w:val="0"/>
        <w:numPr>
          <w:ilvl w:val="0"/>
          <w:numId w:val="31"/>
        </w:numPr>
        <w:shd w:val="clear" w:color="auto" w:fill="auto"/>
        <w:tabs>
          <w:tab w:pos="1037" w:val="left"/>
        </w:tabs>
        <w:bidi w:val="0"/>
        <w:spacing w:before="0" w:line="240" w:lineRule="auto"/>
        <w:ind w:left="0" w:right="0" w:firstLine="420"/>
        <w:jc w:val="left"/>
      </w:pPr>
      <w:bookmarkStart w:id="24" w:name="bookmark24"/>
      <w:r>
        <w:rPr>
          <w:rStyle w:val="CharStyle32"/>
        </w:rPr>
        <w:t>Security Measures Implemented by Fastway</w:t>
      </w:r>
      <w:bookmarkEnd w:id="24"/>
    </w:p>
    <w:p>
      <w:pPr>
        <w:pStyle w:val="Style12"/>
        <w:keepNext w:val="0"/>
        <w:keepLines w:val="0"/>
        <w:widowControl w:val="0"/>
        <w:numPr>
          <w:ilvl w:val="1"/>
          <w:numId w:val="37"/>
        </w:numPr>
        <w:shd w:val="clear" w:color="auto" w:fill="auto"/>
        <w:tabs>
          <w:tab w:pos="994" w:val="left"/>
        </w:tabs>
        <w:bidi w:val="0"/>
        <w:spacing w:before="0"/>
        <w:ind w:left="1000" w:right="0" w:hanging="760"/>
        <w:jc w:val="both"/>
      </w:pPr>
      <w:r>
        <w:rPr>
          <w:rStyle w:val="CharStyle13"/>
          <w:color w:val="232824"/>
        </w:rPr>
        <w:t>Fastway detailed the technical and organisational measures that it had in place before the</w:t>
        <w:br/>
        <w:t>personal data breach, at the time of the personal data breach and the measures it</w:t>
        <w:br/>
        <w:t>consequently adopted immediately after the personal data breach. For the avoidance of</w:t>
        <w:br/>
        <w:t>doubt, this Decision does not consider the appropriateness of the level of security that</w:t>
        <w:br/>
        <w:t>Fastway currently implements but rather considers the measures in place at the time of</w:t>
        <w:br/>
        <w:t>the personal data breach (23 February 2021) and specifically regarding its processing of</w:t>
        <w:br/>
        <w:t>personal data in respect of its provision of delivery services and its storage of personal data</w:t>
        <w:br/>
        <w:t>in its internal report systemwhich became exposed to the public internet during</w:t>
        <w:br/>
        <w:t>the implementation of the "Brexit project".</w:t>
      </w:r>
    </w:p>
    <w:p>
      <w:pPr>
        <w:pStyle w:val="Style12"/>
        <w:keepNext w:val="0"/>
        <w:keepLines w:val="0"/>
        <w:widowControl w:val="0"/>
        <w:numPr>
          <w:ilvl w:val="1"/>
          <w:numId w:val="37"/>
        </w:numPr>
        <w:shd w:val="clear" w:color="auto" w:fill="auto"/>
        <w:tabs>
          <w:tab w:pos="1022" w:val="left"/>
        </w:tabs>
        <w:bidi w:val="0"/>
        <w:spacing w:before="0" w:after="340" w:line="240" w:lineRule="auto"/>
        <w:ind w:left="0" w:right="0" w:firstLine="220"/>
        <w:jc w:val="left"/>
      </w:pPr>
      <w:r>
        <w:rPr>
          <w:rStyle w:val="CharStyle13"/>
          <w:color w:val="232824"/>
        </w:rPr>
        <w:t>The measures relevant to Fastway's processing of personal data can be categorised as:</w:t>
      </w:r>
    </w:p>
    <w:p>
      <w:pPr>
        <w:pStyle w:val="Style12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457" w:val="left"/>
        </w:tabs>
        <w:bidi w:val="0"/>
        <w:spacing w:before="0" w:after="40" w:line="240" w:lineRule="auto"/>
        <w:ind w:left="1120" w:right="0" w:firstLine="0"/>
        <w:jc w:val="left"/>
      </w:pPr>
      <w:r>
        <w:rPr>
          <w:rStyle w:val="CharStyle13"/>
          <w:color w:val="232824"/>
        </w:rPr>
        <w:t>IT Infrastructure and technical measures;</w:t>
      </w:r>
    </w:p>
    <w:p>
      <w:pPr>
        <w:pStyle w:val="Style12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457" w:val="left"/>
        </w:tabs>
        <w:bidi w:val="0"/>
        <w:spacing w:before="0" w:after="340" w:line="240" w:lineRule="auto"/>
        <w:ind w:left="1120" w:right="0" w:firstLine="0"/>
        <w:jc w:val="left"/>
      </w:pPr>
      <w:r>
        <w:rPr>
          <w:rStyle w:val="CharStyle13"/>
          <w:color w:val="232824"/>
        </w:rPr>
        <w:t>Data Protection Policies and Procedures, and Training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600"/>
        <w:jc w:val="left"/>
      </w:pPr>
      <w:r>
        <w:rPr>
          <w:rStyle w:val="CharStyle13"/>
          <w:i/>
          <w:iCs/>
          <w:color w:val="232824"/>
        </w:rPr>
        <w:t>a) IT Infrastructure and technical measures</w:t>
      </w:r>
    </w:p>
    <w:p>
      <w:pPr>
        <w:pStyle w:val="Style12"/>
        <w:keepNext w:val="0"/>
        <w:keepLines w:val="0"/>
        <w:widowControl w:val="0"/>
        <w:numPr>
          <w:ilvl w:val="1"/>
          <w:numId w:val="41"/>
        </w:numPr>
        <w:shd w:val="clear" w:color="auto" w:fill="auto"/>
        <w:tabs>
          <w:tab w:pos="994" w:val="left"/>
          <w:tab w:pos="6946" w:val="left"/>
        </w:tabs>
        <w:bidi w:val="0"/>
        <w:spacing w:before="0" w:after="0"/>
        <w:ind w:left="1000" w:right="0" w:hanging="760"/>
        <w:jc w:val="both"/>
      </w:pPr>
      <w:r>
        <w:rPr>
          <w:rStyle w:val="CharStyle13"/>
          <w:color w:val="232824"/>
        </w:rPr>
        <w:t>Fastway processes personal data of data subjects related to each parcel in order to make</w:t>
        <w:br/>
        <w:t>deliveries, and it stores these personal data in its internal report system for a</w:t>
        <w:br/>
        <w:t>period of thirty (30) days on one of its servers. After this period, the personal data is</w:t>
        <w:br/>
        <w:t>anonymised</w:t>
      </w:r>
      <w:r>
        <w:rPr>
          <w:rStyle w:val="CharStyle13"/>
          <w:color w:val="232824"/>
          <w:vertAlign w:val="superscript"/>
        </w:rPr>
        <w:footnoteReference w:id="71"/>
      </w:r>
      <w:r>
        <w:rPr>
          <w:rStyle w:val="CharStyle13"/>
          <w:color w:val="232824"/>
        </w:rPr>
        <w:t>. This personal information is stored in</w:t>
        <w:tab/>
        <w:t>Before the personal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/>
        <w:ind w:left="1000" w:right="0" w:firstLine="20"/>
        <w:jc w:val="both"/>
      </w:pPr>
      <w:r>
        <w:rPr>
          <w:rStyle w:val="CharStyle13"/>
          <w:color w:val="232824"/>
        </w:rPr>
        <w:t>data breach, this information was not encrypted.</w:t>
      </w:r>
      <w:r>
        <w:rPr>
          <w:rStyle w:val="CharStyle13"/>
          <w:color w:val="232824"/>
          <w:vertAlign w:val="superscript"/>
        </w:rPr>
        <w:footnoteReference w:id="72"/>
      </w:r>
      <w:r>
        <w:rPr>
          <w:rStyle w:val="CharStyle13"/>
          <w:color w:val="232824"/>
        </w:rPr>
        <w:t xml:space="preserve"> The internal reporting system was not</w:t>
        <w:br/>
        <w:t>publicly available; however Fastway underlined that security controls were limited to</w:t>
        <w:br/>
        <w:t>internal access control procedures and these security controls were not the same as those</w:t>
        <w:br/>
        <w:t>existing in Fastway external facing applications. In this regard, Fastway reported as</w:t>
        <w:br/>
        <w:t>identified deficiencies of technical and organisational measures as follows: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40" w:line="288" w:lineRule="auto"/>
        <w:ind w:left="1420" w:right="0" w:firstLine="0"/>
        <w:jc w:val="both"/>
        <w:sectPr>
          <w:footnotePr>
            <w:pos w:val="pageBottom"/>
            <w:numFmt w:val="decimal"/>
            <w:numStart w:val="4"/>
            <w:numRestart w:val="continuous"/>
            <w15:footnoteColumns w:val="1"/>
          </w:footnotePr>
          <w:pgSz w:w="12240" w:h="18720"/>
          <w:pgMar w:top="2816" w:right="1550" w:bottom="2330" w:left="1576" w:header="2388" w:footer="3" w:gutter="0"/>
          <w:cols w:space="720"/>
          <w:noEndnote/>
          <w:rtlGutter w:val="0"/>
          <w:docGrid w:linePitch="360"/>
        </w:sectPr>
      </w:pPr>
      <w:r>
        <w:rPr>
          <w:rStyle w:val="CharStyle13"/>
          <w:i/>
          <w:iCs/>
          <w:color w:val="232824"/>
        </w:rPr>
        <w:t>"Our internal reporting system are never publicly available - internal access</w:t>
        <w:br/>
        <w:t>procedures were only considered necessary in this respect, this was clearly a grave</w:t>
        <w:br/>
        <w:t>oversight. Irrespective of a system being considered internal, it should be subject to</w:t>
        <w:br/>
        <w:t>the same security controls as all our existing external facing applications. Failure to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line="288" w:lineRule="auto"/>
        <w:ind w:left="1520" w:right="0" w:firstLine="20"/>
        <w:jc w:val="left"/>
      </w:pPr>
      <w:r>
        <w:rPr>
          <w:rStyle w:val="CharStyle13"/>
          <w:i/>
          <w:iCs/>
        </w:rPr>
        <w:t>follow existing process and security protocols, perceived time constraints, and</w:t>
        <w:br/>
        <w:t>instruction without approval from the appropriate person lead to the breach".</w:t>
      </w:r>
      <w:r>
        <w:rPr>
          <w:rStyle w:val="CharStyle13"/>
          <w:i/>
          <w:iCs/>
          <w:vertAlign w:val="superscript"/>
        </w:rPr>
        <w:footnoteReference w:id="73"/>
      </w:r>
    </w:p>
    <w:p>
      <w:pPr>
        <w:pStyle w:val="Style12"/>
        <w:keepNext w:val="0"/>
        <w:keepLines w:val="0"/>
        <w:widowControl w:val="0"/>
        <w:numPr>
          <w:ilvl w:val="1"/>
          <w:numId w:val="41"/>
        </w:numPr>
        <w:shd w:val="clear" w:color="auto" w:fill="auto"/>
        <w:tabs>
          <w:tab w:pos="1092" w:val="left"/>
        </w:tabs>
        <w:bidi w:val="0"/>
        <w:spacing w:before="0" w:after="140" w:line="283" w:lineRule="auto"/>
        <w:ind w:left="1120" w:right="0" w:hanging="820"/>
        <w:jc w:val="left"/>
      </w:pPr>
      <w:r>
        <w:rPr>
          <w:rStyle w:val="CharStyle13"/>
        </w:rPr>
        <w:t>Fastway provided a representation of the IT infrastructure before the system changes</w:t>
        <w:br/>
        <w:t>(figure no. 1), where the|^M was not public:</w:t>
      </w:r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4413250" cy="186055"/>
            <wp:docPr id="7" name="Picut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ext cx="4413250" cy="18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39" w:line="1" w:lineRule="exact"/>
      </w:pPr>
    </w:p>
    <w:p>
      <w:pPr>
        <w:widowControl w:val="0"/>
        <w:spacing w:line="1" w:lineRule="exact"/>
      </w:pP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788025" cy="2877185"/>
            <wp:docPr id="8" name="Picut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ext cx="5788025" cy="287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39" w:line="1" w:lineRule="exact"/>
      </w:pPr>
    </w:p>
    <w:p>
      <w:pPr>
        <w:pStyle w:val="Style12"/>
        <w:keepNext w:val="0"/>
        <w:keepLines w:val="0"/>
        <w:widowControl w:val="0"/>
        <w:numPr>
          <w:ilvl w:val="1"/>
          <w:numId w:val="41"/>
        </w:numPr>
        <w:shd w:val="clear" w:color="auto" w:fill="auto"/>
        <w:tabs>
          <w:tab w:pos="1092" w:val="left"/>
        </w:tabs>
        <w:bidi w:val="0"/>
        <w:spacing w:before="0"/>
        <w:ind w:left="1020" w:right="0" w:hanging="720"/>
        <w:jc w:val="both"/>
      </w:pPr>
      <w:r>
        <w:rPr>
          <w:rStyle w:val="CharStyle13"/>
        </w:rPr>
        <w:t xml:space="preserve">In its Submissions on the Draft Decision, Fastway clarified that the "Brexit project" was </w:t>
      </w:r>
      <w:r>
        <w:rPr>
          <w:rStyle w:val="CharStyle13"/>
          <w:i/>
          <w:iCs/>
        </w:rPr>
        <w:t>"an</w:t>
        <w:br/>
        <w:t>ongoing matter lasting over a year".</w:t>
      </w:r>
      <w:r>
        <w:rPr>
          <w:rStyle w:val="CharStyle13"/>
          <w:i/>
          <w:iCs/>
          <w:vertAlign w:val="superscript"/>
        </w:rPr>
        <w:footnoteReference w:id="74"/>
      </w:r>
      <w:r>
        <w:rPr>
          <w:rStyle w:val="CharStyle13"/>
        </w:rPr>
        <w:t xml:space="preserve"> The revenue reporting access (the one involved in</w:t>
        <w:br/>
        <w:t>the personal data breach, as further described below) was only one of the project</w:t>
        <w:br/>
        <w:t>deliverables and for this project deliverable Fastway agreed a Statement of Work (the</w:t>
        <w:br/>
      </w:r>
      <w:r>
        <w:rPr>
          <w:rStyle w:val="CharStyle13"/>
          <w:b/>
          <w:bCs/>
        </w:rPr>
        <w:t xml:space="preserve">"Statement of Work") </w:t>
      </w:r>
      <w:r>
        <w:rPr>
          <w:rStyle w:val="CharStyle13"/>
        </w:rPr>
        <w:t>with the IT Service Provider A on 27 January 2021.</w:t>
      </w:r>
      <w:r>
        <w:rPr>
          <w:rStyle w:val="CharStyle13"/>
          <w:vertAlign w:val="superscript"/>
        </w:rPr>
        <w:t>79</w:t>
      </w:r>
    </w:p>
    <w:p>
      <w:pPr>
        <w:pStyle w:val="Style12"/>
        <w:keepNext w:val="0"/>
        <w:keepLines w:val="0"/>
        <w:widowControl w:val="0"/>
        <w:numPr>
          <w:ilvl w:val="1"/>
          <w:numId w:val="41"/>
        </w:numPr>
        <w:shd w:val="clear" w:color="auto" w:fill="auto"/>
        <w:tabs>
          <w:tab w:pos="1092" w:val="left"/>
        </w:tabs>
        <w:bidi w:val="0"/>
        <w:spacing w:before="0" w:after="220"/>
        <w:ind w:left="1020" w:right="0" w:hanging="720"/>
        <w:jc w:val="both"/>
      </w:pPr>
      <w:r>
        <w:rPr>
          <w:rStyle w:val="CharStyle13"/>
        </w:rPr>
        <w:t>On 7 February 2021, Fastway requested IT Service Provider A to undertake the "Brexit</w:t>
        <w:br/>
        <w:t>project"</w:t>
      </w:r>
      <w:r>
        <w:rPr>
          <w:rStyle w:val="CharStyle13"/>
          <w:vertAlign w:val="superscript"/>
        </w:rPr>
        <w:footnoteReference w:id="75"/>
      </w:r>
      <w:r>
        <w:rPr>
          <w:rStyle w:val="CharStyle13"/>
        </w:rPr>
        <w:t>, consisting of allowing Revenue Commissioners and Customs access to Fastway's</w:t>
        <w:br/>
        <w:t>internal reporting system ^^^to facilitate declarations of duty and VAT.</w:t>
      </w:r>
      <w:r>
        <w:rPr>
          <w:rStyle w:val="CharStyle13"/>
          <w:vertAlign w:val="superscript"/>
        </w:rPr>
        <w:footnoteReference w:id="76"/>
      </w:r>
      <w:r>
        <w:rPr>
          <w:rStyle w:val="CharStyle13"/>
        </w:rPr>
        <w:t xml:space="preserve"> In doing so,</w:t>
        <w:br/>
        <w:t>Fastway was under an obligation to implement appropriate organisational and technical</w:t>
        <w:br/>
        <w:t>measures to ensure a level of security appropriate to the risk. This section details the</w:t>
        <w:br/>
        <w:t>technical measures implemented, while the following section details the organisational</w:t>
        <w:br/>
        <w:t>measures implemented.</w:t>
      </w:r>
      <w:r>
        <w:br w:type="page"/>
      </w:r>
    </w:p>
    <w:p>
      <w:pPr>
        <w:pStyle w:val="Style12"/>
        <w:keepNext w:val="0"/>
        <w:keepLines w:val="0"/>
        <w:widowControl w:val="0"/>
        <w:numPr>
          <w:ilvl w:val="1"/>
          <w:numId w:val="41"/>
        </w:numPr>
        <w:shd w:val="clear" w:color="auto" w:fill="auto"/>
        <w:tabs>
          <w:tab w:pos="1092" w:val="left"/>
          <w:tab w:pos="4183" w:val="left"/>
        </w:tabs>
        <w:bidi w:val="0"/>
        <w:spacing w:before="0" w:after="0" w:line="288" w:lineRule="auto"/>
        <w:ind w:left="1080" w:right="0" w:hanging="780"/>
        <w:jc w:val="both"/>
      </w:pPr>
      <w:r>
        <w:rPr>
          <w:rStyle w:val="CharStyle13"/>
        </w:rPr>
        <w:t>IT Service Provider A was requested to configure|^^^^^^^^^^| to grant</w:t>
        <w:br/>
        <w:t>access to the internal reporting systemFastway reported that, in making these</w:t>
        <w:br/>
        <w:t>system changes, IT Service Provider A incorrectly exposed the IP publicly, including an open</w:t>
        <w:br/>
        <w:t>port.</w:t>
      </w:r>
      <w:r>
        <w:rPr>
          <w:rStyle w:val="CharStyle13"/>
          <w:vertAlign w:val="superscript"/>
        </w:rPr>
        <w:footnoteReference w:id="77"/>
      </w:r>
      <w:r>
        <w:rPr>
          <w:rStyle w:val="CharStyle13"/>
        </w:rPr>
        <w:t xml:space="preserve"> Fastway provided a representation of the infrastructure afterthe new configuration</w:t>
        <w:br/>
        <w:t>(figure no. 2), where the</w:t>
        <w:tab/>
        <w:t>was made public and the^^^m was added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1080" w:right="0" w:firstLine="0"/>
        <w:jc w:val="left"/>
      </w:pPr>
      <w:r>
        <w:rPr>
          <w:rStyle w:val="CharStyle13"/>
        </w:rPr>
        <w:t>without security: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5"/>
            <w:numRestart w:val="continuous"/>
            <w15:footnoteColumns w:val="1"/>
          </w:footnotePr>
          <w:pgSz w:w="12240" w:h="18720"/>
          <w:pgMar w:top="2735" w:right="1479" w:bottom="2417" w:left="1645" w:header="2307" w:footer="3" w:gutter="0"/>
          <w:cols w:space="720"/>
          <w:noEndnote/>
          <w:rtlGutter w:val="0"/>
          <w:docGrid w:linePitch="360"/>
        </w:sectPr>
      </w:pPr>
      <w:r>
        <w:drawing>
          <wp:anchor distT="25400" distB="0" distL="0" distR="0" simplePos="0" relativeHeight="125829382" behindDoc="0" locked="0" layoutInCell="1" allowOverlap="1">
            <wp:simplePos x="0" y="0"/>
            <wp:positionH relativeFrom="page">
              <wp:posOffset>1108710</wp:posOffset>
            </wp:positionH>
            <wp:positionV relativeFrom="paragraph">
              <wp:posOffset>25400</wp:posOffset>
            </wp:positionV>
            <wp:extent cx="5657215" cy="3163570"/>
            <wp:wrapTopAndBottom/>
            <wp:docPr id="9" name="Shap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ext cx="5657215" cy="31635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2"/>
        <w:keepNext w:val="0"/>
        <w:keepLines w:val="0"/>
        <w:widowControl w:val="0"/>
        <w:numPr>
          <w:ilvl w:val="1"/>
          <w:numId w:val="41"/>
        </w:numPr>
        <w:shd w:val="clear" w:color="auto" w:fill="auto"/>
        <w:tabs>
          <w:tab w:pos="1012" w:val="left"/>
        </w:tabs>
        <w:bidi w:val="0"/>
        <w:spacing w:before="0"/>
        <w:ind w:left="980" w:right="0" w:hanging="760"/>
        <w:jc w:val="both"/>
      </w:pPr>
      <w:r>
        <w:rPr>
          <w:rStyle w:val="CharStyle13"/>
        </w:rPr>
        <w:t>Fastway stated that IT Service Provider A did not check and complete the necessary security</w:t>
        <w:br/>
        <w:t>patches nor review user restrictions and access control before exposing the IP publicly.</w:t>
      </w:r>
      <w:r>
        <w:rPr>
          <w:rStyle w:val="CharStyle13"/>
          <w:vertAlign w:val="superscript"/>
        </w:rPr>
        <w:footnoteReference w:id="78"/>
      </w:r>
      <w:r>
        <w:rPr>
          <w:rStyle w:val="CharStyle13"/>
          <w:vertAlign w:val="superscript"/>
        </w:rPr>
        <w:br/>
      </w:r>
      <w:r>
        <w:rPr>
          <w:rStyle w:val="CharStyle13"/>
        </w:rPr>
        <w:t>Fastway further clarified that: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152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83" behindDoc="0" locked="0" layoutInCell="1" allowOverlap="1">
                <wp:simplePos x="0" y="0"/>
                <wp:positionH relativeFrom="page">
                  <wp:posOffset>5668645</wp:posOffset>
                </wp:positionH>
                <wp:positionV relativeFrom="paragraph">
                  <wp:posOffset>12700</wp:posOffset>
                </wp:positionV>
                <wp:extent cx="905510" cy="167640"/>
                <wp:wrapSquare wrapText="left"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05510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</w:rPr>
                              <w:t>instance using a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446.35000000000002pt;margin-top:1.pt;width:71.299999999999997pt;height:13.200000000000001pt;z-index:-125829370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i/>
                          <w:iCs/>
                        </w:rPr>
                        <w:t>instance using a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13"/>
          <w:i/>
          <w:iCs/>
        </w:rPr>
        <w:t>The system was configured to authenticate requests to the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4060" w:right="0" w:firstLine="0"/>
        <w:jc w:val="both"/>
      </w:pPr>
      <w:r>
        <w:rPr>
          <w:rStyle w:val="CharStyle13"/>
          <w:i/>
          <w:iCs/>
        </w:rPr>
        <w:t>and due to incorrect configuration this triggered the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1400" w:right="0" w:firstLine="0"/>
        <w:jc w:val="left"/>
      </w:pPr>
      <w:r>
        <w:rPr>
          <w:rStyle w:val="CharStyle13"/>
          <w:i/>
          <w:iCs/>
        </w:rPr>
        <w:t>incident that exposed the data’’^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980"/>
        <w:jc w:val="left"/>
      </w:pPr>
      <w:r>
        <w:rPr>
          <w:rStyle w:val="CharStyle13"/>
        </w:rPr>
        <w:t>In its Submissions on the Draft Decision, Fastway further clarified that: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1400" w:right="0" w:firstLine="0"/>
        <w:jc w:val="both"/>
      </w:pPr>
      <w:r>
        <w:rPr>
          <w:rStyle w:val="CharStyle13"/>
          <w:i/>
          <w:iCs/>
        </w:rPr>
        <w:t>“reference to the "security patch" did not allude to a patch which should have been</w:t>
        <w:br/>
        <w:t>updated prior to the project, but rather to the vulnerability being "patched" or</w:t>
        <w:br/>
        <w:t>addressed.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20" w:line="288" w:lineRule="auto"/>
        <w:ind w:left="1400" w:right="0" w:firstLine="0"/>
        <w:jc w:val="left"/>
        <w:sectPr>
          <w:footnotePr>
            <w:pos w:val="pageBottom"/>
            <w:numFmt w:val="decimal"/>
            <w:numStart w:val="9"/>
            <w:numRestart w:val="continuous"/>
            <w15:footnoteColumns w:val="1"/>
          </w:footnotePr>
          <w:type w:val="continuous"/>
          <w:pgSz w:w="12240" w:h="18720"/>
          <w:pgMar w:top="2826" w:right="1835" w:bottom="2325" w:left="1689" w:header="0" w:footer="3" w:gutter="0"/>
          <w:cols w:space="720"/>
          <w:noEndnote/>
          <w:rtlGutter w:val="0"/>
          <w:docGrid w:linePitch="360"/>
        </w:sectPr>
      </w:pPr>
      <w:r>
        <w:rPr>
          <w:rStyle w:val="CharStyle13"/>
          <w:i/>
          <w:iCs/>
        </w:rPr>
        <w:t>It was therefore not the vulnerability of the software which was the issue, rather, the</w:t>
        <w:br/>
        <w:t>vulnerability arose due to the incorrect configuration by the developer.'</w:t>
      </w:r>
      <w:r>
        <w:rPr>
          <w:rStyle w:val="CharStyle13"/>
          <w:i/>
          <w:iCs/>
          <w:vertAlign w:val="superscript"/>
        </w:rPr>
        <w:t>,S7</w:t>
      </w:r>
    </w:p>
    <w:p>
      <w:pPr>
        <w:pStyle w:val="Style12"/>
        <w:keepNext w:val="0"/>
        <w:keepLines w:val="0"/>
        <w:widowControl w:val="0"/>
        <w:numPr>
          <w:ilvl w:val="1"/>
          <w:numId w:val="41"/>
        </w:numPr>
        <w:shd w:val="clear" w:color="auto" w:fill="auto"/>
        <w:tabs>
          <w:tab w:pos="792" w:val="left"/>
        </w:tabs>
        <w:bidi w:val="0"/>
        <w:spacing w:before="0" w:after="340" w:line="240" w:lineRule="auto"/>
        <w:ind w:left="0" w:right="0" w:firstLine="0"/>
        <w:jc w:val="left"/>
      </w:pPr>
      <w:r>
        <w:rPr>
          <w:rStyle w:val="CharStyle13"/>
          <w:color w:val="232824"/>
        </w:rPr>
        <w:t>Fastway briefly explained the issues that arose from such misconfiguration as: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1240" w:right="0" w:firstLine="0"/>
        <w:jc w:val="left"/>
      </w:pPr>
      <w:r>
        <w:rPr>
          <w:rStyle w:val="CharStyle13"/>
          <w:i/>
          <w:iCs/>
          <w:color w:val="232824"/>
        </w:rPr>
        <w:t>"Issues identified: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2360" w:right="0" w:firstLine="0"/>
        <w:jc w:val="left"/>
      </w:pPr>
      <w:r>
        <w:rPr>
          <w:rStyle w:val="CharStyle13"/>
          <w:i/>
          <w:iCs/>
          <w:color w:val="232824"/>
        </w:rPr>
        <w:t>was misconfigured to be open.</w:t>
      </w:r>
    </w:p>
    <w:p>
      <w:pPr>
        <w:pStyle w:val="Style12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2685" w:val="left"/>
        </w:tabs>
        <w:bidi w:val="0"/>
        <w:spacing w:before="0" w:after="40" w:line="240" w:lineRule="auto"/>
        <w:ind w:left="1240" w:right="0" w:firstLine="0"/>
        <w:jc w:val="left"/>
      </w:pPr>
      <w:r>
        <w:rPr>
          <w:rStyle w:val="CharStyle13"/>
          <w:i/>
          <w:iCs/>
          <w:color w:val="232824"/>
        </w:rPr>
        <w:t>was configured but was not closed.</w:t>
      </w:r>
    </w:p>
    <w:p>
      <w:pPr>
        <w:pStyle w:val="Style12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565" w:val="left"/>
        </w:tabs>
        <w:bidi w:val="0"/>
        <w:spacing w:before="0" w:after="0" w:line="240" w:lineRule="auto"/>
        <w:ind w:left="1240" w:right="0" w:firstLine="0"/>
        <w:jc w:val="left"/>
      </w:pPr>
      <w:r>
        <w:rPr>
          <w:rStyle w:val="CharStyle13"/>
          <w:color w:val="232824"/>
          <w:sz w:val="40"/>
          <w:szCs w:val="40"/>
        </w:rPr>
        <w:t xml:space="preserve">m^H </w:t>
      </w:r>
      <w:r>
        <w:rPr>
          <w:rStyle w:val="CharStyle13"/>
          <w:i/>
          <w:iCs/>
          <w:color w:val="232824"/>
        </w:rPr>
        <w:t>that was provided by</w:t>
      </w:r>
      <w:r>
        <w:rPr>
          <w:rStyle w:val="CharStyle13"/>
          <w:color w:val="232824"/>
          <w:sz w:val="40"/>
          <w:szCs w:val="40"/>
        </w:rPr>
        <w:t xml:space="preserve"> |^m </w:t>
      </w:r>
      <w:r>
        <w:rPr>
          <w:rStyle w:val="CharStyle13"/>
          <w:i/>
          <w:iCs/>
          <w:color w:val="232824"/>
        </w:rPr>
        <w:t>for user restriction was not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9"/>
            <w:numRestart w:val="continuous"/>
            <w15:footnoteColumns w:val="1"/>
          </w:footnotePr>
          <w:pgSz w:w="12240" w:h="18720"/>
          <w:pgMar w:top="2813" w:right="1829" w:bottom="2599" w:left="1906" w:header="2385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0" distB="0" distL="0" distR="0" simplePos="0" relativeHeight="125829385" behindDoc="0" locked="0" layoutInCell="1" allowOverlap="1">
                <wp:simplePos x="0" y="0"/>
                <wp:positionH relativeFrom="page">
                  <wp:posOffset>2002790</wp:posOffset>
                </wp:positionH>
                <wp:positionV relativeFrom="paragraph">
                  <wp:posOffset>0</wp:posOffset>
                </wp:positionV>
                <wp:extent cx="2094230" cy="506095"/>
                <wp:wrapTopAndBottom/>
                <wp:docPr id="13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94230" cy="5060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3110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  <w:color w:val="232824"/>
                              </w:rPr>
                              <w:t>applied. By default the</w:t>
                            </w:r>
                            <w:r>
                              <w:rPr>
                                <w:rStyle w:val="CharStyle13"/>
                                <w:color w:val="232824"/>
                                <w:sz w:val="40"/>
                                <w:szCs w:val="40"/>
                              </w:rPr>
                              <w:t xml:space="preserve"> J</w:t>
                              <w:tab/>
                              <w:t>*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  <w:color w:val="232824"/>
                              </w:rPr>
                              <w:t>and later on ^^^| released the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157.70000000000002pt;margin-top:0;width:164.90000000000001pt;height:39.850000000000001pt;z-index:-125829368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3110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Style w:val="CharStyle13"/>
                          <w:i/>
                          <w:iCs/>
                          <w:color w:val="232824"/>
                        </w:rPr>
                        <w:t>applied. By default the</w:t>
                      </w:r>
                      <w:r>
                        <w:rPr>
                          <w:rStyle w:val="CharStyle13"/>
                          <w:color w:val="232824"/>
                          <w:sz w:val="40"/>
                          <w:szCs w:val="40"/>
                        </w:rPr>
                        <w:t xml:space="preserve"> J</w:t>
                        <w:tab/>
                        <w:t>*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i/>
                          <w:iCs/>
                          <w:color w:val="232824"/>
                        </w:rPr>
                        <w:t>and later on ^^^| released the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210185" distL="0" distR="0" simplePos="0" relativeHeight="125829387" behindDoc="0" locked="0" layoutInCell="1" allowOverlap="1">
                <wp:simplePos x="0" y="0"/>
                <wp:positionH relativeFrom="page">
                  <wp:posOffset>4773295</wp:posOffset>
                </wp:positionH>
                <wp:positionV relativeFrom="paragraph">
                  <wp:posOffset>0</wp:posOffset>
                </wp:positionV>
                <wp:extent cx="1831975" cy="295910"/>
                <wp:wrapTopAndBottom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31975" cy="2959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  <w:color w:val="232824"/>
                              </w:rPr>
                              <w:t>was operational for only one user</w:t>
                              <w:br/>
                            </w:r>
                            <w:r>
                              <w:rPr>
                                <w:rStyle w:val="CharStyle13"/>
                                <w:rFonts w:ascii="Arial" w:eastAsia="Arial" w:hAnsi="Arial" w:cs="Arial"/>
                                <w:i/>
                                <w:iCs/>
                                <w:color w:val="232824"/>
                                <w:sz w:val="18"/>
                                <w:szCs w:val="18"/>
                              </w:rPr>
                              <w:t>■</w:t>
                            </w:r>
                            <w:r>
                              <w:rPr>
                                <w:rStyle w:val="CharStyle13"/>
                                <w:i/>
                                <w:iCs/>
                                <w:color w:val="232824"/>
                              </w:rPr>
                              <w:t xml:space="preserve"> "88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375.85000000000002pt;margin-top:0;width:144.25pt;height:23.300000000000001pt;z-index:-125829366;mso-wrap-distance-left:0;mso-wrap-distance-right:0;mso-wrap-distance-bottom:16.550000000000001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3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  <w:i/>
                          <w:iCs/>
                          <w:color w:val="232824"/>
                        </w:rPr>
                        <w:t>was operational for only one user</w:t>
                        <w:br/>
                      </w:r>
                      <w:r>
                        <w:rPr>
                          <w:rStyle w:val="CharStyle13"/>
                          <w:rFonts w:ascii="Arial" w:eastAsia="Arial" w:hAnsi="Arial" w:cs="Arial"/>
                          <w:i/>
                          <w:iCs/>
                          <w:color w:val="232824"/>
                          <w:sz w:val="18"/>
                          <w:szCs w:val="18"/>
                        </w:rPr>
                        <w:t>■</w:t>
                      </w:r>
                      <w:r>
                        <w:rPr>
                          <w:rStyle w:val="CharStyle13"/>
                          <w:i/>
                          <w:iCs/>
                          <w:color w:val="232824"/>
                        </w:rPr>
                        <w:t xml:space="preserve"> "88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2"/>
        <w:keepNext w:val="0"/>
        <w:keepLines w:val="0"/>
        <w:widowControl w:val="0"/>
        <w:numPr>
          <w:ilvl w:val="1"/>
          <w:numId w:val="47"/>
        </w:numPr>
        <w:shd w:val="clear" w:color="auto" w:fill="auto"/>
        <w:tabs>
          <w:tab w:pos="787" w:val="left"/>
        </w:tabs>
        <w:bidi w:val="0"/>
        <w:spacing w:before="0"/>
        <w:ind w:left="800" w:right="0" w:hanging="800"/>
        <w:jc w:val="both"/>
      </w:pPr>
      <w:r>
        <w:rPr>
          <w:rStyle w:val="CharStyle13"/>
          <w:color w:val="232824"/>
        </w:rPr>
        <w:t>As reported in Part 3, Fastway's system was exposed from approximately 9am on 23</w:t>
        <w:br/>
        <w:t>February 2021 to approximately 9am on 26 February 2021,</w:t>
      </w:r>
      <w:r>
        <w:rPr>
          <w:rStyle w:val="CharStyle13"/>
          <w:color w:val="232824"/>
          <w:vertAlign w:val="superscript"/>
        </w:rPr>
        <w:t>89</w:t>
      </w:r>
      <w:r>
        <w:rPr>
          <w:rStyle w:val="CharStyle13"/>
          <w:color w:val="232824"/>
        </w:rPr>
        <w:t xml:space="preserve"> during which an unauthorised</w:t>
        <w:br/>
        <w:t>individual gained access on 24 February 2021 at O7:18</w:t>
      </w:r>
      <w:r>
        <w:rPr>
          <w:rStyle w:val="CharStyle13"/>
          <w:color w:val="232824"/>
          <w:vertAlign w:val="superscript"/>
        </w:rPr>
        <w:t>90</w:t>
      </w:r>
      <w:r>
        <w:rPr>
          <w:rStyle w:val="CharStyle13"/>
          <w:color w:val="232824"/>
        </w:rPr>
        <w:t xml:space="preserve"> and successfully downloaded the</w:t>
        <w:br/>
        <w:t>personal data stored there.</w:t>
      </w:r>
      <w:r>
        <w:rPr>
          <w:rStyle w:val="CharStyle13"/>
          <w:color w:val="232824"/>
          <w:vertAlign w:val="superscript"/>
        </w:rPr>
        <w:t>91</w:t>
      </w:r>
    </w:p>
    <w:p>
      <w:pPr>
        <w:pStyle w:val="Style12"/>
        <w:keepNext w:val="0"/>
        <w:keepLines w:val="0"/>
        <w:widowControl w:val="0"/>
        <w:numPr>
          <w:ilvl w:val="1"/>
          <w:numId w:val="47"/>
        </w:numPr>
        <w:shd w:val="clear" w:color="auto" w:fill="auto"/>
        <w:tabs>
          <w:tab w:pos="787" w:val="left"/>
        </w:tabs>
        <w:bidi w:val="0"/>
        <w:spacing w:before="0"/>
        <w:ind w:left="0" w:right="0" w:firstLine="0"/>
        <w:jc w:val="left"/>
      </w:pPr>
      <w:r>
        <w:rPr>
          <w:rStyle w:val="CharStyle13"/>
          <w:color w:val="232824"/>
        </w:rPr>
        <w:t>Fastway summarised the cause of what led to the personal data breach as follows: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/>
        <w:ind w:left="1220" w:right="0" w:firstLine="0"/>
        <w:jc w:val="both"/>
      </w:pPr>
      <w:r>
        <w:rPr>
          <w:rStyle w:val="CharStyle13"/>
          <w:i/>
          <w:iCs/>
          <w:color w:val="232824"/>
        </w:rPr>
        <w:t>"The developer should have checked and completed the configuration correctly, the</w:t>
        <w:br/>
        <w:t>necessary security patches and reviewed user restrictions and access control before</w:t>
        <w:br/>
        <w:t>exposing the IP publicly."</w:t>
      </w:r>
      <w:r>
        <w:rPr>
          <w:rStyle w:val="CharStyle13"/>
          <w:i/>
          <w:iCs/>
          <w:color w:val="232824"/>
          <w:vertAlign w:val="superscript"/>
        </w:rPr>
        <w:t>32</w:t>
      </w:r>
    </w:p>
    <w:p>
      <w:pPr>
        <w:pStyle w:val="Style12"/>
        <w:keepNext w:val="0"/>
        <w:keepLines w:val="0"/>
        <w:widowControl w:val="0"/>
        <w:numPr>
          <w:ilvl w:val="1"/>
          <w:numId w:val="47"/>
        </w:numPr>
        <w:shd w:val="clear" w:color="auto" w:fill="auto"/>
        <w:tabs>
          <w:tab w:pos="787" w:val="left"/>
        </w:tabs>
        <w:bidi w:val="0"/>
        <w:spacing w:before="0" w:after="40" w:line="240" w:lineRule="auto"/>
        <w:ind w:left="0" w:right="0" w:firstLine="0"/>
        <w:jc w:val="both"/>
      </w:pPr>
      <w:r>
        <w:rPr>
          <w:rStyle w:val="CharStyle13"/>
          <w:color w:val="232824"/>
        </w:rPr>
        <w:t>The IT Security Report identified that the root cause of the personal data breach was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/>
        <w:ind w:left="0" w:right="0" w:firstLine="800"/>
        <w:jc w:val="both"/>
      </w:pPr>
      <w:r>
        <w:rPr>
          <w:rStyle w:val="CharStyle13"/>
          <w:color w:val="232824"/>
        </w:rPr>
        <w:t>human error and stated: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/>
        <w:ind w:left="1220" w:right="0" w:firstLine="0"/>
        <w:jc w:val="both"/>
      </w:pPr>
      <w:r>
        <w:rPr>
          <w:rStyle w:val="CharStyle13"/>
          <w:i/>
          <w:iCs/>
          <w:color w:val="232824"/>
        </w:rPr>
        <w:t>"It was reported that Fastway have development and security policies in place butthat</w:t>
        <w:br/>
        <w:t>these were not followed.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/>
        <w:ind w:left="1220" w:right="0" w:firstLine="0"/>
        <w:jc w:val="both"/>
      </w:pPr>
      <w:r>
        <w:rPr>
          <w:rStyle w:val="CharStyle13"/>
          <w:i/>
          <w:iCs/>
          <w:color w:val="232824"/>
        </w:rPr>
        <w:t>The IT services company misconfigured the system, which caused the data to be open</w:t>
        <w:br/>
        <w:t>to the internet. This in turn allowed the intruder to access the data.’’</w:t>
      </w:r>
      <w:r>
        <w:rPr>
          <w:rStyle w:val="CharStyle13"/>
          <w:i/>
          <w:iCs/>
          <w:color w:val="232824"/>
          <w:vertAlign w:val="superscript"/>
        </w:rPr>
        <w:t>33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180"/>
        <w:jc w:val="both"/>
      </w:pPr>
      <w:r>
        <mc:AlternateContent>
          <mc:Choice Requires="wps">
            <w:drawing>
              <wp:anchor distT="0" distB="0" distL="114300" distR="114300" simplePos="0" relativeHeight="125829389" behindDoc="0" locked="0" layoutInCell="1" allowOverlap="1">
                <wp:simplePos x="0" y="0"/>
                <wp:positionH relativeFrom="page">
                  <wp:posOffset>1200785</wp:posOffset>
                </wp:positionH>
                <wp:positionV relativeFrom="paragraph">
                  <wp:posOffset>12700</wp:posOffset>
                </wp:positionV>
                <wp:extent cx="259080" cy="167640"/>
                <wp:wrapSquare wrapText="bothSides"/>
                <wp:docPr id="17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59080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color w:val="232824"/>
                              </w:rPr>
                              <w:t>6.28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position:absolute;margin-left:94.549999999999997pt;margin-top:1.pt;width:20.400000000000002pt;height:13.200000000000001pt;z-index:-125829364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color w:val="232824"/>
                        </w:rPr>
                        <w:t>6.28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Style w:val="CharStyle13"/>
          <w:color w:val="232824"/>
        </w:rPr>
        <w:t>The IT Security Report further analysed that:</w:t>
      </w:r>
    </w:p>
    <w:p>
      <w:pPr>
        <w:pStyle w:val="Style12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465" w:val="left"/>
        </w:tabs>
        <w:bidi w:val="0"/>
        <w:spacing w:before="0" w:after="0" w:line="288" w:lineRule="auto"/>
        <w:ind w:left="1440" w:right="0" w:hanging="340"/>
        <w:jc w:val="both"/>
      </w:pPr>
      <w:r>
        <w:rPr>
          <w:rStyle w:val="CharStyle13"/>
          <w:i/>
          <w:iCs/>
          <w:color w:val="232824"/>
        </w:rPr>
        <w:t>"All changes on production systems should be managed by a Change</w:t>
        <w:br/>
        <w:t>policy/procedure, which should include the requirement that the risks in making</w:t>
        <w:br/>
        <w:t>the change be evaluated.</w:t>
      </w:r>
    </w:p>
    <w:p>
      <w:pPr>
        <w:pStyle w:val="Style12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465" w:val="left"/>
        </w:tabs>
        <w:bidi w:val="0"/>
        <w:spacing w:before="0" w:line="288" w:lineRule="auto"/>
        <w:ind w:left="1440" w:right="0" w:hanging="340"/>
        <w:jc w:val="both"/>
      </w:pPr>
      <w:r>
        <w:rPr>
          <w:rStyle w:val="CharStyle13"/>
          <w:i/>
          <w:iCs/>
          <w:color w:val="232824"/>
        </w:rPr>
        <w:t>It should be enforced that there is separation between production, test and UAT</w:t>
        <w:br/>
        <w:t>environments and Data.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190500" distB="927100" distL="0" distR="0" simplePos="0" relativeHeight="125829391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190500</wp:posOffset>
                </wp:positionV>
                <wp:extent cx="5492750" cy="557530"/>
                <wp:wrapTopAndBottom/>
                <wp:docPr id="19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492750" cy="557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45"/>
                              </w:numPr>
                              <w:shd w:val="clear" w:color="auto" w:fill="auto"/>
                              <w:tabs>
                                <w:tab w:pos="163" w:val="left"/>
                              </w:tabs>
                              <w:bidi w:val="0"/>
                              <w:spacing w:before="0" w:after="0" w:line="257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</w:rPr>
                              <w:t>Fastway response to queries, dated 18 March 2021, pages 3-4.</w:t>
                            </w:r>
                          </w:p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45"/>
                              </w:numPr>
                              <w:shd w:val="clear" w:color="auto" w:fill="auto"/>
                              <w:tabs>
                                <w:tab w:pos="163" w:val="left"/>
                              </w:tabs>
                              <w:bidi w:val="0"/>
                              <w:spacing w:before="0" w:after="0" w:line="257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</w:rPr>
                              <w:t>IT Security Report, page 9-10.</w:t>
                            </w:r>
                          </w:p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45"/>
                              </w:numPr>
                              <w:shd w:val="clear" w:color="auto" w:fill="auto"/>
                              <w:tabs>
                                <w:tab w:pos="163" w:val="left"/>
                              </w:tabs>
                              <w:bidi w:val="0"/>
                              <w:spacing w:before="0" w:after="0" w:line="257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</w:rPr>
                              <w:t>Fastway response to queries, dated 18 March 2021, page 1 and 14. This is also confirmed by the external information</w:t>
                              <w:br/>
                              <w:t xml:space="preserve">security consultancy </w:t>
                            </w:r>
                            <w:r>
                              <w:rPr>
                                <w:rStyle w:val="CharStyle46"/>
                                <w:u w:val="single"/>
                              </w:rPr>
                              <w:t>firm, consulted by Fastway, cfr.</w:t>
                            </w:r>
                            <w:r>
                              <w:rPr>
                                <w:rStyle w:val="CharStyle46"/>
                              </w:rPr>
                              <w:t xml:space="preserve"> IT Security Report, in particular: </w:t>
                            </w:r>
                            <w:r>
                              <w:rPr>
                                <w:rStyle w:val="CharStyle46"/>
                                <w:i/>
                                <w:iCs/>
                              </w:rPr>
                              <w:t>“The analysis of the provided log files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85.pt;margin-top:15.pt;width:432.5pt;height:43.899999999999999pt;z-index:-125829362;mso-wrap-distance-left:0;mso-wrap-distance-top:15.pt;mso-wrap-distance-right:0;mso-wrap-distance-bottom:73.pt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numPr>
                          <w:ilvl w:val="0"/>
                          <w:numId w:val="45"/>
                        </w:numPr>
                        <w:shd w:val="clear" w:color="auto" w:fill="auto"/>
                        <w:tabs>
                          <w:tab w:pos="163" w:val="left"/>
                        </w:tabs>
                        <w:bidi w:val="0"/>
                        <w:spacing w:before="0" w:after="0" w:line="257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</w:rPr>
                        <w:t>Fastway response to queries, dated 18 March 2021, pages 3-4.</w:t>
                      </w:r>
                    </w:p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numPr>
                          <w:ilvl w:val="0"/>
                          <w:numId w:val="45"/>
                        </w:numPr>
                        <w:shd w:val="clear" w:color="auto" w:fill="auto"/>
                        <w:tabs>
                          <w:tab w:pos="163" w:val="left"/>
                        </w:tabs>
                        <w:bidi w:val="0"/>
                        <w:spacing w:before="0" w:after="0" w:line="257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</w:rPr>
                        <w:t>IT Security Report, page 9-10.</w:t>
                      </w:r>
                    </w:p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numPr>
                          <w:ilvl w:val="0"/>
                          <w:numId w:val="45"/>
                        </w:numPr>
                        <w:shd w:val="clear" w:color="auto" w:fill="auto"/>
                        <w:tabs>
                          <w:tab w:pos="163" w:val="left"/>
                        </w:tabs>
                        <w:bidi w:val="0"/>
                        <w:spacing w:before="0" w:after="0" w:line="257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</w:rPr>
                        <w:t>Fastway response to queries, dated 18 March 2021, page 1 and 14. This is also confirmed by the external information</w:t>
                        <w:br/>
                        <w:t xml:space="preserve">security consultancy </w:t>
                      </w:r>
                      <w:r>
                        <w:rPr>
                          <w:rStyle w:val="CharStyle46"/>
                          <w:u w:val="single"/>
                        </w:rPr>
                        <w:t>firm, consulted by Fastway, cfr.</w:t>
                      </w:r>
                      <w:r>
                        <w:rPr>
                          <w:rStyle w:val="CharStyle46"/>
                        </w:rPr>
                        <w:t xml:space="preserve"> IT Security Report, in particular: </w:t>
                      </w:r>
                      <w:r>
                        <w:rPr>
                          <w:rStyle w:val="CharStyle46"/>
                          <w:i/>
                          <w:iCs/>
                        </w:rPr>
                        <w:t>“The analysis of the provided log files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30250" distB="807720" distL="0" distR="0" simplePos="0" relativeHeight="125829393" behindDoc="0" locked="0" layoutInCell="1" allowOverlap="1">
                <wp:simplePos x="0" y="0"/>
                <wp:positionH relativeFrom="page">
                  <wp:posOffset>1073150</wp:posOffset>
                </wp:positionH>
                <wp:positionV relativeFrom="paragraph">
                  <wp:posOffset>730250</wp:posOffset>
                </wp:positionV>
                <wp:extent cx="1085215" cy="137160"/>
                <wp:wrapTopAndBottom/>
                <wp:docPr id="21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85215" cy="137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  <w:i/>
                                <w:iCs/>
                              </w:rPr>
                              <w:t>showed that IP address\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position:absolute;margin-left:84.5pt;margin-top:57.5pt;width:85.450000000000003pt;height:10.800000000000001pt;z-index:-125829360;mso-wrap-distance-left:0;mso-wrap-distance-top:57.5pt;mso-wrap-distance-right:0;mso-wrap-distance-bottom:63.600000000000001pt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  <w:i/>
                          <w:iCs/>
                        </w:rPr>
                        <w:t>showed that IP address\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32790" distB="805180" distL="0" distR="0" simplePos="0" relativeHeight="125829395" behindDoc="0" locked="0" layoutInCell="1" allowOverlap="1">
                <wp:simplePos x="0" y="0"/>
                <wp:positionH relativeFrom="page">
                  <wp:posOffset>3450590</wp:posOffset>
                </wp:positionH>
                <wp:positionV relativeFrom="paragraph">
                  <wp:posOffset>732790</wp:posOffset>
                </wp:positionV>
                <wp:extent cx="3127375" cy="137160"/>
                <wp:wrapTopAndBottom/>
                <wp:docPr id="23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27375" cy="137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  <w:i/>
                                <w:iCs/>
                              </w:rPr>
                              <w:t>was exposed from the9am on the morning of the 23rd of February and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271.69999999999999pt;margin-top:57.700000000000003pt;width:246.25pt;height:10.800000000000001pt;z-index:-125829358;mso-wrap-distance-left:0;mso-wrap-distance-top:57.700000000000003pt;mso-wrap-distance-right:0;mso-wrap-distance-bottom:63.399999999999999pt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  <w:i/>
                          <w:iCs/>
                        </w:rPr>
                        <w:t>was exposed from the9am on the morning of the 23rd of February and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66445" distB="536575" distL="0" distR="0" simplePos="0" relativeHeight="125829397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766445</wp:posOffset>
                </wp:positionV>
                <wp:extent cx="5498465" cy="372110"/>
                <wp:wrapTopAndBottom/>
                <wp:docPr id="25" name="Shape 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498465" cy="3721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7166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  <w:i/>
                                <w:iCs/>
                              </w:rPr>
                              <w:t>6am on the morning of the 26th of February. During this time, the IP address^</w:t>
                            </w:r>
                            <w:r>
                              <w:rPr>
                                <w:rStyle w:val="CharStyle46"/>
                                <w:sz w:val="32"/>
                                <w:szCs w:val="32"/>
                              </w:rPr>
                              <w:tab/>
                              <w:t xml:space="preserve">f </w:t>
                            </w:r>
                            <w:r>
                              <w:rPr>
                                <w:rStyle w:val="CharStyle46"/>
                                <w:i/>
                                <w:iCs/>
                              </w:rPr>
                              <w:t>was accessed by</w:t>
                            </w:r>
                          </w:p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  <w:i/>
                                <w:iCs/>
                              </w:rPr>
                              <w:t>approximately 21IP addresses across eight countries. All but one of the IPs were scanning and did not access the data. Only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1" type="#_x0000_t202" style="position:absolute;margin-left:85.pt;margin-top:60.350000000000001pt;width:432.94999999999999pt;height:29.300000000000001pt;z-index:-125829356;mso-wrap-distance-left:0;mso-wrap-distance-top:60.350000000000001pt;mso-wrap-distance-right:0;mso-wrap-distance-bottom:42.25pt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7166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  <w:i/>
                          <w:iCs/>
                        </w:rPr>
                        <w:t>6am on the morning of the 26th of February. During this time, the IP address^</w:t>
                      </w:r>
                      <w:r>
                        <w:rPr>
                          <w:rStyle w:val="CharStyle46"/>
                          <w:sz w:val="32"/>
                          <w:szCs w:val="32"/>
                        </w:rPr>
                        <w:tab/>
                        <w:t xml:space="preserve">f </w:t>
                      </w:r>
                      <w:r>
                        <w:rPr>
                          <w:rStyle w:val="CharStyle46"/>
                          <w:i/>
                          <w:iCs/>
                        </w:rPr>
                        <w:t>was accessed by</w:t>
                      </w:r>
                    </w:p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  <w:i/>
                          <w:iCs/>
                        </w:rPr>
                        <w:t>approximately 21IP addresses across eight countries. All but one of the IPs were scanning and did not access the data. Only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32205" distB="417830" distL="0" distR="0" simplePos="0" relativeHeight="125829399" behindDoc="0" locked="0" layoutInCell="1" allowOverlap="1">
                <wp:simplePos x="0" y="0"/>
                <wp:positionH relativeFrom="page">
                  <wp:posOffset>1076325</wp:posOffset>
                </wp:positionH>
                <wp:positionV relativeFrom="paragraph">
                  <wp:posOffset>1132205</wp:posOffset>
                </wp:positionV>
                <wp:extent cx="816610" cy="125095"/>
                <wp:wrapTopAndBottom/>
                <wp:docPr id="27" name="Shape 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16610" cy="1250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  <w:i/>
                                <w:iCs/>
                              </w:rPr>
                              <w:t>one access to the]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position:absolute;margin-left:84.75pt;margin-top:89.150000000000006pt;width:64.299999999999997pt;height:9.8499999999999996pt;z-index:-125829354;mso-wrap-distance-left:0;mso-wrap-distance-top:89.150000000000006pt;mso-wrap-distance-right:0;mso-wrap-distance-bottom:32.899999999999999pt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  <w:i/>
                          <w:iCs/>
                        </w:rPr>
                        <w:t>one access to the]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260475" distB="137160" distL="0" distR="0" simplePos="0" relativeHeight="125829401" behindDoc="0" locked="0" layoutInCell="1" allowOverlap="1">
                <wp:simplePos x="0" y="0"/>
                <wp:positionH relativeFrom="page">
                  <wp:posOffset>1073150</wp:posOffset>
                </wp:positionH>
                <wp:positionV relativeFrom="paragraph">
                  <wp:posOffset>1260475</wp:posOffset>
                </wp:positionV>
                <wp:extent cx="1377950" cy="277495"/>
                <wp:wrapTopAndBottom/>
                <wp:docPr id="29" name="Shape 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77950" cy="2774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45"/>
                              </w:numPr>
                              <w:shd w:val="clear" w:color="auto" w:fill="auto"/>
                              <w:tabs>
                                <w:tab w:pos="163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</w:rPr>
                              <w:t>Data Breach Report, page 5.</w:t>
                            </w:r>
                          </w:p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45"/>
                              </w:numPr>
                              <w:shd w:val="clear" w:color="auto" w:fill="auto"/>
                              <w:tabs>
                                <w:tab w:pos="163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</w:rPr>
                              <w:t>Data Breach Report, page 6.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5" type="#_x0000_t202" style="position:absolute;margin-left:84.5pt;margin-top:99.25pt;width:108.5pt;height:21.850000000000001pt;z-index:-125829352;mso-wrap-distance-left:0;mso-wrap-distance-top:99.25pt;mso-wrap-distance-right:0;mso-wrap-distance-bottom:10.800000000000001pt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numPr>
                          <w:ilvl w:val="0"/>
                          <w:numId w:val="45"/>
                        </w:numPr>
                        <w:shd w:val="clear" w:color="auto" w:fill="auto"/>
                        <w:tabs>
                          <w:tab w:pos="163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</w:rPr>
                        <w:t>Data Breach Report, page 5.</w:t>
                      </w:r>
                    </w:p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numPr>
                          <w:ilvl w:val="0"/>
                          <w:numId w:val="45"/>
                        </w:numPr>
                        <w:shd w:val="clear" w:color="auto" w:fill="auto"/>
                        <w:tabs>
                          <w:tab w:pos="163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</w:rPr>
                        <w:t>Data Breach Report, page 6.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32205" distB="405765" distL="0" distR="0" simplePos="0" relativeHeight="125829403" behindDoc="0" locked="0" layoutInCell="1" allowOverlap="1">
                <wp:simplePos x="0" y="0"/>
                <wp:positionH relativeFrom="page">
                  <wp:posOffset>2359660</wp:posOffset>
                </wp:positionH>
                <wp:positionV relativeFrom="paragraph">
                  <wp:posOffset>1132205</wp:posOffset>
                </wp:positionV>
                <wp:extent cx="2328545" cy="137160"/>
                <wp:wrapTopAndBottom/>
                <wp:docPr id="31" name="Shape 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328545" cy="137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  <w:i/>
                                <w:iCs/>
                              </w:rPr>
                              <w:t>on the server could be identified in the logs”,</w:t>
                            </w:r>
                            <w:r>
                              <w:rPr>
                                <w:rStyle w:val="CharStyle46"/>
                              </w:rPr>
                              <w:t xml:space="preserve"> page 5.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7" type="#_x0000_t202" style="position:absolute;margin-left:185.80000000000001pt;margin-top:89.150000000000006pt;width:183.34999999999999pt;height:10.800000000000001pt;z-index:-125829350;mso-wrap-distance-left:0;mso-wrap-distance-top:89.150000000000006pt;mso-wrap-distance-right:0;mso-wrap-distance-bottom:31.949999999999999pt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  <w:i/>
                          <w:iCs/>
                        </w:rPr>
                        <w:t>on the server could be identified in the logs”,</w:t>
                      </w:r>
                      <w:r>
                        <w:rPr>
                          <w:rStyle w:val="CharStyle46"/>
                        </w:rPr>
                        <w:t xml:space="preserve"> page 5.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37970" distB="0" distL="0" distR="0" simplePos="0" relativeHeight="125829405" behindDoc="0" locked="0" layoutInCell="1" allowOverlap="1">
                <wp:simplePos x="0" y="0"/>
                <wp:positionH relativeFrom="page">
                  <wp:posOffset>1176655</wp:posOffset>
                </wp:positionH>
                <wp:positionV relativeFrom="paragraph">
                  <wp:posOffset>1537970</wp:posOffset>
                </wp:positionV>
                <wp:extent cx="1249680" cy="137160"/>
                <wp:wrapTopAndBottom/>
                <wp:docPr id="33" name="Shape 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49680" cy="137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6"/>
                              </w:rPr>
                              <w:t>IT Security Report, page 10.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9" type="#_x0000_t202" style="position:absolute;margin-left:92.650000000000006pt;margin-top:121.10000000000001pt;width:98.400000000000006pt;height:10.800000000000001pt;z-index:-125829348;mso-wrap-distance-left:0;mso-wrap-distance-top:121.10000000000001pt;mso-wrap-distance-right:0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6"/>
                        </w:rPr>
                        <w:t>IT Security Report, page 10.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br w:type="page"/>
      </w:r>
    </w:p>
    <w:p>
      <w:pPr>
        <w:pStyle w:val="Style12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730" w:val="left"/>
        </w:tabs>
        <w:bidi w:val="0"/>
        <w:spacing w:before="0" w:after="0" w:line="288" w:lineRule="auto"/>
        <w:ind w:left="1720" w:right="0" w:hanging="320"/>
        <w:jc w:val="both"/>
      </w:pPr>
      <w:r>
        <w:rPr>
          <w:rStyle w:val="CharStyle13"/>
          <w:i/>
          <w:iCs/>
          <w:color w:val="232824"/>
        </w:rPr>
        <w:t>All change on production systems should be carried out by appropriately</w:t>
        <w:br/>
        <w:t>Qualified/experienced persons.</w:t>
      </w:r>
    </w:p>
    <w:p>
      <w:pPr>
        <w:pStyle w:val="Style12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730" w:val="left"/>
        </w:tabs>
        <w:bidi w:val="0"/>
        <w:spacing w:before="0" w:after="0" w:line="288" w:lineRule="auto"/>
        <w:ind w:left="1720" w:right="0" w:hanging="320"/>
        <w:jc w:val="both"/>
      </w:pPr>
      <w:r>
        <w:rPr>
          <w:rStyle w:val="CharStyle13"/>
          <w:i/>
          <w:iCs/>
          <w:color w:val="232824"/>
        </w:rPr>
        <w:t>A penetration test of the Fastway perimeter should be carried out to ensure there</w:t>
        <w:br/>
        <w:t>are no other similar issues.</w:t>
      </w:r>
    </w:p>
    <w:p>
      <w:pPr>
        <w:pStyle w:val="Style12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730" w:val="left"/>
        </w:tabs>
        <w:bidi w:val="0"/>
        <w:spacing w:before="0" w:line="288" w:lineRule="auto"/>
        <w:ind w:left="1720" w:right="0" w:hanging="320"/>
        <w:jc w:val="both"/>
      </w:pPr>
      <w:r>
        <w:rPr>
          <w:rStyle w:val="CharStyle13"/>
          <w:i/>
          <w:iCs/>
          <w:color w:val="232824"/>
        </w:rPr>
        <w:t>There should be a separation of duties so that persons involved in development are</w:t>
        <w:br/>
        <w:t>not involved in day-to-day operations or system administration activities."</w:t>
      </w:r>
      <w:r>
        <w:rPr>
          <w:rStyle w:val="CharStyle13"/>
          <w:i/>
          <w:iCs/>
          <w:color w:val="232824"/>
          <w:vertAlign w:val="superscript"/>
        </w:rPr>
        <w:footnoteReference w:id="79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line="288" w:lineRule="auto"/>
        <w:ind w:left="960" w:right="0" w:hanging="740"/>
        <w:jc w:val="both"/>
      </w:pPr>
      <w:r>
        <w:rPr>
          <w:rStyle w:val="CharStyle13"/>
          <w:color w:val="232824"/>
        </w:rPr>
        <w:t>6.29 On 26 February 2021, IT Service Provider A brought all access and permissions of the server</w:t>
        <w:br/>
        <w:t>under surveillance,</w:t>
      </w:r>
      <w:r>
        <w:rPr>
          <w:rStyle w:val="CharStyle13"/>
          <w:color w:val="232824"/>
          <w:vertAlign w:val="superscript"/>
        </w:rPr>
        <w:footnoteReference w:id="80"/>
      </w:r>
      <w:r>
        <w:rPr>
          <w:rStyle w:val="CharStyle13"/>
          <w:color w:val="232824"/>
        </w:rPr>
        <w:t xml:space="preserve"> and ended the vulnerability at approximately 9am.</w:t>
      </w:r>
      <w:r>
        <w:rPr>
          <w:rStyle w:val="CharStyle13"/>
          <w:color w:val="232824"/>
          <w:vertAlign w:val="superscript"/>
        </w:rPr>
        <w:footnoteReference w:id="81"/>
      </w:r>
      <w:r>
        <w:rPr>
          <w:rStyle w:val="CharStyle13"/>
          <w:color w:val="232824"/>
        </w:rPr>
        <w:t xml:space="preserve"> In particular,</w:t>
        <w:br/>
        <w:t>Fastway reported the following steps taken by IT Service Provider A immediately after the</w:t>
        <w:br/>
        <w:t>personal data breach:</w:t>
      </w:r>
    </w:p>
    <w:p>
      <w:pPr>
        <w:pStyle w:val="Style12"/>
        <w:keepNext w:val="0"/>
        <w:keepLines w:val="0"/>
        <w:widowControl w:val="0"/>
        <w:shd w:val="clear" w:color="auto" w:fill="auto"/>
        <w:tabs>
          <w:tab w:pos="3960" w:val="left"/>
        </w:tabs>
        <w:bidi w:val="0"/>
        <w:spacing w:before="0" w:after="0" w:line="288" w:lineRule="auto"/>
        <w:ind w:left="1440" w:right="0" w:firstLine="0"/>
        <w:jc w:val="both"/>
      </w:pPr>
      <w:r>
        <w:rPr>
          <w:rStyle w:val="CharStyle13"/>
          <w:i/>
          <w:iCs/>
          <w:color w:val="232824"/>
        </w:rPr>
        <w:t>"a. Blocked the</w:t>
        <w:tab/>
        <w:t>that was vulnerable. Also, user authentication enabled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1440" w:right="0" w:hanging="40"/>
        <w:jc w:val="both"/>
      </w:pPr>
      <w:r>
        <w:rPr>
          <w:rStyle w:val="CharStyle13"/>
          <w:i/>
          <w:iCs/>
          <w:color w:val="232824"/>
        </w:rPr>
        <w:t>for^/m service listeningj/^^^^^^^^^^^^ that was comprised will no longer</w:t>
        <w:br/>
        <w:t>will be available until the user has permission to the same.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3056" w:val="left"/>
        </w:tabs>
        <w:bidi w:val="0"/>
        <w:spacing w:before="0" w:after="0" w:line="288" w:lineRule="auto"/>
        <w:ind w:left="1440" w:right="0" w:hanging="40"/>
        <w:jc w:val="both"/>
      </w:pPr>
      <w:r>
        <w:rPr>
          <w:rStyle w:val="CharStyle13"/>
          <w:i/>
          <w:iCs/>
          <w:color w:val="232824"/>
        </w:rPr>
        <w:t>restricted based on Authentication and FTP allowed for particular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1360" w:right="0" w:firstLine="0"/>
        <w:jc w:val="both"/>
      </w:pPr>
      <w:r>
        <w:rPr>
          <w:rStyle w:val="CharStyle13"/>
          <w:i/>
          <w:iCs/>
          <w:color w:val="232824"/>
        </w:rPr>
        <w:t>security group.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671" w:val="left"/>
        </w:tabs>
        <w:bidi w:val="0"/>
        <w:spacing w:before="0" w:after="0" w:line="288" w:lineRule="auto"/>
        <w:ind w:left="1360" w:right="0" w:firstLine="0"/>
        <w:jc w:val="left"/>
      </w:pPr>
      <w:r>
        <w:rPr>
          <w:rStyle w:val="CharStyle13"/>
          <w:i/>
          <w:iCs/>
          <w:color w:val="232824"/>
        </w:rPr>
        <w:t>Security Patch Applied for user restrictions in the^^^^ server.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765" w:val="left"/>
        </w:tabs>
        <w:bidi w:val="0"/>
        <w:spacing w:before="0" w:after="0" w:line="288" w:lineRule="auto"/>
        <w:ind w:left="1440" w:right="0" w:firstLine="0"/>
        <w:jc w:val="both"/>
      </w:pPr>
      <w:r>
        <w:rPr>
          <w:rStyle w:val="CharStyle13"/>
          <w:i/>
          <w:iCs/>
          <w:color w:val="232824"/>
        </w:rPr>
        <w:t>Surveyed the damage, Filtered the traffic, Isolated the system under compromise.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760" w:val="left"/>
        </w:tabs>
        <w:bidi w:val="0"/>
        <w:spacing w:before="0" w:after="0" w:line="288" w:lineRule="auto"/>
        <w:ind w:left="1440" w:right="0" w:firstLine="0"/>
        <w:jc w:val="both"/>
      </w:pPr>
      <w:r>
        <w:rPr>
          <w:rStyle w:val="CharStyle13"/>
          <w:i/>
          <w:iCs/>
          <w:color w:val="232824"/>
        </w:rPr>
        <w:t>All access credentials and permissions brought under surveillance for various roles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1440" w:right="0" w:firstLine="0"/>
        <w:jc w:val="both"/>
      </w:pPr>
      <w:r>
        <w:rPr>
          <w:rStyle w:val="CharStyle13"/>
          <w:i/>
          <w:iCs/>
          <w:color w:val="232824"/>
        </w:rPr>
        <w:t>and users in the network.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671" w:val="left"/>
        </w:tabs>
        <w:bidi w:val="0"/>
        <w:spacing w:before="0" w:after="0" w:line="288" w:lineRule="auto"/>
        <w:ind w:left="1360" w:right="0" w:firstLine="0"/>
        <w:jc w:val="left"/>
      </w:pPr>
      <w:r>
        <w:rPr>
          <w:rStyle w:val="CharStyle13"/>
          <w:i/>
          <w:iCs/>
          <w:color w:val="232824"/>
        </w:rPr>
        <w:t>Configure^^^ to allow^^^^^^ range and deny everything else.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690" w:val="left"/>
        </w:tabs>
        <w:bidi w:val="0"/>
        <w:spacing w:before="0" w:after="0" w:line="288" w:lineRule="auto"/>
        <w:ind w:left="1360" w:right="0" w:firstLine="0"/>
        <w:jc w:val="both"/>
      </w:pPr>
      <w:r>
        <w:rPr>
          <w:rStyle w:val="CharStyle13"/>
          <w:i/>
          <w:iCs/>
          <w:color w:val="232824"/>
        </w:rPr>
        <w:t>Installed Network Vulnerability monitoring tools.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690" w:val="left"/>
        </w:tabs>
        <w:bidi w:val="0"/>
        <w:spacing w:before="0" w:after="0" w:line="288" w:lineRule="auto"/>
        <w:ind w:left="1360" w:right="0" w:firstLine="0"/>
        <w:jc w:val="left"/>
      </w:pPr>
      <w:r>
        <w:rPr>
          <w:rStyle w:val="CharStyle13"/>
          <w:i/>
          <w:iCs/>
          <w:color w:val="232824"/>
        </w:rPr>
        <w:t>Installed new^f instance and configured.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623" w:val="left"/>
        </w:tabs>
        <w:bidi w:val="0"/>
        <w:spacing w:before="0" w:after="0" w:line="288" w:lineRule="auto"/>
        <w:ind w:left="1360" w:right="0" w:firstLine="0"/>
        <w:jc w:val="both"/>
      </w:pPr>
      <w:r>
        <w:rPr>
          <w:rStyle w:val="CharStyle13"/>
          <w:i/>
          <w:iCs/>
          <w:color w:val="232824"/>
        </w:rPr>
        <w:t>Server authorisation restrictions implemented.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661" w:val="left"/>
        </w:tabs>
        <w:bidi w:val="0"/>
        <w:spacing w:before="0" w:after="0" w:line="288" w:lineRule="auto"/>
        <w:ind w:left="1360" w:right="0" w:firstLine="40"/>
        <w:jc w:val="both"/>
      </w:pPr>
      <w:r>
        <w:rPr>
          <w:rStyle w:val="CharStyle13"/>
          <w:i/>
          <w:iCs/>
          <w:color w:val="232824"/>
        </w:rPr>
        <w:t>Improving the existing Infosec policy and planning for introducing new processes to</w:t>
        <w:br/>
        <w:t>make the infrastructure is fool proof from any breach.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675" w:val="left"/>
        </w:tabs>
        <w:bidi w:val="0"/>
        <w:spacing w:before="0" w:after="0" w:line="288" w:lineRule="auto"/>
        <w:ind w:left="1360" w:right="0" w:firstLine="0"/>
        <w:jc w:val="both"/>
      </w:pPr>
      <w:r>
        <w:rPr>
          <w:rStyle w:val="CharStyle13"/>
          <w:i/>
          <w:iCs/>
          <w:color w:val="232824"/>
        </w:rPr>
        <w:t>Installed Vulnerability scanning tools with alert notifications.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667" w:val="left"/>
          <w:tab w:pos="3334" w:val="left"/>
        </w:tabs>
        <w:bidi w:val="0"/>
        <w:spacing w:before="0" w:after="0" w:line="288" w:lineRule="auto"/>
        <w:ind w:left="1800" w:right="0" w:hanging="400"/>
        <w:jc w:val="both"/>
      </w:pPr>
      <w:r>
        <w:rPr>
          <w:rStyle w:val="CharStyle13"/>
          <w:i/>
          <w:iCs/>
          <w:color w:val="232824"/>
        </w:rPr>
        <w:t>All Servers - log Monitoring enabled, configured for audit, and pushed to^^^^^)</w:t>
        <w:br/>
        <w:t>|</w:t>
        <w:tab/>
        <w:t>wherever applicable.</w:t>
      </w:r>
    </w:p>
    <w:p>
      <w:pPr>
        <w:pStyle w:val="Style12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743" w:val="left"/>
        </w:tabs>
        <w:bidi w:val="0"/>
        <w:spacing w:before="0" w:line="288" w:lineRule="auto"/>
        <w:ind w:left="1360" w:right="0" w:firstLine="40"/>
        <w:jc w:val="both"/>
      </w:pPr>
      <w:r>
        <w:rPr>
          <w:rStyle w:val="CharStyle13"/>
          <w:i/>
          <w:iCs/>
          <w:color w:val="232824"/>
        </w:rPr>
        <w:t>Data in^ at rest encrypted. Data in transit</w:t>
      </w:r>
      <w:r>
        <w:rPr>
          <w:rStyle w:val="CharStyle13"/>
          <w:color w:val="232824"/>
        </w:rPr>
        <w:t xml:space="preserve"> U5&gt;rg^^^^| </w:t>
      </w:r>
      <w:r>
        <w:rPr>
          <w:rStyle w:val="CharStyle13"/>
          <w:i/>
          <w:iCs/>
          <w:color w:val="232824"/>
        </w:rPr>
        <w:t>access restricted</w:t>
        <w:br/>
        <w:t>using tool and configured read only for other</w:t>
      </w:r>
      <w:r>
        <w:rPr>
          <w:rStyle w:val="CharStyle13"/>
          <w:color w:val="232824"/>
        </w:rPr>
        <w:t xml:space="preserve"> ^^|o/so </w:t>
      </w:r>
      <w:r>
        <w:rPr>
          <w:rStyle w:val="CharStyle13"/>
          <w:i/>
          <w:iCs/>
          <w:color w:val="232824"/>
        </w:rPr>
        <w:t>provided with</w:t>
        <w:br/>
        <w:t>additional protection hiding sensitive data pursuant to Article 4(1) like Name, Mobile</w:t>
        <w:br/>
        <w:t>Number, email Address, Country and Address.”</w:t>
      </w:r>
      <w:r>
        <w:rPr>
          <w:rStyle w:val="CharStyle13"/>
          <w:i/>
          <w:iCs/>
          <w:color w:val="232824"/>
          <w:vertAlign w:val="superscript"/>
        </w:rPr>
        <w:footnoteReference w:id="82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/>
        <w:ind w:left="960" w:right="0" w:hanging="740"/>
        <w:jc w:val="both"/>
      </w:pPr>
      <w:r>
        <w:rPr>
          <w:rStyle w:val="CharStyle13"/>
          <w:color w:val="232824"/>
        </w:rPr>
        <w:t>6.30 Fastway was informed by IT Service Provider A about the personal data breach on 2 March</w:t>
        <w:br/>
        <w:t>2021</w:t>
      </w:r>
      <w:r>
        <w:rPr>
          <w:rStyle w:val="CharStyle13"/>
          <w:color w:val="232824"/>
          <w:vertAlign w:val="superscript"/>
        </w:rPr>
        <w:footnoteReference w:id="83"/>
      </w:r>
      <w:r>
        <w:rPr>
          <w:rStyle w:val="CharStyle13"/>
          <w:color w:val="232824"/>
        </w:rPr>
        <w:t xml:space="preserve"> and trigged the Incident Management Plan on the same day.</w:t>
      </w:r>
      <w:r>
        <w:rPr>
          <w:rStyle w:val="CharStyle13"/>
          <w:color w:val="232824"/>
          <w:vertAlign w:val="superscript"/>
        </w:rPr>
        <w:footnoteReference w:id="84"/>
      </w:r>
      <w:r>
        <w:rPr>
          <w:rStyle w:val="CharStyle13"/>
          <w:color w:val="232824"/>
        </w:rPr>
        <w:t xml:space="preserve"> Consequently, it</w:t>
        <w:br/>
        <w:t>notified the personal data breach to the DPC on 4 March 2021, identifying the initial</w:t>
      </w:r>
      <w:r>
        <w:br w:type="page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line="288" w:lineRule="auto"/>
        <w:ind w:left="1020" w:right="0" w:firstLine="20"/>
        <w:jc w:val="both"/>
      </w:pPr>
      <w:r>
        <w:rPr>
          <w:rStyle w:val="CharStyle13"/>
          <w:color w:val="232824"/>
        </w:rPr>
        <w:t>measures taken or proposed to be taken in response to the personal data breach.</w:t>
      </w:r>
      <w:r>
        <w:rPr>
          <w:rStyle w:val="CharStyle13"/>
          <w:color w:val="232824"/>
          <w:vertAlign w:val="superscript"/>
        </w:rPr>
        <w:footnoteReference w:id="85"/>
      </w:r>
      <w:r>
        <w:rPr>
          <w:rStyle w:val="CharStyle13"/>
          <w:color w:val="232824"/>
        </w:rPr>
        <w:t xml:space="preserve"> It</w:t>
        <w:br/>
        <w:t>appears that a new configuration of its system was completed on 8 March 2021 to replace</w:t>
        <w:br/>
        <w:t>the compromised one.</w:t>
      </w:r>
      <w:r>
        <w:rPr>
          <w:rStyle w:val="CharStyle13"/>
          <w:color w:val="232824"/>
          <w:vertAlign w:val="superscript"/>
        </w:rPr>
        <w:footnoteReference w:id="86"/>
      </w:r>
      <w:r>
        <w:rPr>
          <w:rStyle w:val="CharStyle13"/>
          <w:color w:val="232824"/>
        </w:rPr>
        <w:t xml:space="preserve"> In particular, Fastway indicated the following actions to prevent</w:t>
        <w:br/>
        <w:t>the a repetition of the personal data breach: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"a. Configure^^^ to</w:t>
      </w:r>
      <w:r>
        <w:rPr>
          <w:rStyle w:val="CharStyle13"/>
          <w:color w:val="232824"/>
        </w:rPr>
        <w:t xml:space="preserve"> altow^^^f </w:t>
      </w:r>
      <w:r>
        <w:rPr>
          <w:rStyle w:val="CharStyle13"/>
          <w:i/>
          <w:iCs/>
          <w:color w:val="232824"/>
        </w:rPr>
        <w:t>range and deny everything else.</w:t>
      </w:r>
    </w:p>
    <w:p>
      <w:pPr>
        <w:pStyle w:val="Style12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750" w:val="left"/>
        </w:tabs>
        <w:bidi w:val="0"/>
        <w:spacing w:before="0" w:after="0" w:line="240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Installed Network Vulnerability monitoring tools.</w:t>
      </w:r>
    </w:p>
    <w:p>
      <w:pPr>
        <w:pStyle w:val="Style12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730" w:val="left"/>
        </w:tabs>
        <w:bidi w:val="0"/>
        <w:spacing w:before="0" w:after="0" w:line="240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Installed new^^ instance and configured.</w:t>
      </w:r>
    </w:p>
    <w:p>
      <w:pPr>
        <w:pStyle w:val="Style12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754" w:val="left"/>
        </w:tabs>
        <w:bidi w:val="0"/>
        <w:spacing w:before="0" w:after="0" w:line="240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Server authorisation restrictions implemented.</w:t>
      </w:r>
    </w:p>
    <w:p>
      <w:pPr>
        <w:pStyle w:val="Style12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750" w:val="left"/>
        </w:tabs>
        <w:bidi w:val="0"/>
        <w:spacing w:before="0" w:after="0" w:line="240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Improving the existing Infosec policy and planning for introducing new processes to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make the infrastructure is fool proof from any breach.</w:t>
      </w:r>
    </w:p>
    <w:p>
      <w:pPr>
        <w:pStyle w:val="Style12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740" w:val="left"/>
        </w:tabs>
        <w:bidi w:val="0"/>
        <w:spacing w:before="0" w:after="0" w:line="288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Installed Vulnerability scanning tools with alert notifications.</w:t>
      </w:r>
    </w:p>
    <w:p>
      <w:pPr>
        <w:pStyle w:val="Style12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754" w:val="left"/>
        </w:tabs>
        <w:bidi w:val="0"/>
        <w:spacing w:before="0" w:after="0" w:line="288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All Servers - log Monitoring enabled, configured for audit, and pushed</w:t>
      </w:r>
    </w:p>
    <w:p>
      <w:pPr>
        <w:pStyle w:val="Style12"/>
        <w:keepNext w:val="0"/>
        <w:keepLines w:val="0"/>
        <w:widowControl w:val="0"/>
        <w:shd w:val="clear" w:color="auto" w:fill="auto"/>
        <w:tabs>
          <w:tab w:pos="3346" w:val="left"/>
        </w:tabs>
        <w:bidi w:val="0"/>
        <w:spacing w:before="0" w:after="0" w:line="288" w:lineRule="auto"/>
        <w:ind w:left="1820" w:right="0" w:firstLine="0"/>
        <w:jc w:val="left"/>
      </w:pPr>
      <w:r>
        <w:rPr>
          <w:rStyle w:val="CharStyle13"/>
          <w:i/>
          <w:iCs/>
          <w:color w:val="232824"/>
        </w:rPr>
        <w:t>|</w:t>
        <w:tab/>
        <w:t>wherever applicable.</w:t>
      </w:r>
    </w:p>
    <w:p>
      <w:pPr>
        <w:pStyle w:val="Style12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745" w:val="left"/>
          <w:tab w:pos="7218" w:val="left"/>
        </w:tabs>
        <w:bidi w:val="0"/>
        <w:spacing w:before="0" w:after="0" w:line="288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Data</w:t>
      </w:r>
      <w:r>
        <w:rPr>
          <w:rStyle w:val="CharStyle13"/>
          <w:color w:val="232824"/>
        </w:rPr>
        <w:t xml:space="preserve"> /r^ </w:t>
      </w:r>
      <w:r>
        <w:rPr>
          <w:rStyle w:val="CharStyle13"/>
          <w:i/>
          <w:iCs/>
          <w:color w:val="232824"/>
        </w:rPr>
        <w:t>ar rest encrypted. Data in transit</w:t>
        <w:tab/>
        <w:t>access restricted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1420" w:right="0" w:firstLine="20"/>
        <w:jc w:val="both"/>
      </w:pPr>
      <w:r>
        <w:rPr>
          <w:rStyle w:val="CharStyle13"/>
          <w:i/>
          <w:iCs/>
          <w:color w:val="232824"/>
        </w:rPr>
        <w:t>using</w:t>
      </w:r>
      <w:r>
        <w:rPr>
          <w:rStyle w:val="CharStyle13"/>
          <w:color w:val="232824"/>
          <w:sz w:val="40"/>
          <w:szCs w:val="40"/>
        </w:rPr>
        <w:t xml:space="preserve"> m </w:t>
      </w:r>
      <w:r>
        <w:rPr>
          <w:rStyle w:val="CharStyle13"/>
          <w:i/>
          <w:iCs/>
          <w:color w:val="232824"/>
        </w:rPr>
        <w:t>tool and configured read only for other also provided with</w:t>
        <w:br/>
        <w:t>additional protection hiding personal data pursuant to Article 4(1) like Name, Mobile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1420" w:right="0" w:firstLine="0"/>
        <w:jc w:val="left"/>
      </w:pPr>
      <w:r>
        <w:rPr>
          <w:rStyle w:val="CharStyle13"/>
          <w:i/>
          <w:iCs/>
          <w:color w:val="232824"/>
        </w:rPr>
        <w:t>Number, email Address, Country and Address.”</w:t>
      </w:r>
      <w:r>
        <w:rPr>
          <w:rStyle w:val="CharStyle13"/>
          <w:i/>
          <w:iCs/>
          <w:color w:val="232824"/>
          <w:vertAlign w:val="superscript"/>
        </w:rPr>
        <w:footnoteReference w:id="87"/>
      </w:r>
    </w:p>
    <w:p>
      <w:pPr>
        <w:pStyle w:val="Style12"/>
        <w:keepNext w:val="0"/>
        <w:keepLines w:val="0"/>
        <w:widowControl w:val="0"/>
        <w:numPr>
          <w:ilvl w:val="1"/>
          <w:numId w:val="55"/>
        </w:numPr>
        <w:shd w:val="clear" w:color="auto" w:fill="auto"/>
        <w:tabs>
          <w:tab w:pos="997" w:val="left"/>
        </w:tabs>
        <w:bidi w:val="0"/>
        <w:spacing w:before="0" w:after="0" w:line="240" w:lineRule="auto"/>
        <w:ind w:left="0" w:right="0" w:firstLine="200"/>
        <w:jc w:val="left"/>
      </w:pPr>
      <w:r>
        <w:rPr>
          <w:rStyle w:val="CharStyle13"/>
          <w:color w:val="232824"/>
        </w:rPr>
        <w:t>Fastway provided a representation of the infrastructure post-breach (figure no. 3):</w:t>
      </w:r>
      <w:r>
        <w:br w:type="page"/>
      </w:r>
    </w:p>
    <w:p>
      <w:pPr>
        <w:widowControl w:val="0"/>
        <w:spacing w:line="1" w:lineRule="exact"/>
      </w:pPr>
      <w:r>
        <w:drawing>
          <wp:anchor distT="0" distB="76200" distL="0" distR="0" simplePos="0" relativeHeight="125829407" behindDoc="0" locked="0" layoutInCell="1" allowOverlap="1">
            <wp:simplePos x="0" y="0"/>
            <wp:positionH relativeFrom="page">
              <wp:posOffset>1021080</wp:posOffset>
            </wp:positionH>
            <wp:positionV relativeFrom="paragraph">
              <wp:posOffset>0</wp:posOffset>
            </wp:positionV>
            <wp:extent cx="5227320" cy="4517390"/>
            <wp:wrapTopAndBottom/>
            <wp:docPr id="35" name="Shap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box 36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ext cx="5227320" cy="4517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2"/>
        <w:keepNext w:val="0"/>
        <w:keepLines w:val="0"/>
        <w:widowControl w:val="0"/>
        <w:numPr>
          <w:ilvl w:val="1"/>
          <w:numId w:val="55"/>
        </w:numPr>
        <w:shd w:val="clear" w:color="auto" w:fill="auto"/>
        <w:tabs>
          <w:tab w:pos="1017" w:val="left"/>
        </w:tabs>
        <w:bidi w:val="0"/>
        <w:spacing w:before="0" w:after="300"/>
        <w:ind w:left="980" w:right="0" w:hanging="760"/>
        <w:jc w:val="both"/>
      </w:pPr>
      <w:r>
        <w:rPr>
          <w:rStyle w:val="CharStyle13"/>
          <w:color w:val="232824"/>
        </w:rPr>
        <w:t>However, in its Submissions on the Commencement Letter, it appears that Fastway</w:t>
        <w:br/>
        <w:t>indicated that some measures were ordinarily in place to systematically ensure that</w:t>
        <w:br/>
        <w:t>systems and servers were configured correctly and, that intrusion detection tools were in</w:t>
        <w:br/>
        <w:t>the IT Infrastructure: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" w:line="283" w:lineRule="auto"/>
        <w:ind w:left="1380" w:right="0" w:firstLine="20"/>
        <w:jc w:val="both"/>
      </w:pPr>
      <w:r>
        <mc:AlternateContent>
          <mc:Choice Requires="wps">
            <w:drawing>
              <wp:anchor distT="0" distB="0" distL="114300" distR="114300" simplePos="0" relativeHeight="125829408" behindDoc="0" locked="0" layoutInCell="1" allowOverlap="1">
                <wp:simplePos x="0" y="0"/>
                <wp:positionH relativeFrom="page">
                  <wp:posOffset>1993265</wp:posOffset>
                </wp:positionH>
                <wp:positionV relativeFrom="paragraph">
                  <wp:posOffset>381000</wp:posOffset>
                </wp:positionV>
                <wp:extent cx="923290" cy="167640"/>
                <wp:wrapSquare wrapText="right"/>
                <wp:docPr id="37" name="Shape 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23290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  <w:color w:val="232824"/>
                              </w:rPr>
                              <w:t>detection (using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3" type="#_x0000_t202" style="position:absolute;margin-left:156.95000000000002pt;margin-top:30.pt;width:72.700000000000003pt;height:13.200000000000001pt;z-index:-12582934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i/>
                          <w:iCs/>
                          <w:color w:val="232824"/>
                        </w:rPr>
                        <w:t>detection (using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13"/>
          <w:i/>
          <w:iCs/>
          <w:color w:val="232824"/>
        </w:rPr>
        <w:t>"Solutions used to remotely secure, monitor, manage, and support Fastway endpoints</w:t>
        <w:br/>
        <w:t>to mitigate risks of data breach incidents, proactive network monitoring, Intrusion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600"/>
        <w:jc w:val="left"/>
      </w:pPr>
      <w:r>
        <w:rPr>
          <w:rStyle w:val="CharStyle13"/>
          <w:i/>
          <w:iCs/>
          <w:color w:val="232824"/>
        </w:rPr>
        <w:t>\) and efficient service delivery include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1380" w:right="0" w:firstLine="20"/>
        <w:jc w:val="both"/>
      </w:pPr>
      <w:r>
        <w:rPr>
          <w:rStyle w:val="CharStyle13"/>
          <w:i/>
          <w:iCs/>
          <w:color w:val="232824"/>
        </w:rPr>
        <w:t>We avail use of a checklist configuration settings to guarantee that servers are</w:t>
        <w:br/>
        <w:t>sufficiently hardened against external attacks. This includes but not limited to;</w:t>
      </w:r>
    </w:p>
    <w:p>
      <w:pPr>
        <w:pStyle w:val="Style1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2496" w:val="left"/>
        </w:tabs>
        <w:bidi w:val="0"/>
        <w:spacing w:before="0" w:after="40" w:line="240" w:lineRule="auto"/>
        <w:ind w:left="2080" w:right="0" w:firstLine="0"/>
        <w:jc w:val="left"/>
      </w:pPr>
      <w:r>
        <w:rPr>
          <w:rStyle w:val="CharStyle13"/>
          <w:i/>
          <w:iCs/>
          <w:color w:val="232824"/>
        </w:rPr>
        <w:t>User configuration</w:t>
      </w:r>
    </w:p>
    <w:p>
      <w:pPr>
        <w:pStyle w:val="Style1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2491" w:val="left"/>
        </w:tabs>
        <w:bidi w:val="0"/>
        <w:spacing w:before="0" w:after="40" w:line="240" w:lineRule="auto"/>
        <w:ind w:left="2080" w:right="0" w:firstLine="0"/>
        <w:jc w:val="left"/>
      </w:pPr>
      <w:r>
        <w:rPr>
          <w:rStyle w:val="CharStyle13"/>
          <w:i/>
          <w:iCs/>
          <w:color w:val="232824"/>
        </w:rPr>
        <w:t>Network configuration</w:t>
      </w:r>
    </w:p>
    <w:p>
      <w:pPr>
        <w:pStyle w:val="Style1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2472" w:val="left"/>
        </w:tabs>
        <w:bidi w:val="0"/>
        <w:spacing w:before="0" w:after="40" w:line="240" w:lineRule="auto"/>
        <w:ind w:left="2080" w:right="0" w:firstLine="0"/>
        <w:jc w:val="left"/>
      </w:pPr>
      <w:r>
        <w:rPr>
          <w:rStyle w:val="CharStyle13"/>
          <w:i/>
          <w:iCs/>
          <w:color w:val="232824"/>
        </w:rPr>
        <w:t>Features and roles configuration (file server, web server)</w:t>
      </w:r>
    </w:p>
    <w:p>
      <w:pPr>
        <w:pStyle w:val="Style1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2491" w:val="left"/>
        </w:tabs>
        <w:bidi w:val="0"/>
        <w:spacing w:before="0" w:after="40" w:line="240" w:lineRule="auto"/>
        <w:ind w:left="2080" w:right="0" w:firstLine="0"/>
        <w:jc w:val="left"/>
      </w:pPr>
      <w:r>
        <w:rPr>
          <w:rStyle w:val="CharStyle13"/>
          <w:i/>
          <w:iCs/>
          <w:color w:val="232824"/>
        </w:rPr>
        <w:t>Update installation</w:t>
      </w:r>
    </w:p>
    <w:p>
      <w:pPr>
        <w:pStyle w:val="Style1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2482" w:val="left"/>
        </w:tabs>
        <w:bidi w:val="0"/>
        <w:spacing w:before="0" w:after="40" w:line="240" w:lineRule="auto"/>
        <w:ind w:left="2080" w:right="0" w:firstLine="0"/>
        <w:jc w:val="left"/>
      </w:pPr>
      <w:r>
        <w:rPr>
          <w:rStyle w:val="CharStyle13"/>
          <w:i/>
          <w:iCs/>
          <w:color w:val="232824"/>
        </w:rPr>
        <w:t>NTP configuration</w:t>
      </w:r>
    </w:p>
    <w:p>
      <w:pPr>
        <w:pStyle w:val="Style1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2453" w:val="left"/>
        </w:tabs>
        <w:bidi w:val="0"/>
        <w:spacing w:before="0" w:after="580" w:line="240" w:lineRule="auto"/>
        <w:ind w:left="2080" w:right="0" w:firstLine="0"/>
        <w:jc w:val="both"/>
      </w:pPr>
      <w:r>
        <w:rPr>
          <w:rStyle w:val="CharStyle13"/>
          <w:i/>
          <w:iCs/>
          <w:color w:val="232824"/>
        </w:rPr>
        <w:t>Firewall configuration</w:t>
      </w:r>
    </w:p>
    <w:p>
      <w:pPr>
        <w:pStyle w:val="Style4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sectPr>
          <w:footnotePr>
            <w:pos w:val="pageBottom"/>
            <w:numFmt w:val="decimal"/>
            <w:numStart w:val="17"/>
            <w:numRestart w:val="continuous"/>
            <w15:footnoteColumns w:val="1"/>
          </w:footnotePr>
          <w:type w:val="continuous"/>
          <w:pgSz w:w="12240" w:h="18720"/>
          <w:pgMar w:top="2737" w:right="1812" w:bottom="2421" w:left="1716" w:header="2309" w:footer="3" w:gutter="0"/>
          <w:cols w:space="720"/>
          <w:noEndnote/>
          <w:rtlGutter w:val="0"/>
          <w:docGrid w:linePitch="360"/>
        </w:sectPr>
      </w:pPr>
      <w:r>
        <w:rPr>
          <w:rStyle w:val="CharStyle46"/>
          <w:vertAlign w:val="superscript"/>
        </w:rPr>
        <w:t>103</w:t>
      </w:r>
      <w:r>
        <w:rPr>
          <w:rStyle w:val="CharStyle46"/>
        </w:rPr>
        <w:t xml:space="preserve"> Fastway response to queries, dated 18 March 2021, page 15.</w:t>
      </w:r>
    </w:p>
    <w:p>
      <w:pPr>
        <w:pStyle w:val="Style1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2496" w:val="left"/>
        </w:tabs>
        <w:bidi w:val="0"/>
        <w:spacing w:before="0" w:after="40" w:line="240" w:lineRule="auto"/>
        <w:ind w:left="2140" w:right="0" w:firstLine="0"/>
        <w:jc w:val="both"/>
      </w:pPr>
      <w:r>
        <w:rPr>
          <w:rStyle w:val="CharStyle13"/>
          <w:i/>
          <w:iCs/>
        </w:rPr>
        <w:t>Remove access configuration</w:t>
      </w:r>
    </w:p>
    <w:p>
      <w:pPr>
        <w:pStyle w:val="Style1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2491" w:val="left"/>
        </w:tabs>
        <w:bidi w:val="0"/>
        <w:spacing w:before="0" w:after="40" w:line="240" w:lineRule="auto"/>
        <w:ind w:left="2140" w:right="0" w:firstLine="0"/>
        <w:jc w:val="both"/>
      </w:pPr>
      <w:r>
        <w:rPr>
          <w:rStyle w:val="CharStyle13"/>
          <w:i/>
          <w:iCs/>
        </w:rPr>
        <w:t>Service configuration</w:t>
      </w:r>
    </w:p>
    <w:p>
      <w:pPr>
        <w:pStyle w:val="Style12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2434" w:val="left"/>
        </w:tabs>
        <w:bidi w:val="0"/>
        <w:spacing w:before="0" w:after="40" w:line="240" w:lineRule="auto"/>
        <w:ind w:left="2140" w:right="0" w:firstLine="0"/>
        <w:jc w:val="both"/>
      </w:pPr>
      <w:r>
        <w:rPr>
          <w:rStyle w:val="CharStyle13"/>
          <w:i/>
          <w:iCs/>
        </w:rPr>
        <w:t>Protect the^ and other applications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2140" w:right="0" w:firstLine="0"/>
        <w:jc w:val="both"/>
      </w:pPr>
      <w:r>
        <w:rPr>
          <w:rStyle w:val="CharStyle13"/>
          <w:i/>
          <w:iCs/>
        </w:rPr>
        <w:t>(J) Logging and monitoring."</w:t>
      </w:r>
      <w:r>
        <w:rPr>
          <w:rStyle w:val="CharStyle13"/>
          <w:i/>
          <w:iCs/>
          <w:vertAlign w:val="superscript"/>
        </w:rPr>
        <w:footnoteReference w:id="88"/>
      </w:r>
    </w:p>
    <w:p>
      <w:pPr>
        <w:pStyle w:val="Style12"/>
        <w:keepNext w:val="0"/>
        <w:keepLines w:val="0"/>
        <w:widowControl w:val="0"/>
        <w:numPr>
          <w:ilvl w:val="1"/>
          <w:numId w:val="59"/>
        </w:numPr>
        <w:shd w:val="clear" w:color="auto" w:fill="auto"/>
        <w:tabs>
          <w:tab w:pos="1042" w:val="left"/>
        </w:tabs>
        <w:bidi w:val="0"/>
        <w:spacing w:before="0" w:after="320" w:line="288" w:lineRule="auto"/>
        <w:ind w:left="980" w:right="0" w:hanging="740"/>
        <w:jc w:val="both"/>
      </w:pPr>
      <w:r>
        <w:rPr>
          <w:rStyle w:val="CharStyle13"/>
        </w:rPr>
        <w:t>However, given that the stated cause of the personal data breach was partly due to a</w:t>
        <w:br/>
        <w:t>misconfiguration, it appears that this configuration checklist was not properly</w:t>
        <w:br/>
        <w:t>implemented, followed and/or effective following the instruction given to IT Service</w:t>
        <w:br/>
        <w:t>Provider A to implement an immediate change.</w:t>
      </w:r>
    </w:p>
    <w:p>
      <w:pPr>
        <w:pStyle w:val="Style12"/>
        <w:keepNext w:val="0"/>
        <w:keepLines w:val="0"/>
        <w:widowControl w:val="0"/>
        <w:numPr>
          <w:ilvl w:val="1"/>
          <w:numId w:val="59"/>
        </w:numPr>
        <w:shd w:val="clear" w:color="auto" w:fill="auto"/>
        <w:tabs>
          <w:tab w:pos="1042" w:val="left"/>
        </w:tabs>
        <w:bidi w:val="0"/>
        <w:spacing w:before="0" w:after="320" w:line="283" w:lineRule="auto"/>
        <w:ind w:left="980" w:right="0" w:hanging="740"/>
        <w:jc w:val="both"/>
      </w:pPr>
      <w:r>
        <w:rPr>
          <w:rStyle w:val="CharStyle13"/>
        </w:rPr>
        <w:t>Fastway further specified additional steps it will take to ensure compliance with its</w:t>
        <w:br/>
        <w:t>obligation to implement appropriate security measures on an ongoing basis, including</w:t>
        <w:br/>
        <w:t>technical measures such as: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322" w:lineRule="auto"/>
        <w:ind w:left="1440" w:right="1000" w:firstLine="0"/>
        <w:jc w:val="both"/>
      </w:pPr>
      <w:r>
        <w:rPr>
          <w:rStyle w:val="CharStyle13"/>
          <w:i/>
          <w:iCs/>
        </w:rPr>
        <w:t>"Undertake a full tech stack review of all environments on a regular basis</w:t>
        <w:br/>
        <w:t>[</w:t>
      </w:r>
      <w:r>
        <w:rPr>
          <w:rStyle w:val="CharStyle13"/>
          <w:rFonts w:ascii="Arial" w:eastAsia="Arial" w:hAnsi="Arial" w:cs="Arial"/>
          <w:i/>
          <w:iCs/>
          <w:sz w:val="18"/>
          <w:szCs w:val="18"/>
        </w:rPr>
        <w:t>■■■</w:t>
      </w:r>
      <w:r>
        <w:rPr>
          <w:rStyle w:val="CharStyle13"/>
          <w:i/>
          <w:iCs/>
        </w:rPr>
        <w:t>I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1440" w:right="0" w:firstLine="0"/>
        <w:jc w:val="both"/>
      </w:pPr>
      <w:r>
        <w:rPr>
          <w:rStyle w:val="CharStyle13"/>
          <w:i/>
          <w:iCs/>
        </w:rPr>
        <w:t>Review of the deployment process for software release"</w:t>
      </w:r>
      <w:r>
        <w:rPr>
          <w:rStyle w:val="CharStyle13"/>
          <w:i/>
          <w:iCs/>
          <w:vertAlign w:val="superscript"/>
        </w:rPr>
        <w:footnoteReference w:id="89"/>
      </w:r>
      <w:r>
        <w:rPr>
          <w:rStyle w:val="CharStyle13"/>
          <w:i/>
          <w:iCs/>
        </w:rPr>
        <w:t>.</w:t>
      </w:r>
    </w:p>
    <w:p>
      <w:pPr>
        <w:pStyle w:val="Style12"/>
        <w:keepNext w:val="0"/>
        <w:keepLines w:val="0"/>
        <w:widowControl w:val="0"/>
        <w:numPr>
          <w:ilvl w:val="1"/>
          <w:numId w:val="59"/>
        </w:numPr>
        <w:shd w:val="clear" w:color="auto" w:fill="auto"/>
        <w:tabs>
          <w:tab w:pos="1042" w:val="left"/>
        </w:tabs>
        <w:bidi w:val="0"/>
        <w:spacing w:before="0" w:after="320"/>
        <w:ind w:left="980" w:right="0" w:hanging="740"/>
        <w:jc w:val="both"/>
      </w:pPr>
      <w:r>
        <w:rPr>
          <w:rStyle w:val="CharStyle13"/>
        </w:rPr>
        <w:t>At the time of the personal data breach, the personal data stored in the|m|was not</w:t>
        <w:br/>
        <w:t>encrypted and the security controls were not designed having regard to the possibility that</w:t>
        <w:br/>
        <w:t>the affected data could be viewed by an external entity, as confirmed by Fastway, which</w:t>
        <w:br/>
        <w:t xml:space="preserve">stated that the internal reporting system should have been </w:t>
      </w:r>
      <w:r>
        <w:rPr>
          <w:rStyle w:val="CharStyle13"/>
          <w:i/>
          <w:iCs/>
        </w:rPr>
        <w:t>"subject to the same security</w:t>
        <w:br/>
        <w:t>controls as all our existing external facing applications".</w:t>
      </w:r>
      <w:r>
        <w:rPr>
          <w:rStyle w:val="CharStyle13"/>
          <w:i/>
          <w:iCs/>
          <w:vertAlign w:val="superscript"/>
        </w:rPr>
        <w:footnoteReference w:id="90"/>
      </w:r>
      <w:r>
        <w:rPr>
          <w:rStyle w:val="CharStyle13"/>
        </w:rPr>
        <w:t xml:space="preserve"> Due to the change in the</w:t>
        <w:br/>
        <w:t>audience to whom the reporting system was exposed to, the new risks associated with</w:t>
        <w:br/>
        <w:t>such a change ought to have been firstly assessed, as already clarified in above Part 6.i.</w:t>
        <w:br/>
        <w:t>Accordingly, risk-appropriate measures such as encryption and comprehensive access</w:t>
        <w:br/>
        <w:t>control procedures should have been implemented before the personal data breach. In</w:t>
        <w:br/>
        <w:t>that regard, Fastway confirmed that the risk assessment regarding the changes to the</w:t>
        <w:br/>
        <w:t>systems was not performed,</w:t>
      </w:r>
      <w:r>
        <w:rPr>
          <w:rStyle w:val="CharStyle13"/>
          <w:vertAlign w:val="superscript"/>
        </w:rPr>
        <w:footnoteReference w:id="91"/>
      </w:r>
      <w:r>
        <w:rPr>
          <w:rStyle w:val="CharStyle13"/>
        </w:rPr>
        <w:t xml:space="preserve"> and it failed to implement appropriate mitigating</w:t>
        <w:br/>
        <w:t>measures.</w:t>
      </w:r>
      <w:r>
        <w:rPr>
          <w:rStyle w:val="CharStyle13"/>
          <w:vertAlign w:val="superscript"/>
        </w:rPr>
        <w:footnoteReference w:id="92"/>
      </w:r>
      <w:r>
        <w:br w:type="page"/>
      </w:r>
    </w:p>
    <w:p>
      <w:pPr>
        <w:pStyle w:val="Style12"/>
        <w:keepNext w:val="0"/>
        <w:keepLines w:val="0"/>
        <w:widowControl w:val="0"/>
        <w:numPr>
          <w:ilvl w:val="1"/>
          <w:numId w:val="59"/>
        </w:numPr>
        <w:shd w:val="clear" w:color="auto" w:fill="auto"/>
        <w:tabs>
          <w:tab w:pos="1032" w:val="left"/>
        </w:tabs>
        <w:bidi w:val="0"/>
        <w:spacing w:before="0"/>
        <w:ind w:left="980" w:right="0" w:hanging="740"/>
        <w:jc w:val="both"/>
      </w:pPr>
      <w:r>
        <w:rPr>
          <w:rStyle w:val="CharStyle13"/>
        </w:rPr>
        <w:t>The DPC notes that it appears that in its Submissions on the Draft Decision, Fastway agrees</w:t>
        <w:br/>
        <w:t>with the above reconstruction contained in the para 6.33, 6.34 and 6.35 and it further</w:t>
        <w:br/>
        <w:t>underlines the new steps implemented on its system.</w:t>
      </w:r>
      <w:r>
        <w:rPr>
          <w:rStyle w:val="CharStyle13"/>
          <w:vertAlign w:val="superscript"/>
        </w:rPr>
        <w:footnoteReference w:id="93"/>
      </w:r>
    </w:p>
    <w:p>
      <w:pPr>
        <w:pStyle w:val="Style12"/>
        <w:keepNext w:val="0"/>
        <w:keepLines w:val="0"/>
        <w:widowControl w:val="0"/>
        <w:numPr>
          <w:ilvl w:val="1"/>
          <w:numId w:val="59"/>
        </w:numPr>
        <w:shd w:val="clear" w:color="auto" w:fill="auto"/>
        <w:tabs>
          <w:tab w:pos="1032" w:val="left"/>
        </w:tabs>
        <w:bidi w:val="0"/>
        <w:spacing w:before="0" w:after="680" w:line="288" w:lineRule="auto"/>
        <w:ind w:left="980" w:right="0" w:hanging="740"/>
        <w:jc w:val="both"/>
      </w:pPr>
      <w:r>
        <w:rPr>
          <w:rStyle w:val="CharStyle13"/>
        </w:rPr>
        <w:t>Additionally, certain of Fastway's existing measures, such as the configuration checklist</w:t>
        <w:br/>
        <w:t>outlined above either do not appear to have been followed, or do not appear to have been</w:t>
        <w:br/>
        <w:t>effective. Such measures (including encryption and comprehensive access control</w:t>
        <w:br/>
        <w:t>procedures) could have mitigated or avoided the personal data breach. Considering, then,</w:t>
        <w:br/>
        <w:t>the way the system changes were conducted from a technical point of view, there was a</w:t>
        <w:br/>
        <w:t>misconfiguration, which provided unauthorised access to an unknown external entity.</w:t>
      </w:r>
      <w:r>
        <w:rPr>
          <w:rStyle w:val="CharStyle13"/>
          <w:vertAlign w:val="superscript"/>
        </w:rPr>
        <w:footnoteReference w:id="94"/>
      </w:r>
      <w:r>
        <w:rPr>
          <w:rStyle w:val="CharStyle13"/>
          <w:vertAlign w:val="superscript"/>
        </w:rPr>
        <w:br/>
      </w:r>
      <w:r>
        <w:rPr>
          <w:rStyle w:val="CharStyle13"/>
        </w:rPr>
        <w:t>This misconfiguration, however, appears partly linked to a failure to follow internal</w:t>
        <w:br/>
        <w:t>procedures, as further assessed in the next section.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400"/>
        <w:jc w:val="both"/>
      </w:pPr>
      <w:r>
        <w:rPr>
          <w:rStyle w:val="CharStyle13"/>
          <w:i/>
          <w:iCs/>
        </w:rPr>
        <w:t>b) Data Protection Policies and Procedures, and Training</w:t>
      </w:r>
    </w:p>
    <w:p>
      <w:pPr>
        <w:pStyle w:val="Style12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1032" w:val="left"/>
        </w:tabs>
        <w:bidi w:val="0"/>
        <w:spacing w:before="0"/>
        <w:ind w:left="980" w:right="0" w:hanging="740"/>
        <w:jc w:val="both"/>
      </w:pPr>
      <w:r>
        <w:rPr>
          <w:rStyle w:val="CharStyle13"/>
        </w:rPr>
        <w:t>In its submissions during the personal data handling process, Fastway referred to a number</w:t>
        <w:br/>
        <w:t>of Data Protection Policies and Procedures in place at the time of the personal data</w:t>
        <w:br/>
        <w:t>breach</w:t>
      </w:r>
      <w:r>
        <w:rPr>
          <w:rStyle w:val="CharStyle13"/>
          <w:vertAlign w:val="superscript"/>
        </w:rPr>
        <w:footnoteReference w:id="95"/>
      </w:r>
      <w:r>
        <w:rPr>
          <w:rStyle w:val="CharStyle13"/>
        </w:rPr>
        <w:t xml:space="preserve"> related to data security and data protection. In its Submissions following the</w:t>
        <w:br/>
        <w:t>Commencement Letter and the Draft Decision, Fastway provided extensive documentation</w:t>
        <w:br/>
        <w:t>regarding its Data Protection Policies and Procedures, including training. Although all the</w:t>
        <w:br/>
        <w:t>provided materials have been considered and assessed by the DPC, as the material scope</w:t>
        <w:br/>
        <w:t xml:space="preserve">of this Decision concerns the </w:t>
      </w:r>
      <w:r>
        <w:rPr>
          <w:rStyle w:val="CharStyle13"/>
          <w:b/>
          <w:bCs/>
        </w:rPr>
        <w:t>measures in place at the time of the personal data breach,</w:t>
        <w:br/>
      </w:r>
      <w:r>
        <w:rPr>
          <w:rStyle w:val="CharStyle13"/>
        </w:rPr>
        <w:t>this part of the Decision focuses its analysis on the Data Protection Policies and Procedures,</w:t>
        <w:br/>
        <w:t>including training, that were in place at that specific point of time (23 February 2021).</w:t>
      </w:r>
    </w:p>
    <w:p>
      <w:pPr>
        <w:pStyle w:val="Style12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1032" w:val="left"/>
        </w:tabs>
        <w:bidi w:val="0"/>
        <w:spacing w:before="0" w:after="0"/>
        <w:ind w:left="980" w:right="0" w:hanging="740"/>
        <w:jc w:val="both"/>
      </w:pPr>
      <w:r>
        <w:rPr>
          <w:rStyle w:val="CharStyle13"/>
        </w:rPr>
        <w:t>With specific reference to training, Fastway explained it provided various training activities</w:t>
        <w:br/>
        <w:t>on Data Protection to its personnel before the personal data breach (before 23 February</w:t>
        <w:br/>
        <w:t>2021). In particular: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/>
        <w:ind w:left="1760" w:right="0" w:firstLine="0"/>
        <w:jc w:val="both"/>
        <w:sectPr>
          <w:footnotePr>
            <w:pos w:val="pageBottom"/>
            <w:numFmt w:val="decimal"/>
            <w:numStart w:val="18"/>
            <w:numRestart w:val="continuous"/>
            <w15:footnoteColumns w:val="1"/>
          </w:footnotePr>
          <w:pgSz w:w="12240" w:h="18720"/>
          <w:pgMar w:top="2770" w:right="1843" w:bottom="2632" w:left="1689" w:header="2342" w:footer="3" w:gutter="0"/>
          <w:cols w:space="720"/>
          <w:noEndnote/>
          <w:rtlGutter w:val="0"/>
          <w:docGrid w:linePitch="360"/>
        </w:sectPr>
      </w:pPr>
      <w:r>
        <w:rPr>
          <w:rStyle w:val="CharStyle13"/>
        </w:rPr>
        <w:t>in October 2018 GDPR training was completed with select staff by external</w:t>
        <w:br/>
        <w:t>consultant and Fastway further displayed posters at all locations to raise</w:t>
        <w:br/>
        <w:t>awareness. It also provided Courier Drivers with GDPR awareness material.</w:t>
      </w:r>
      <w:r>
        <w:rPr>
          <w:rStyle w:val="CharStyle13"/>
          <w:vertAlign w:val="superscript"/>
        </w:rPr>
        <w:footnoteReference w:id="96"/>
      </w:r>
      <w:r>
        <w:rPr>
          <w:rStyle w:val="CharStyle13"/>
          <w:vertAlign w:val="superscript"/>
        </w:rPr>
        <w:br/>
      </w:r>
      <w:r>
        <w:rPr>
          <w:rStyle w:val="CharStyle13"/>
        </w:rPr>
        <w:t>Furthermore, in its Submissions on the Draft Decision Fastway provided additional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/>
        <w:ind w:left="1820" w:right="0" w:firstLine="0"/>
        <w:jc w:val="both"/>
      </w:pPr>
      <w:r>
        <w:rPr>
          <w:rStyle w:val="CharStyle13"/>
          <w:color w:val="232824"/>
        </w:rPr>
        <w:t>emails on the GDPR campaigns and modifications to its website that it made in</w:t>
        <w:br/>
        <w:t>light of the new regulatory framework;</w:t>
      </w:r>
      <w:r>
        <w:rPr>
          <w:rStyle w:val="CharStyle13"/>
          <w:color w:val="232824"/>
          <w:vertAlign w:val="superscript"/>
        </w:rPr>
        <w:footnoteReference w:id="97"/>
      </w:r>
    </w:p>
    <w:p>
      <w:pPr>
        <w:pStyle w:val="Style12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1836" w:val="left"/>
        </w:tabs>
        <w:bidi w:val="0"/>
        <w:spacing w:before="0" w:after="0"/>
        <w:ind w:left="1820" w:right="0" w:hanging="680"/>
        <w:jc w:val="both"/>
      </w:pPr>
      <w:r>
        <w:rPr>
          <w:rStyle w:val="CharStyle13"/>
          <w:color w:val="232824"/>
        </w:rPr>
        <w:t>in 2019 it engaged with various campaigns (throughout via emails) to promote</w:t>
        <w:br/>
        <w:t>"Phishing awareness" among its staff;</w:t>
      </w:r>
      <w:r>
        <w:rPr>
          <w:rStyle w:val="CharStyle13"/>
          <w:color w:val="232824"/>
          <w:vertAlign w:val="superscript"/>
        </w:rPr>
        <w:footnoteReference w:id="98"/>
      </w:r>
    </w:p>
    <w:p>
      <w:pPr>
        <w:pStyle w:val="Style12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1836" w:val="left"/>
        </w:tabs>
        <w:bidi w:val="0"/>
        <w:spacing w:before="0" w:after="0"/>
        <w:ind w:left="1820" w:right="0" w:hanging="680"/>
        <w:jc w:val="both"/>
      </w:pPr>
      <w:r>
        <w:rPr>
          <w:rStyle w:val="CharStyle13"/>
          <w:color w:val="232824"/>
        </w:rPr>
        <w:t>in 2020, among the various activities, Regional Franchisees and Courier</w:t>
        <w:br/>
        <w:t>Franchisees were provided with an updated and practical GDPR compliance</w:t>
        <w:br/>
        <w:t>manual; standard courier procedures incorporated data protection measures and</w:t>
        <w:br/>
        <w:t>every "Depot champion" was provided with a GDPR audit checklist to ensure</w:t>
        <w:br/>
        <w:t>ongoing compliance;</w:t>
      </w:r>
      <w:r>
        <w:rPr>
          <w:rStyle w:val="CharStyle13"/>
          <w:color w:val="232824"/>
          <w:vertAlign w:val="superscript"/>
        </w:rPr>
        <w:footnoteReference w:id="99"/>
      </w:r>
    </w:p>
    <w:p>
      <w:pPr>
        <w:pStyle w:val="Style12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1836" w:val="left"/>
        </w:tabs>
        <w:bidi w:val="0"/>
        <w:spacing w:before="0" w:after="300"/>
        <w:ind w:left="1820" w:right="0" w:hanging="680"/>
        <w:jc w:val="both"/>
      </w:pPr>
      <w:r>
        <w:rPr>
          <w:rStyle w:val="CharStyle13"/>
          <w:color w:val="232824"/>
        </w:rPr>
        <w:t>in February 2021 Data Protection training was provided to all staff and across all</w:t>
        <w:br/>
        <w:t>Fastway depots.</w:t>
      </w:r>
      <w:r>
        <w:rPr>
          <w:rStyle w:val="CharStyle13"/>
          <w:color w:val="232824"/>
          <w:vertAlign w:val="superscript"/>
        </w:rPr>
        <w:footnoteReference w:id="100"/>
      </w:r>
    </w:p>
    <w:p>
      <w:pPr>
        <w:pStyle w:val="Style12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1002" w:val="left"/>
        </w:tabs>
        <w:bidi w:val="0"/>
        <w:spacing w:before="0" w:after="300" w:line="288" w:lineRule="auto"/>
        <w:ind w:left="980" w:right="0" w:hanging="760"/>
        <w:jc w:val="both"/>
      </w:pPr>
      <w:r>
        <w:rPr>
          <w:rStyle w:val="CharStyle13"/>
          <w:color w:val="232824"/>
        </w:rPr>
        <w:t>Nonetheless, in the personal data breach notification Fastway identified its staff training</w:t>
        <w:br/>
        <w:t>as a deficiency in the organisational measures that resulted in the personal data breach.</w:t>
      </w:r>
      <w:r>
        <w:rPr>
          <w:rStyle w:val="CharStyle13"/>
          <w:color w:val="232824"/>
          <w:vertAlign w:val="superscript"/>
        </w:rPr>
        <w:footnoteReference w:id="101"/>
      </w:r>
      <w:r>
        <w:rPr>
          <w:rStyle w:val="CharStyle13"/>
          <w:color w:val="232824"/>
          <w:vertAlign w:val="superscript"/>
        </w:rPr>
        <w:br/>
      </w:r>
      <w:r>
        <w:rPr>
          <w:rStyle w:val="CharStyle13"/>
          <w:color w:val="232824"/>
        </w:rPr>
        <w:t>In fact, in this regard Fastway appears to propose to provide additional training to its own</w:t>
        <w:br/>
        <w:t>staff in order comply with its obligation to implement appropriate security and</w:t>
        <w:br/>
        <w:t>organisational measures on an ongoing basis.</w:t>
      </w:r>
      <w:r>
        <w:rPr>
          <w:rStyle w:val="CharStyle13"/>
          <w:color w:val="232824"/>
          <w:vertAlign w:val="superscript"/>
        </w:rPr>
        <w:footnoteReference w:id="102"/>
      </w:r>
    </w:p>
    <w:p>
      <w:pPr>
        <w:pStyle w:val="Style12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1002" w:val="left"/>
        </w:tabs>
        <w:bidi w:val="0"/>
        <w:spacing w:before="0" w:after="300" w:line="283" w:lineRule="auto"/>
        <w:ind w:left="980" w:right="0" w:hanging="760"/>
        <w:jc w:val="both"/>
      </w:pPr>
      <w:r>
        <w:rPr>
          <w:rStyle w:val="CharStyle13"/>
          <w:color w:val="232824"/>
        </w:rPr>
        <w:t>Regarding Data Protection Policies and Procedures, Fastway submitted that the Fastway</w:t>
        <w:br/>
        <w:t>Project Process</w:t>
      </w:r>
      <w:r>
        <w:rPr>
          <w:rStyle w:val="CharStyle13"/>
          <w:color w:val="232824"/>
          <w:vertAlign w:val="superscript"/>
        </w:rPr>
        <w:footnoteReference w:id="103"/>
      </w:r>
      <w:r>
        <w:rPr>
          <w:rStyle w:val="CharStyle13"/>
          <w:color w:val="232824"/>
        </w:rPr>
        <w:t xml:space="preserve"> was used to map and realise IT projects. In particular, Fastway clarifies</w:t>
        <w:br/>
        <w:t>that: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20" w:right="0" w:firstLine="0"/>
        <w:jc w:val="both"/>
      </w:pPr>
      <w:r>
        <w:rPr>
          <w:rStyle w:val="CharStyle13"/>
          <w:i/>
          <w:iCs/>
          <w:color w:val="232824"/>
        </w:rPr>
        <w:t>“IT project management is a very controlled function within the Fastway / [IT Service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283" w:lineRule="auto"/>
        <w:ind w:left="1420" w:right="0" w:firstLine="0"/>
        <w:jc w:val="both"/>
      </w:pPr>
      <w:r>
        <w:rPr>
          <w:rStyle w:val="CharStyle13"/>
          <w:i/>
          <w:iCs/>
          <w:color w:val="232824"/>
        </w:rPr>
        <w:t>Provider A] environment, and this is mapped and tracked usin^^^^^^^^^^, and</w:t>
        <w:br/>
        <w:t>more recently,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276" w:lineRule="auto"/>
        <w:ind w:left="1420" w:right="0" w:firstLine="1580"/>
        <w:jc w:val="both"/>
      </w:pPr>
      <w:r>
        <w:rPr>
          <w:rStyle w:val="CharStyle13"/>
          <w:i/>
          <w:iCs/>
          <w:color w:val="232824"/>
        </w:rPr>
        <w:t>Tasks are divided into small steps and processed one after the</w:t>
        <w:br/>
        <w:t>other."</w:t>
      </w:r>
      <w:r>
        <w:rPr>
          <w:rStyle w:val="CharStyle13"/>
          <w:i/>
          <w:iCs/>
          <w:color w:val="232824"/>
          <w:vertAlign w:val="superscript"/>
        </w:rPr>
        <w:footnoteReference w:id="104"/>
      </w:r>
    </w:p>
    <w:p>
      <w:pPr>
        <w:pStyle w:val="Style12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1002" w:val="left"/>
        </w:tabs>
        <w:bidi w:val="0"/>
        <w:spacing w:before="0" w:after="300"/>
        <w:ind w:left="980" w:right="0" w:hanging="760"/>
        <w:jc w:val="both"/>
      </w:pPr>
      <w:r>
        <w:rPr>
          <w:rStyle w:val="CharStyle13"/>
          <w:color w:val="232824"/>
        </w:rPr>
        <w:t>Whilst Fastway provided the DPC with its Fastway Project Process,</w:t>
      </w:r>
      <w:r>
        <w:rPr>
          <w:rStyle w:val="CharStyle13"/>
          <w:color w:val="232824"/>
          <w:vertAlign w:val="superscript"/>
        </w:rPr>
        <w:footnoteReference w:id="105"/>
      </w:r>
      <w:r>
        <w:rPr>
          <w:rStyle w:val="CharStyle13"/>
          <w:color w:val="232824"/>
        </w:rPr>
        <w:t xml:space="preserve"> the DPC notes that</w:t>
        <w:br/>
        <w:t>the document provided is dated April 2021, two months after the personal data breach (23</w:t>
        <w:br/>
        <w:t>February 2021). Therefore, the version submitted by Fastway is not indicative of an</w:t>
      </w:r>
      <w:r>
        <w:br w:type="page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/>
        <w:ind w:left="980" w:right="0" w:firstLine="40"/>
        <w:jc w:val="both"/>
      </w:pPr>
      <w:r>
        <w:rPr>
          <w:rStyle w:val="CharStyle13"/>
          <w:color w:val="232824"/>
        </w:rPr>
        <w:t>appropriate standard of security at the time of the personal data breach. In its Submissions</w:t>
        <w:br/>
        <w:t>on the Draft Decision, Fastway underlined that the previous version was reviewed in</w:t>
        <w:br/>
        <w:t>February 2021, although it has not provided this version to the DPC.</w:t>
      </w:r>
      <w:r>
        <w:rPr>
          <w:rStyle w:val="CharStyle13"/>
          <w:color w:val="232824"/>
          <w:vertAlign w:val="superscript"/>
        </w:rPr>
        <w:footnoteReference w:id="106"/>
      </w:r>
    </w:p>
    <w:p>
      <w:pPr>
        <w:pStyle w:val="Style12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1002" w:val="left"/>
        </w:tabs>
        <w:bidi w:val="0"/>
        <w:spacing w:before="0"/>
        <w:ind w:left="980" w:right="0" w:hanging="760"/>
        <w:jc w:val="both"/>
      </w:pPr>
      <w:r>
        <w:rPr>
          <w:rStyle w:val="CharStyle13"/>
          <w:color w:val="232824"/>
        </w:rPr>
        <w:t>In its Submissions on the Draft Decision, Fastway also submitted the Fastway Change</w:t>
        <w:br/>
        <w:t>Management Policy, version dated 13 September 2019.</w:t>
      </w:r>
      <w:r>
        <w:rPr>
          <w:rStyle w:val="CharStyle13"/>
          <w:color w:val="232824"/>
          <w:vertAlign w:val="superscript"/>
        </w:rPr>
        <w:footnoteReference w:id="107"/>
      </w:r>
      <w:r>
        <w:rPr>
          <w:rStyle w:val="CharStyle13"/>
          <w:color w:val="232824"/>
        </w:rPr>
        <w:t xml:space="preserve"> This procedure appears to be</w:t>
        <w:br/>
        <w:t xml:space="preserve">applicable to projects aimed at modifying aspects that have previously been fixed </w:t>
      </w:r>
      <w:r>
        <w:rPr>
          <w:rStyle w:val="CharStyle13"/>
          <w:i/>
          <w:iCs/>
          <w:color w:val="232824"/>
        </w:rPr>
        <w:t>("Change</w:t>
        <w:br/>
        <w:t>Control is the process of handling proposed alterations to items that have been previously</w:t>
        <w:br/>
        <w:t>designated as fixed"</w:t>
      </w:r>
      <w:r>
        <w:rPr>
          <w:rStyle w:val="CharStyle13"/>
          <w:i/>
          <w:iCs/>
          <w:color w:val="232824"/>
          <w:vertAlign w:val="superscript"/>
        </w:rPr>
        <w:footnoteReference w:id="108"/>
      </w:r>
      <w:r>
        <w:rPr>
          <w:rStyle w:val="CharStyle13"/>
          <w:i/>
          <w:iCs/>
          <w:color w:val="232824"/>
        </w:rPr>
        <w:t>),</w:t>
      </w:r>
      <w:r>
        <w:rPr>
          <w:rStyle w:val="CharStyle13"/>
          <w:color w:val="232824"/>
        </w:rPr>
        <w:t xml:space="preserve"> and it identifies a specific process, which included, for example,</w:t>
        <w:br/>
        <w:t xml:space="preserve">the phase related to </w:t>
      </w:r>
      <w:r>
        <w:rPr>
          <w:rStyle w:val="CharStyle13"/>
          <w:i/>
          <w:iCs/>
          <w:color w:val="232824"/>
        </w:rPr>
        <w:t>"investigate impact - configuration items to be changed, costs,</w:t>
        <w:br/>
        <w:t>timescales, risks"</w:t>
      </w:r>
      <w:r>
        <w:rPr>
          <w:rStyle w:val="CharStyle13"/>
          <w:i/>
          <w:iCs/>
          <w:color w:val="232824"/>
          <w:vertAlign w:val="superscript"/>
        </w:rPr>
        <w:footnoteReference w:id="109"/>
      </w:r>
      <w:r>
        <w:rPr>
          <w:rStyle w:val="CharStyle13"/>
          <w:color w:val="232824"/>
        </w:rPr>
        <w:t xml:space="preserve"> before the </w:t>
      </w:r>
      <w:r>
        <w:rPr>
          <w:rStyle w:val="CharStyle13"/>
          <w:i/>
          <w:iCs/>
          <w:color w:val="232824"/>
        </w:rPr>
        <w:t>"release"</w:t>
      </w:r>
      <w:r>
        <w:rPr>
          <w:rStyle w:val="CharStyle13"/>
          <w:color w:val="232824"/>
        </w:rPr>
        <w:t xml:space="preserve"> of a change itself. Considering that the "Brexit</w:t>
        <w:br/>
        <w:t>project", as detailed above, consisted of a modification of the system, it seems that this</w:t>
        <w:br/>
        <w:t>Change Management Policy and procedure might have been applied to these</w:t>
        <w:br/>
        <w:t>circumstances. Nonetheless, as stated by Fastway and assessed above, Fastway did not</w:t>
        <w:br/>
        <w:t>perform a risk assessment before the decision to implement the "Brexit project".</w:t>
      </w:r>
      <w:r>
        <w:rPr>
          <w:rStyle w:val="CharStyle13"/>
          <w:color w:val="232824"/>
          <w:vertAlign w:val="superscript"/>
        </w:rPr>
        <w:footnoteReference w:id="110"/>
      </w:r>
    </w:p>
    <w:p>
      <w:pPr>
        <w:pStyle w:val="Style12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1002" w:val="left"/>
        </w:tabs>
        <w:bidi w:val="0"/>
        <w:spacing w:before="0"/>
        <w:ind w:left="980" w:right="0" w:hanging="760"/>
        <w:jc w:val="both"/>
      </w:pPr>
      <w:r>
        <w:rPr>
          <w:rStyle w:val="CharStyle13"/>
          <w:color w:val="232824"/>
        </w:rPr>
        <w:t>Fastway also provided its own Data Security Incident Management Procedure</w:t>
      </w:r>
      <w:r>
        <w:rPr>
          <w:rStyle w:val="CharStyle13"/>
          <w:color w:val="232824"/>
          <w:vertAlign w:val="superscript"/>
        </w:rPr>
        <w:footnoteReference w:id="111"/>
      </w:r>
      <w:r>
        <w:rPr>
          <w:rStyle w:val="CharStyle13"/>
          <w:color w:val="232824"/>
        </w:rPr>
        <w:t xml:space="preserve"> to the</w:t>
        <w:br/>
        <w:t>DPC. This procedure was trigged by Fastway on 2 March 2021.</w:t>
      </w:r>
      <w:r>
        <w:rPr>
          <w:rStyle w:val="CharStyle13"/>
          <w:color w:val="232824"/>
          <w:vertAlign w:val="superscript"/>
        </w:rPr>
        <w:footnoteReference w:id="112"/>
      </w:r>
      <w:r>
        <w:rPr>
          <w:rStyle w:val="CharStyle13"/>
          <w:color w:val="232824"/>
        </w:rPr>
        <w:t xml:space="preserve"> Following this procedure,</w:t>
        <w:br/>
        <w:t>Fastway not only identified the personal data breach and started the containment and</w:t>
        <w:br/>
        <w:t>recovery procedures, but also notified the personal data breach to the DPC and prepared</w:t>
        <w:br/>
        <w:t>the Incident Report.</w:t>
      </w:r>
      <w:r>
        <w:rPr>
          <w:rStyle w:val="CharStyle13"/>
          <w:color w:val="232824"/>
          <w:vertAlign w:val="superscript"/>
        </w:rPr>
        <w:footnoteReference w:id="113"/>
      </w:r>
      <w:r>
        <w:rPr>
          <w:rStyle w:val="CharStyle13"/>
          <w:color w:val="232824"/>
        </w:rPr>
        <w:t xml:space="preserve"> This Data Breach Report was then furnished to Fastway's clients and</w:t>
        <w:br/>
        <w:t>the DPC.</w:t>
      </w:r>
      <w:r>
        <w:rPr>
          <w:rStyle w:val="CharStyle13"/>
          <w:color w:val="232824"/>
          <w:vertAlign w:val="superscript"/>
        </w:rPr>
        <w:footnoteReference w:id="114"/>
      </w:r>
    </w:p>
    <w:p>
      <w:pPr>
        <w:pStyle w:val="Style12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1002" w:val="left"/>
        </w:tabs>
        <w:bidi w:val="0"/>
        <w:spacing w:before="0" w:line="288" w:lineRule="auto"/>
        <w:ind w:left="980" w:right="0" w:hanging="760"/>
        <w:jc w:val="both"/>
      </w:pPr>
      <w:r>
        <w:rPr>
          <w:rStyle w:val="CharStyle13"/>
          <w:color w:val="232824"/>
        </w:rPr>
        <w:t>In the Personal Data Breach Notification</w:t>
      </w:r>
      <w:r>
        <w:rPr>
          <w:rStyle w:val="CharStyle13"/>
          <w:color w:val="232824"/>
          <w:vertAlign w:val="superscript"/>
        </w:rPr>
        <w:footnoteReference w:id="115"/>
      </w:r>
      <w:r>
        <w:rPr>
          <w:rStyle w:val="CharStyle13"/>
          <w:color w:val="232824"/>
        </w:rPr>
        <w:t xml:space="preserve"> Fastway identified that, contrary to its own</w:t>
        <w:br/>
        <w:t>existing policies and procedures at the time of the personal data breach, the system</w:t>
        <w:br/>
        <w:t>changes were signed off verbally by a member of the Fastway IT and without the approval</w:t>
        <w:br/>
        <w:t>of the Data &amp; Information Security representative. This was also further confirmed in the</w:t>
        <w:br/>
        <w:t>Fastway Data Breach Report:</w:t>
      </w:r>
    </w:p>
    <w:p>
      <w:pPr>
        <w:pStyle w:val="Style12"/>
        <w:keepNext w:val="0"/>
        <w:keepLines w:val="0"/>
        <w:widowControl w:val="0"/>
        <w:shd w:val="clear" w:color="auto" w:fill="auto"/>
        <w:tabs>
          <w:tab w:pos="7285" w:val="left"/>
        </w:tabs>
        <w:bidi w:val="0"/>
        <w:spacing w:before="0" w:after="40" w:line="283" w:lineRule="auto"/>
        <w:ind w:left="1400" w:right="0" w:firstLine="0"/>
        <w:jc w:val="both"/>
      </w:pPr>
      <w:r>
        <w:rPr>
          <w:rStyle w:val="CharStyle13"/>
          <w:i/>
          <w:iCs/>
          <w:color w:val="232824"/>
        </w:rPr>
        <w:t>"In this case, the approval was provided by</w:t>
        <w:tab/>
        <w:t>verbally to the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line="190" w:lineRule="auto"/>
        <w:ind w:left="1920" w:right="0" w:hanging="500"/>
        <w:jc w:val="both"/>
        <w:sectPr>
          <w:footnotePr>
            <w:pos w:val="pageBottom"/>
            <w:numFmt w:val="decimal"/>
            <w:numStart w:val="18"/>
            <w:numRestart w:val="continuous"/>
            <w15:footnoteColumns w:val="1"/>
          </w:footnotePr>
          <w:pgSz w:w="12240" w:h="18720"/>
          <w:pgMar w:top="2818" w:right="1830" w:bottom="2594" w:left="1684" w:header="2390" w:footer="3" w:gutter="0"/>
          <w:cols w:space="720"/>
          <w:noEndnote/>
          <w:rtlGutter w:val="0"/>
          <w:docGrid w:linePitch="360"/>
        </w:sectPr>
      </w:pPr>
      <w:r>
        <w:rPr>
          <w:rStyle w:val="CharStyle13"/>
          <w:i/>
          <w:iCs/>
          <w:color w:val="232824"/>
        </w:rPr>
        <w:t>developer, following a request which was raised with the IT team by Revenue to setup</w:t>
        <w:br/>
      </w:r>
      <w:r>
        <w:rPr>
          <w:rStyle w:val="CharStyle13"/>
          <w:color w:val="232824"/>
          <w:sz w:val="40"/>
          <w:szCs w:val="40"/>
        </w:rPr>
        <w:t xml:space="preserve">I </w:t>
      </w:r>
      <w:r>
        <w:rPr>
          <w:rStyle w:val="CharStyle13"/>
          <w:i/>
          <w:iCs/>
          <w:color w:val="232824"/>
        </w:rPr>
        <w:t>in order to facilitate Brexit requirements.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</w:rPr>
        <w:t>18 March 2021, page 8.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t>15</w:t>
      </w:r>
      <w:r>
        <w:rPr>
          <w:rStyle w:val="CharStyle3"/>
          <w:color w:val="232824"/>
        </w:rPr>
        <w:t xml:space="preserve"> Update Personal Data Breach Notification, dated 5 March 2021, page 1.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t>16</w:t>
      </w:r>
      <w:r>
        <w:rPr>
          <w:rStyle w:val="CharStyle3"/>
          <w:color w:val="232824"/>
        </w:rPr>
        <w:t xml:space="preserve"> Fastway response to queries, dated 18 March 2021, page 9.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t>17</w:t>
      </w:r>
      <w:r>
        <w:rPr>
          <w:rStyle w:val="CharStyle3"/>
          <w:color w:val="232824"/>
        </w:rPr>
        <w:t xml:space="preserve"> Fastway response to queries, dated 18 March 2021, page 8.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t>18</w:t>
      </w:r>
      <w:r>
        <w:rPr>
          <w:rStyle w:val="CharStyle3"/>
          <w:color w:val="232824"/>
        </w:rPr>
        <w:t xml:space="preserve"> Fastway Submissions on the Commencement Letter and related attachments, dated 8 November 2021, page 1.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t>22</w:t>
      </w:r>
      <w:r>
        <w:rPr>
          <w:rStyle w:val="CharStyle3"/>
          <w:color w:val="232824"/>
        </w:rPr>
        <w:t xml:space="preserve"> D.4. 2021-02-07 Email - Fastway and Devteam - Scoping. In particular, in the email it is reported: </w:t>
      </w:r>
      <w:r>
        <w:rPr>
          <w:rStyle w:val="CharStyle3"/>
          <w:i/>
          <w:iCs/>
          <w:color w:val="232824"/>
        </w:rPr>
        <w:t>"Any questions let me</w:t>
        <w:br/>
        <w:t>know, but this work is super urgent so if needs be and we need to consider a workaround if it was to take longer than expected</w:t>
        <w:br/>
        <w:t>then let me know. I want to get this groomed and estimate provided to Revenue Monday morning. As we can see there are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t>34</w:t>
      </w:r>
      <w:r>
        <w:rPr>
          <w:rStyle w:val="CharStyle3"/>
        </w:rPr>
        <w:t xml:space="preserve"> Fastway Submissions on the Draft Decision, dated 9 May 2022, page 6.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t>68</w:t>
      </w:r>
      <w:r>
        <w:rPr>
          <w:rStyle w:val="CharStyle3"/>
          <w:color w:val="232824"/>
        </w:rPr>
        <w:t xml:space="preserve"> Fastway Submissions on the Draft Decision, dated 9 May 2022, page 7, see also Data Flows Mapping, dated 13 August</w:t>
        <w:br/>
        <w:t>2020; and Personal Data Flow.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874" w:val="left"/>
          <w:tab w:leader="underscore" w:pos="5184" w:val="left"/>
        </w:tabs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t>74</w:t>
      </w:r>
      <w:r>
        <w:rPr>
          <w:rStyle w:val="CharStyle3"/>
          <w:color w:val="232824"/>
        </w:rPr>
        <w:t xml:space="preserve"> Data Breach Report, page 5.</w:t>
        <w:tab/>
        <w:tab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77</w:t>
      </w:r>
      <w:r>
        <w:rPr>
          <w:rStyle w:val="CharStyle3"/>
        </w:rPr>
        <w:t xml:space="preserve"> Data Breach Report, page 7.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78</w:t>
      </w:r>
      <w:r>
        <w:rPr>
          <w:rStyle w:val="CharStyle3"/>
        </w:rPr>
        <w:t xml:space="preserve"> Fastway Submissions on the Draft Decision, dated 9 May 2022, page 2, point no 4.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82</w:t>
      </w:r>
      <w:r>
        <w:rPr>
          <w:rStyle w:val="CharStyle3"/>
        </w:rPr>
        <w:t xml:space="preserve"> Personal Data Breach Notification, dated 4 March 2021, page 2.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84</w:t>
      </w:r>
      <w:r>
        <w:rPr>
          <w:rStyle w:val="CharStyle3"/>
        </w:rPr>
        <w:t xml:space="preserve"> Data Breach Report, page 7.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86</w:t>
      </w:r>
      <w:r>
        <w:rPr>
          <w:rStyle w:val="CharStyle3"/>
        </w:rPr>
        <w:t xml:space="preserve"> Data Breach Report, page 6.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87</w:t>
      </w:r>
      <w:r>
        <w:rPr>
          <w:rStyle w:val="CharStyle3"/>
        </w:rPr>
        <w:t xml:space="preserve"> Fastway Submissions on the Draft Decision, dated 9 May 2022, page 8.</w:t>
      </w:r>
    </w:p>
    <w:sectPr>
      <w:footnotePr>
        <w:pos w:val="pageBottom"/>
        <w:numFmt w:val="decimal"/>
        <w:numStart w:val="18"/>
        <w:numRestart w:val="continuous"/>
        <w15:footnoteColumns w:val="1"/>
      </w:footnotePr>
      <w:type w:val="continuous"/>
      <w:pgSz w:w="12240" w:h="18720"/>
      <w:pgMar w:top="2818" w:right="1830" w:bottom="2594" w:left="1684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3761740</wp:posOffset>
              </wp:positionH>
              <wp:positionV relativeFrom="page">
                <wp:posOffset>10467340</wp:posOffset>
              </wp:positionV>
              <wp:extent cx="118745" cy="9144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874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16"/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6.19999999999999pt;margin-top:824.20000000000005pt;width:9.3499999999999996pt;height:7.2000000000000002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16"/>
                          <w:rFonts w:ascii="Calibri" w:eastAsia="Calibri" w:hAnsi="Calibri" w:cs="Calibri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  <w:footnote w:id="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1.</w:t>
      </w:r>
    </w:p>
  </w:footnote>
  <w:footnote w:id="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Update Personal Data Breach Notification, dated 10 March 2021.</w:t>
      </w:r>
    </w:p>
  </w:footnote>
  <w:footnote w:id="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It appears that A&amp;G Couriers Limited T/A Fastway Couriers (Ireland) is a registered company limited by shares, CRO no.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</w:rPr>
        <w:t>339340.</w:t>
      </w:r>
    </w:p>
  </w:footnote>
  <w:footnote w:id="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“About Us" page at Fastway website </w:t>
      </w:r>
      <w:r>
        <w:fldChar w:fldCharType="begin"/>
      </w:r>
      <w:r>
        <w:rPr/>
        <w:instrText> HYPERLINK "https://f3srway.ie/whv-fastwav/abGUt-us/" </w:instrText>
      </w:r>
      <w:r>
        <w:fldChar w:fldCharType="separate"/>
      </w:r>
      <w:r>
        <w:rPr>
          <w:rStyle w:val="CharStyle3"/>
          <w:color w:val="636AA3"/>
          <w:u w:val="single"/>
        </w:rPr>
        <w:t>https://f3srway.ie/whv-fastwav/abGUt-us/</w:t>
      </w:r>
      <w:r>
        <w:fldChar w:fldCharType="end"/>
      </w:r>
      <w:r>
        <w:rPr>
          <w:rStyle w:val="CharStyle3"/>
          <w:color w:val="636AA3"/>
        </w:rPr>
        <w:t xml:space="preserve"> </w:t>
      </w:r>
      <w:r>
        <w:rPr>
          <w:rStyle w:val="CharStyle3"/>
        </w:rPr>
        <w:t>(last access) 7 March 2022.</w:t>
      </w:r>
    </w:p>
  </w:footnote>
  <w:footnote w:id="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2-3.</w:t>
      </w:r>
    </w:p>
  </w:footnote>
  <w:footnote w:id="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2021.</w:t>
      </w:r>
    </w:p>
  </w:footnote>
  <w:footnote w:id="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In response to the "Nature of breach" in the Personal Data Breach Notification Form Fastway replied "Hacking", cfr. Personal</w:t>
        <w:br/>
        <w:t>Data Breach Notification, dated 4 March 2021, page 2.</w:t>
      </w:r>
    </w:p>
  </w:footnote>
  <w:footnote w:id="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2.</w:t>
      </w:r>
    </w:p>
  </w:footnote>
  <w:footnote w:id="1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Data Breach Report, page 5.</w:t>
      </w:r>
    </w:p>
  </w:footnote>
  <w:footnote w:id="1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Data Breach Report, page 6.</w:t>
      </w:r>
    </w:p>
  </w:footnote>
  <w:footnote w:id="1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3.</w:t>
      </w:r>
    </w:p>
  </w:footnote>
  <w:footnote w:id="1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3; as further specified in Fastway response to queries, dated</w:t>
        <w:br/>
        <w:t>18 March 2021, page 7-8.</w:t>
      </w:r>
    </w:p>
  </w:footnote>
  <w:footnote w:id="1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clarified that </w:t>
      </w:r>
      <w:r>
        <w:rPr>
          <w:rStyle w:val="CharStyle3"/>
          <w:i/>
          <w:iCs/>
        </w:rPr>
        <w:t>“the term 'client'is used to describe the businesses who use Fastway's services as a "last mile"parcel</w:t>
        <w:br/>
        <w:t>delivery service to those businesses' 'customers'. Fastway's clients provide us with certain personal data of customers required</w:t>
        <w:br/>
        <w:t>to make deliveries to those customers.”,</w:t>
      </w:r>
      <w:r>
        <w:rPr>
          <w:rStyle w:val="CharStyle3"/>
        </w:rPr>
        <w:t xml:space="preserve"> cfr., in Fastway response to queries, dated 18 March 2021, page 8.</w:t>
      </w:r>
    </w:p>
  </w:footnote>
  <w:footnote w:id="1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clarified </w:t>
      </w:r>
      <w:r>
        <w:rPr>
          <w:rStyle w:val="CharStyle3"/>
          <w:i/>
          <w:iCs/>
        </w:rPr>
        <w:t>"In other words, the customer data provided by clients differs depending on the client. For example, some</w:t>
      </w:r>
    </w:p>
  </w:footnote>
  <w:footnote w:id="1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i/>
          <w:iCs/>
        </w:rPr>
        <w:t>clients do not provide Fastway with customers' telephone numbers or email addresses. Therefore, the categories of data at</w:t>
      </w:r>
    </w:p>
  </w:footnote>
  <w:footnote w:id="1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i/>
          <w:iCs/>
        </w:rPr>
        <w:t>A-E above is the full extent of personal data which was compromised in respect of each data subject and, in relation, to some</w:t>
      </w:r>
    </w:p>
  </w:footnote>
  <w:footnote w:id="1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i/>
          <w:iCs/>
          <w:color w:val="232824"/>
        </w:rPr>
        <w:t>data subjects, it would not have been all categories from A-E but a lesser subset",</w:t>
      </w:r>
      <w:r>
        <w:rPr>
          <w:rStyle w:val="CharStyle3"/>
          <w:color w:val="232824"/>
        </w:rPr>
        <w:t xml:space="preserve"> cfr., in Fastway response to queries, dated</w:t>
      </w:r>
    </w:p>
  </w:footnote>
  <w:footnote w:id="1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Additional Submission on the Draft Decision, dated 25 May 2022, page 1.</w:t>
      </w:r>
    </w:p>
  </w:footnote>
  <w:footnote w:id="2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Submissions on the Commencement Letter and related attachments, dated 8 November 2021, page 8. In its</w:t>
        <w:br/>
        <w:t xml:space="preserve">Submissions on the Draft Decision, dated 9 May 2022, Fastway clarified that: </w:t>
      </w:r>
      <w:r>
        <w:rPr>
          <w:rStyle w:val="CharStyle3"/>
          <w:i/>
          <w:iCs/>
          <w:color w:val="232824"/>
        </w:rPr>
        <w:t>"the “Brexit project" was an ongoing matter</w:t>
        <w:br/>
        <w:t>lasting over a year, and that the revenue reporting access was only one of the project deliverables. When the data incident</w:t>
        <w:br/>
        <w:t>was reported to your offices, and in subsequent correspondence, an attempt was made to isolate this particular deliverable</w:t>
        <w:br/>
        <w:t>(Ie the "Brexit Project"), which may have resulted in some confusion.”</w:t>
      </w:r>
      <w:r>
        <w:rPr>
          <w:rStyle w:val="CharStyle3"/>
          <w:color w:val="232824"/>
        </w:rPr>
        <w:t xml:space="preserve"> in Fastway Submissions on the Draft Decision, dated 9</w:t>
        <w:br/>
        <w:t>May 2022, page 2.</w:t>
      </w:r>
    </w:p>
  </w:footnote>
  <w:footnote w:id="2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D.l. 2021-01-19 Email - Between Fastway and Devteam.</w:t>
      </w:r>
    </w:p>
  </w:footnote>
  <w:footnote w:id="2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i/>
          <w:iCs/>
        </w:rPr>
        <w:t>changes not Just with reporting but also SPE. I have added [IT Service Provider A] as they might get a chance to look at this</w:t>
        <w:br/>
        <w:t>early and then you can take your discussion."</w:t>
      </w:r>
    </w:p>
  </w:footnote>
  <w:footnote w:id="2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1.</w:t>
      </w:r>
    </w:p>
  </w:footnote>
  <w:footnote w:id="2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2. This is also confirmed by the external information security</w:t>
        <w:br/>
        <w:t>consultancy firm, consulted by Fastway, cfr. IT Security Report, page 9.</w:t>
      </w:r>
    </w:p>
  </w:footnote>
  <w:footnote w:id="2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2.</w:t>
      </w:r>
    </w:p>
  </w:footnote>
  <w:footnote w:id="26">
    <w:p>
      <w:pPr>
        <w:pStyle w:val="Style2"/>
        <w:keepNext w:val="0"/>
        <w:keepLines w:val="0"/>
        <w:widowControl w:val="0"/>
        <w:shd w:val="clear" w:color="auto" w:fill="auto"/>
        <w:tabs>
          <w:tab w:pos="1690" w:val="right"/>
          <w:tab w:pos="2198" w:val="left"/>
          <w:tab w:pos="4152" w:val="right"/>
          <w:tab w:pos="4286" w:val="right"/>
        </w:tabs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</w:t>
        <w:tab/>
        <w:t>to queries,</w:t>
        <w:tab/>
        <w:t>dated 18</w:t>
        <w:tab/>
        <w:t>March 2021, page</w:t>
        <w:tab/>
        <w:t>1.</w:t>
      </w:r>
    </w:p>
  </w:footnote>
  <w:footnote w:id="27">
    <w:p>
      <w:pPr>
        <w:pStyle w:val="Style2"/>
        <w:keepNext w:val="0"/>
        <w:keepLines w:val="0"/>
        <w:widowControl w:val="0"/>
        <w:shd w:val="clear" w:color="auto" w:fill="auto"/>
        <w:tabs>
          <w:tab w:pos="1694" w:val="right"/>
          <w:tab w:pos="2203" w:val="left"/>
          <w:tab w:pos="4157" w:val="right"/>
          <w:tab w:pos="4291" w:val="right"/>
        </w:tabs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</w:t>
        <w:tab/>
        <w:t>to queries,</w:t>
        <w:tab/>
        <w:t>dated 18</w:t>
        <w:tab/>
        <w:t>March 2021, page</w:t>
        <w:tab/>
        <w:t>1.</w:t>
      </w:r>
    </w:p>
  </w:footnote>
  <w:footnote w:id="28">
    <w:p>
      <w:pPr>
        <w:pStyle w:val="Style2"/>
        <w:keepNext w:val="0"/>
        <w:keepLines w:val="0"/>
        <w:widowControl w:val="0"/>
        <w:shd w:val="clear" w:color="auto" w:fill="auto"/>
        <w:tabs>
          <w:tab w:pos="1694" w:val="right"/>
          <w:tab w:pos="2203" w:val="left"/>
          <w:tab w:pos="4157" w:val="right"/>
          <w:tab w:pos="4286" w:val="right"/>
        </w:tabs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</w:t>
        <w:tab/>
        <w:t>to queries,</w:t>
        <w:tab/>
        <w:t>dated 18</w:t>
        <w:tab/>
        <w:t>March 2021, page</w:t>
        <w:tab/>
        <w:t>1.</w:t>
      </w:r>
    </w:p>
  </w:footnote>
  <w:footnote w:id="29">
    <w:p>
      <w:pPr>
        <w:pStyle w:val="Style2"/>
        <w:keepNext w:val="0"/>
        <w:keepLines w:val="0"/>
        <w:widowControl w:val="0"/>
        <w:shd w:val="clear" w:color="auto" w:fill="auto"/>
        <w:tabs>
          <w:tab w:pos="1742" w:val="left"/>
          <w:tab w:pos="2208" w:val="left"/>
        </w:tabs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Data Breach Report,</w:t>
        <w:tab/>
        <w:t>page 5.</w:t>
        <w:tab/>
        <w:t>This is also confirmed by the external information security consultancy firm, consulted by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</w:rPr>
        <w:t>Fastway, cfr. IT Security Report, page 10.</w:t>
      </w:r>
    </w:p>
  </w:footnote>
  <w:footnote w:id="3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IT Security Report, page 9-10.</w:t>
      </w:r>
    </w:p>
  </w:footnote>
  <w:footnote w:id="31">
    <w:p>
      <w:pPr>
        <w:pStyle w:val="Style2"/>
        <w:keepNext w:val="0"/>
        <w:keepLines w:val="0"/>
        <w:widowControl w:val="0"/>
        <w:shd w:val="clear" w:color="auto" w:fill="auto"/>
        <w:tabs>
          <w:tab w:pos="3739" w:val="left"/>
        </w:tabs>
        <w:bidi w:val="0"/>
        <w:spacing w:before="0" w:after="0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1 and 14. This is also confirmed by the external information</w:t>
        <w:br/>
        <w:t>security consultancy fi</w:t>
      </w:r>
      <w:r>
        <w:rPr>
          <w:rStyle w:val="CharStyle3"/>
          <w:u w:val="single"/>
        </w:rPr>
        <w:t>rm, consulted by Fastway, cfr.</w:t>
      </w:r>
      <w:r>
        <w:rPr>
          <w:rStyle w:val="CharStyle3"/>
        </w:rPr>
        <w:t xml:space="preserve"> IT Security Report, in particular: </w:t>
      </w:r>
      <w:r>
        <w:rPr>
          <w:rStyle w:val="CharStyle3"/>
          <w:i/>
          <w:iCs/>
        </w:rPr>
        <w:t>"The analysis of the provided log files</w:t>
        <w:br/>
        <w:t>showed that IP</w:t>
        <w:tab/>
        <w:t>was exposed from the 9am on the morning of the 23rd of February and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  <w:i/>
          <w:iCs/>
        </w:rPr>
        <w:t>6am on the morning of the 26th of February. During this time, the IP addres^^^^^^^^^^^^^^^^ was accessed by</w:t>
        <w:br/>
        <w:t xml:space="preserve">approximately 21 </w:t>
      </w:r>
      <w:r>
        <w:rPr>
          <w:rStyle w:val="CharStyle3"/>
          <w:i/>
          <w:iCs/>
          <w:u w:val="single"/>
        </w:rPr>
        <w:t>IP address</w:t>
      </w:r>
      <w:r>
        <w:rPr>
          <w:rStyle w:val="CharStyle3"/>
          <w:i/>
          <w:iCs/>
        </w:rPr>
        <w:t>es across eight countries. All but one of the IPs were scanning and did not access the data. Only</w:t>
        <w:br/>
        <w:t>one access to the^^^^^ on the server could be identified in the logs",</w:t>
      </w:r>
      <w:r>
        <w:rPr>
          <w:rStyle w:val="CharStyle3"/>
        </w:rPr>
        <w:t xml:space="preserve"> page 5.</w:t>
      </w:r>
    </w:p>
  </w:footnote>
  <w:footnote w:id="3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Data Breach Report, page 5.</w:t>
      </w:r>
    </w:p>
  </w:footnote>
  <w:footnote w:id="3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4.</w:t>
      </w:r>
    </w:p>
  </w:footnote>
  <w:footnote w:id="3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2.</w:t>
      </w:r>
    </w:p>
  </w:footnote>
  <w:footnote w:id="3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2-3.</w:t>
      </w:r>
    </w:p>
  </w:footnote>
  <w:footnote w:id="3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Update Personal Data Breach Notification, dated 5 March 2021.</w:t>
      </w:r>
    </w:p>
  </w:footnote>
  <w:footnote w:id="3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Update Personal Data Breach Notification, dated 10 March 2021.</w:t>
      </w:r>
    </w:p>
  </w:footnote>
  <w:footnote w:id="3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7.</w:t>
      </w:r>
    </w:p>
  </w:footnote>
  <w:footnote w:id="3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8-9.</w:t>
      </w:r>
    </w:p>
  </w:footnote>
  <w:footnote w:id="4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Data Breach Report.</w:t>
      </w:r>
    </w:p>
  </w:footnote>
  <w:footnote w:id="4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6.</w:t>
      </w:r>
    </w:p>
  </w:footnote>
  <w:footnote w:id="4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9.</w:t>
      </w:r>
    </w:p>
  </w:footnote>
  <w:footnote w:id="4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DPC queries, dated 5 March 2021.</w:t>
      </w:r>
    </w:p>
  </w:footnote>
  <w:footnote w:id="4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2021.</w:t>
      </w:r>
    </w:p>
  </w:footnote>
  <w:footnote w:id="4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Data Security Incident Management Procedure; Data Breach Report; Client notification; Client update; Customer</w:t>
        <w:br/>
        <w:t>notification; Emails with hacker.</w:t>
      </w:r>
    </w:p>
  </w:footnote>
  <w:footnote w:id="4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DPC request for client list, dated 12 March 2021.</w:t>
      </w:r>
    </w:p>
  </w:footnote>
  <w:footnote w:id="4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DPC letter to Fastway, dated 19 March 2021.</w:t>
      </w:r>
    </w:p>
  </w:footnote>
  <w:footnote w:id="4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Letter from legal representatives on behalf of Fastway, dated 31 March 2021.</w:t>
      </w:r>
    </w:p>
  </w:footnote>
  <w:footnote w:id="4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DPC Request for the external IT Security Report, dated 23 March 2021.</w:t>
      </w:r>
    </w:p>
  </w:footnote>
  <w:footnote w:id="5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DPC Request for Record of Processing Activities, dated 30 March 2021.</w:t>
      </w:r>
    </w:p>
  </w:footnote>
  <w:footnote w:id="5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response, dated 2 April 2021 and Fastway Record of Processing Activities.</w:t>
      </w:r>
    </w:p>
  </w:footnote>
  <w:footnote w:id="5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DPC Further request for the external IT Security Report, dated 6 April 2021.</w:t>
      </w:r>
    </w:p>
  </w:footnote>
  <w:footnote w:id="5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IT Security Report, provided on 6 April 2021.</w:t>
      </w:r>
    </w:p>
  </w:footnote>
  <w:footnote w:id="5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DPC further queries, dated 6 May 2021.</w:t>
      </w:r>
    </w:p>
  </w:footnote>
  <w:footnote w:id="5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further queries, dated 17 May 2021 and Fastway Audit questionnaire template.</w:t>
      </w:r>
    </w:p>
  </w:footnote>
  <w:footnote w:id="5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DPC further queries of clarification, dated 25 May 2021.</w:t>
      </w:r>
    </w:p>
  </w:footnote>
  <w:footnote w:id="5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further queries of clarification, dated 27 May 2021.</w:t>
      </w:r>
    </w:p>
  </w:footnote>
  <w:footnote w:id="5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DPC Inquiry Commencement Letter, dated 18 October 2021.</w:t>
      </w:r>
    </w:p>
  </w:footnote>
  <w:footnote w:id="5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Submissions on the Commencement Letter and related attachments, dated 8 November 2021.</w:t>
      </w:r>
    </w:p>
  </w:footnote>
  <w:footnote w:id="6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Joined Cases C-293/12 and C-594/12, </w:t>
      </w:r>
      <w:r>
        <w:rPr>
          <w:rStyle w:val="CharStyle3"/>
          <w:i/>
          <w:iCs/>
          <w:color w:val="232824"/>
        </w:rPr>
        <w:t>Digital Rights Ireland Ltd</w:t>
      </w:r>
      <w:r>
        <w:rPr>
          <w:rStyle w:val="CharStyle3"/>
          <w:color w:val="232824"/>
        </w:rPr>
        <w:t xml:space="preserve"> v </w:t>
      </w:r>
      <w:r>
        <w:rPr>
          <w:rStyle w:val="CharStyle3"/>
          <w:i/>
          <w:iCs/>
          <w:color w:val="232824"/>
        </w:rPr>
        <w:t>Minister for Communications, Marine and Natural</w:t>
        <w:br/>
        <w:t>Resources, Minister for Justice, Equality and Law Reform, Commissioner of the Garda Siochdna, Ireland, The Attorney General,</w:t>
        <w:br/>
        <w:t>intervener: Irish Human Rights Commission, and Kdrntner Landesregierung, Michael Seitlinger, Christof Tschohl and others,</w:t>
        <w:br/>
      </w:r>
      <w:r>
        <w:rPr>
          <w:rStyle w:val="CharStyle3"/>
          <w:color w:val="232824"/>
        </w:rPr>
        <w:t>judgment of 8 April 2014 (ECLI:EU:C:2014:238).</w:t>
      </w:r>
    </w:p>
  </w:footnote>
  <w:footnote w:id="6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Directive 2006/24/EC of the European Parliament and of the Council of 15 March 2006 on the retention of data generated</w:t>
        <w:br/>
        <w:t>or processed in connection with the provision of publicly available electronic communications services or of public</w:t>
        <w:br/>
        <w:t>communications networks and amending Directive 2002/58/EC.</w:t>
      </w:r>
    </w:p>
  </w:footnote>
  <w:footnote w:id="6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Joined Cases C-293/12 and C-594/12, </w:t>
      </w:r>
      <w:r>
        <w:rPr>
          <w:rStyle w:val="CharStyle3"/>
          <w:i/>
          <w:iCs/>
          <w:color w:val="232824"/>
        </w:rPr>
        <w:t>Digital Rights Ireland Ltd, op. cit,</w:t>
      </w:r>
      <w:r>
        <w:rPr>
          <w:rStyle w:val="CharStyle3"/>
          <w:color w:val="232824"/>
        </w:rPr>
        <w:t xml:space="preserve"> para 66.</w:t>
      </w:r>
    </w:p>
  </w:footnote>
  <w:footnote w:id="6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2-3.</w:t>
      </w:r>
    </w:p>
  </w:footnote>
  <w:footnote w:id="6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clarified </w:t>
      </w:r>
      <w:r>
        <w:rPr>
          <w:rStyle w:val="CharStyle3"/>
          <w:i/>
          <w:iCs/>
        </w:rPr>
        <w:t>"In other words, the customer data provided by clients differs depending on the client. For example, some</w:t>
        <w:br/>
        <w:t>clients do not provide Fastway with customers' telephone numbers or email addresses. Therefore, the categories of data at</w:t>
        <w:br/>
        <w:t>A-E above is the full extent of personal data which was compromised in respect of each data subject and, in relation, to some</w:t>
        <w:br/>
        <w:t>data subjects, it would not have been all categories from A-E but a lesser subset",</w:t>
      </w:r>
      <w:r>
        <w:rPr>
          <w:rStyle w:val="CharStyle3"/>
        </w:rPr>
        <w:t xml:space="preserve"> cfr., in Fastway response to queries, dated</w:t>
        <w:br/>
        <w:t>18 March 2021, page 8.</w:t>
      </w:r>
    </w:p>
  </w:footnote>
  <w:footnote w:id="6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Additional Submission on the Draft Decision, dated 25 May 2022, page 1.</w:t>
      </w:r>
    </w:p>
  </w:footnote>
  <w:footnote w:id="6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In Fastway's Record of Processing there are identified six purposes, however one purpose (Delivery performance reporting)</w:t>
        <w:br/>
        <w:t>is reported twice with reference to two different categories of personal data: on one instance this purpose refers to the</w:t>
        <w:br/>
        <w:t>categories of personal data of name, address, label number, email address, telephone number of "client customers"; on a</w:t>
        <w:br/>
        <w:t>second instance this purpose is related to the name of couriers; cfr. Fastway Record of Processing Activities.</w:t>
      </w:r>
    </w:p>
  </w:footnote>
  <w:footnote w:id="6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In the personal data breach notification, to the query on </w:t>
      </w:r>
      <w:r>
        <w:rPr>
          <w:rStyle w:val="CharStyle3"/>
          <w:i/>
          <w:iCs/>
          <w:color w:val="232824"/>
        </w:rPr>
        <w:t>“What deficiencies in these organisational or technical measures</w:t>
        <w:br/>
        <w:t>have been identified as a result of this breach"</w:t>
      </w:r>
      <w:r>
        <w:rPr>
          <w:rStyle w:val="CharStyle3"/>
          <w:color w:val="232824"/>
        </w:rPr>
        <w:t xml:space="preserve"> Fastway reported: </w:t>
      </w:r>
      <w:r>
        <w:rPr>
          <w:rStyle w:val="CharStyle3"/>
          <w:i/>
          <w:iCs/>
          <w:color w:val="232824"/>
        </w:rPr>
        <w:t>“Security review by security lead and approval. Risk</w:t>
        <w:br/>
        <w:t>assessment process as part of security and data protection. Staff training as identified. Security Audits. Vulnerability</w:t>
        <w:br/>
        <w:t>compliance tools",</w:t>
      </w:r>
      <w:r>
        <w:rPr>
          <w:rStyle w:val="CharStyle3"/>
          <w:color w:val="232824"/>
        </w:rPr>
        <w:t xml:space="preserve"> cfr. Personal Data Breach Notification, dated 4 March 2021, page 3. The lack of risk assessment prior to</w:t>
        <w:br/>
        <w:t>the "Breixt Project" was also confirmed in Fastway Submissions on the Draft Decision, dated 9 May 2022, page 3, point no</w:t>
        <w:br/>
        <w:t>10; page 8 and page 11.</w:t>
      </w:r>
    </w:p>
  </w:footnote>
  <w:footnote w:id="6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Data Breach Report, page 9.</w:t>
      </w:r>
    </w:p>
  </w:footnote>
  <w:footnote w:id="6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Personal Data Breach Notification, dated 4 March 2021, page 2.</w:t>
      </w:r>
    </w:p>
  </w:footnote>
  <w:footnote w:id="7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identified, as another aspect related to the circumstances of the personal data breach, that </w:t>
      </w:r>
      <w:r>
        <w:rPr>
          <w:rStyle w:val="CharStyle3"/>
          <w:i/>
          <w:iCs/>
          <w:color w:val="232824"/>
        </w:rPr>
        <w:t>"Process review 2:</w:t>
        <w:br/>
        <w:t>urgency of the any task can never be allowed ignore following the process.",</w:t>
      </w:r>
      <w:r>
        <w:rPr>
          <w:rStyle w:val="CharStyle3"/>
          <w:color w:val="232824"/>
        </w:rPr>
        <w:t xml:space="preserve"> cfr. Data Breach Report, page 9.</w:t>
      </w:r>
    </w:p>
  </w:footnote>
  <w:footnote w:id="7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Personal Data Breach Notification, dated 4 March 2021, page 2-3.</w:t>
      </w:r>
    </w:p>
  </w:footnote>
  <w:footnote w:id="72">
    <w:p>
      <w:pPr>
        <w:pStyle w:val="Style2"/>
        <w:keepNext w:val="0"/>
        <w:keepLines w:val="0"/>
        <w:widowControl w:val="0"/>
        <w:shd w:val="clear" w:color="auto" w:fill="auto"/>
        <w:tabs>
          <w:tab w:pos="5251" w:val="left"/>
        </w:tabs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stated: </w:t>
      </w:r>
      <w:r>
        <w:rPr>
          <w:rStyle w:val="CharStyle3"/>
          <w:i/>
          <w:iCs/>
          <w:color w:val="232824"/>
        </w:rPr>
        <w:t>"At the time of our data breach</w:t>
        <w:tab/>
        <w:t>table was not encrypted, this is what led to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i/>
          <w:iCs/>
          <w:color w:val="232824"/>
        </w:rPr>
        <w:t>exploitation of the vulnerability. This has been remedied since then.” cfr.</w:t>
      </w:r>
      <w:r>
        <w:rPr>
          <w:rStyle w:val="CharStyle3"/>
          <w:color w:val="232824"/>
        </w:rPr>
        <w:t xml:space="preserve"> Fastway response to further queries, dated 17 May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</w:rPr>
        <w:t>2021, page 2.</w:t>
      </w:r>
    </w:p>
  </w:footnote>
  <w:footnote w:id="7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3.</w:t>
      </w:r>
    </w:p>
  </w:footnote>
  <w:footnote w:id="7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Submissions on the Draft Decision, dated 9 May 2022, page 2, point no 6.</w:t>
      </w:r>
    </w:p>
  </w:footnote>
  <w:footnote w:id="7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D.4. 2021-02-07 Email - Fastway and Devteam - Scoping.</w:t>
      </w:r>
    </w:p>
  </w:footnote>
  <w:footnote w:id="7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Data Breach Report, page 5.</w:t>
      </w:r>
    </w:p>
  </w:footnote>
  <w:footnote w:id="7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2.</w:t>
      </w:r>
    </w:p>
  </w:footnote>
  <w:footnote w:id="7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Personal Data Breach Notification, dated 4 March 2021, page 2.</w:t>
      </w:r>
    </w:p>
  </w:footnote>
  <w:footnote w:id="7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IT Security Report, page 11.</w:t>
      </w:r>
    </w:p>
  </w:footnote>
  <w:footnote w:id="8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queries, dated 18 March 2021, page 1.</w:t>
      </w:r>
    </w:p>
  </w:footnote>
  <w:footnote w:id="8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queries, dated 18 March 2021, page 2. This is also confirmed by the external information security</w:t>
        <w:br/>
        <w:t>consultancy firm, consulted by Fastway, cfr. IT Security Report, page 10.</w:t>
      </w:r>
    </w:p>
  </w:footnote>
  <w:footnote w:id="8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queries, dated 18 March 2021, page 7.</w:t>
      </w:r>
    </w:p>
  </w:footnote>
  <w:footnote w:id="8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queries, dated 18 March 2021, page 2.</w:t>
      </w:r>
    </w:p>
  </w:footnote>
  <w:footnote w:id="8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queries, dated 18 March 2021, page 2.</w:t>
      </w:r>
    </w:p>
  </w:footnote>
  <w:footnote w:id="8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Personal Data Breach Notification, dated 4 March 2021, page 3-4.</w:t>
      </w:r>
    </w:p>
  </w:footnote>
  <w:footnote w:id="8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queries, dated 18 March 2021, page 4.</w:t>
      </w:r>
    </w:p>
  </w:footnote>
  <w:footnote w:id="8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queries, dated 18 March 2021, page 17.</w:t>
      </w:r>
    </w:p>
  </w:footnote>
  <w:footnote w:id="8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Submissions on the Commencement Letter and related attachments, dated 8 November 2021, page 4.</w:t>
      </w:r>
    </w:p>
  </w:footnote>
  <w:footnote w:id="8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response to queries, dated 18 March 2021, page 18.</w:t>
      </w:r>
    </w:p>
  </w:footnote>
  <w:footnote w:id="9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In the Personal Data Breach Notification Fastway stated: </w:t>
      </w:r>
      <w:r>
        <w:rPr>
          <w:rStyle w:val="CharStyle3"/>
          <w:i/>
          <w:iCs/>
        </w:rPr>
        <w:t>"Our internal reporting system are never publicly available -</w:t>
        <w:br/>
        <w:t>internal access procedures were only considered necessary in this respect, this was clearly a grave oversight. Irrespective of</w:t>
        <w:br/>
        <w:t>a system being considered internal, it should be subject to the same security controls as all our existing external facing</w:t>
        <w:br/>
        <w:t>applications. Failure to follow existing process and security protocols, perceived time constraints, and instruction without</w:t>
        <w:br/>
        <w:t>approval from the appropriate person lead to the breach",</w:t>
      </w:r>
      <w:r>
        <w:rPr>
          <w:rStyle w:val="CharStyle3"/>
        </w:rPr>
        <w:t xml:space="preserve"> cfr. Personal Data Breach Notification, dated 4 March 2021, page</w:t>
        <w:br/>
        <w:t xml:space="preserve">3. Furthermore, Fastway stated: </w:t>
      </w:r>
      <w:r>
        <w:rPr>
          <w:rStyle w:val="CharStyle3"/>
          <w:i/>
          <w:iCs/>
        </w:rPr>
        <w:t>“At the time of our data</w:t>
      </w:r>
      <w:r>
        <w:rPr>
          <w:rStyle w:val="CharStyle3"/>
        </w:rPr>
        <w:t xml:space="preserve"> breoch^^^^^m^f </w:t>
      </w:r>
      <w:r>
        <w:rPr>
          <w:rStyle w:val="CharStyle3"/>
          <w:i/>
          <w:iCs/>
        </w:rPr>
        <w:t>was not encrypted, this is what</w:t>
        <w:br/>
        <w:t>led to the exploitation of the vulnerability. This has been remedied since then." cfr.</w:t>
      </w:r>
      <w:r>
        <w:rPr>
          <w:rStyle w:val="CharStyle3"/>
        </w:rPr>
        <w:t xml:space="preserve"> Fastway response to further queries, dated</w:t>
        <w:br/>
        <w:t>17 May 2021, page 2.</w:t>
      </w:r>
    </w:p>
  </w:footnote>
  <w:footnote w:id="9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In the personal data breach notification, to the query on </w:t>
      </w:r>
      <w:r>
        <w:rPr>
          <w:rStyle w:val="CharStyle3"/>
          <w:i/>
          <w:iCs/>
        </w:rPr>
        <w:t>“What deficiencies in these organisational or technical measures</w:t>
        <w:br/>
        <w:t>have been identified as a result of this breach"</w:t>
      </w:r>
      <w:r>
        <w:rPr>
          <w:rStyle w:val="CharStyle3"/>
        </w:rPr>
        <w:t xml:space="preserve"> Fastway reported: </w:t>
      </w:r>
      <w:r>
        <w:rPr>
          <w:rStyle w:val="CharStyle3"/>
          <w:i/>
          <w:iCs/>
        </w:rPr>
        <w:t>"Security review by security lead and approval. Risk</w:t>
        <w:br/>
        <w:t>assessment process as part of security and data protection. Staff training as identified. Security Audits. Vulnerability</w:t>
        <w:br/>
        <w:t>compliance tools",</w:t>
      </w:r>
      <w:r>
        <w:rPr>
          <w:rStyle w:val="CharStyle3"/>
        </w:rPr>
        <w:t xml:space="preserve"> cfr. Personal Data Breach Notification, dated 4 March 2021, page 3.</w:t>
      </w:r>
    </w:p>
  </w:footnote>
  <w:footnote w:id="9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Data Breach Report, page 9.</w:t>
      </w:r>
    </w:p>
  </w:footnote>
  <w:footnote w:id="9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Submissions on the Draft Decision, dated 9 May 2022, page 9. In particular, Fastway states "We </w:t>
      </w:r>
      <w:r>
        <w:rPr>
          <w:rStyle w:val="CharStyle3"/>
          <w:i/>
          <w:iCs/>
        </w:rPr>
        <w:t>believe that this</w:t>
        <w:br/>
        <w:t>goes to the heart of the issue and has been addressed in the change management procedure and the other procedures which</w:t>
        <w:br/>
        <w:t>have subsequently been implemented"</w:t>
      </w:r>
      <w:r>
        <w:rPr>
          <w:rStyle w:val="CharStyle3"/>
        </w:rPr>
        <w:t xml:space="preserve"> commenting on para 6.33 above (para 6.31 in the Draft Decision).</w:t>
      </w:r>
    </w:p>
  </w:footnote>
  <w:footnote w:id="9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IT Security Report stated: </w:t>
      </w:r>
      <w:r>
        <w:rPr>
          <w:rStyle w:val="CharStyle3"/>
          <w:i/>
          <w:iCs/>
        </w:rPr>
        <w:t>"The root cause of the incident has been found to be misconfiguration and failure to follow</w:t>
        <w:br/>
        <w:t>policies and procedures by the external IT services company. The security measures taken by the IT services company in this</w:t>
        <w:br/>
        <w:t>instance were insufficient", cfr.</w:t>
      </w:r>
      <w:r>
        <w:rPr>
          <w:rStyle w:val="CharStyle3"/>
        </w:rPr>
        <w:t xml:space="preserve"> IT Security Report, page 4.</w:t>
      </w:r>
    </w:p>
  </w:footnote>
  <w:footnote w:id="9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reported. </w:t>
      </w:r>
      <w:r>
        <w:rPr>
          <w:rStyle w:val="CharStyle3"/>
          <w:i/>
          <w:iCs/>
        </w:rPr>
        <w:t>"Failure to follow existing process and security protocols, perceived time constraints, and instruction</w:t>
        <w:br/>
        <w:t>without approval from the appropriate person lead to the breach",</w:t>
      </w:r>
      <w:r>
        <w:rPr>
          <w:rStyle w:val="CharStyle3"/>
        </w:rPr>
        <w:t xml:space="preserve"> cfr. Personal Data Breach Notification, dated 4 March</w:t>
        <w:br/>
        <w:t xml:space="preserve">2021, page 3. Further Fastway referred as actions to ensure compliance with security and organisational measures: </w:t>
      </w:r>
      <w:r>
        <w:rPr>
          <w:rStyle w:val="CharStyle3"/>
          <w:i/>
          <w:iCs/>
        </w:rPr>
        <w:t>"Review</w:t>
        <w:br/>
        <w:t>information security policies and procedures with a focus on management of third party providers, [...] Review testing of</w:t>
        <w:br/>
        <w:t>information security processes and procedures including current risks analysis.",</w:t>
      </w:r>
      <w:r>
        <w:rPr>
          <w:rStyle w:val="CharStyle3"/>
        </w:rPr>
        <w:t xml:space="preserve"> cfr, Fastway response to queries, dated 18</w:t>
        <w:br/>
        <w:t>March 2021, page 17-18.</w:t>
      </w:r>
    </w:p>
  </w:footnote>
  <w:footnote w:id="9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Fastway Submissions on the Commencement Letter and related attachments, dated 8 November 2021, page 6.</w:t>
      </w:r>
    </w:p>
  </w:footnote>
  <w:footnote w:id="9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Submissions on the Draft Decision, dated 9 May 2022, page 9-10; 2018-05 email re New GDPR Regulations coming</w:t>
        <w:br/>
        <w:t>into effect; 2018-05 email re GDPR email notification; Parcel Connect website - GDPR changes.</w:t>
      </w:r>
    </w:p>
  </w:footnote>
  <w:footnote w:id="9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Submissions on the Commencement Letter and related attachments, dated 8 November 2021, page 6.</w:t>
      </w:r>
    </w:p>
  </w:footnote>
  <w:footnote w:id="9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Submissions on the Commencement Letter and related attachments, dated 8 November 2021, page 6.</w:t>
      </w:r>
    </w:p>
  </w:footnote>
  <w:footnote w:id="10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Submissions on the Commencement Letter and related attachments, dated 8 November 2021, page 6.</w:t>
      </w:r>
    </w:p>
  </w:footnote>
  <w:footnote w:id="10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In response to the query </w:t>
      </w:r>
      <w:r>
        <w:rPr>
          <w:rStyle w:val="CharStyle3"/>
          <w:i/>
          <w:iCs/>
          <w:color w:val="232824"/>
        </w:rPr>
        <w:t>"What deficiencies in these organisational or technical measures have been identified as a result</w:t>
        <w:br/>
        <w:t>of this breach?" in</w:t>
      </w:r>
      <w:r>
        <w:rPr>
          <w:rStyle w:val="CharStyle3"/>
          <w:color w:val="232824"/>
        </w:rPr>
        <w:t xml:space="preserve"> the Personal Data Breach Notification, Fastway indicated: </w:t>
      </w:r>
      <w:r>
        <w:rPr>
          <w:rStyle w:val="CharStyle3"/>
          <w:i/>
          <w:iCs/>
          <w:color w:val="232824"/>
        </w:rPr>
        <w:t>"Security review by security lead and approval.</w:t>
        <w:br/>
        <w:t>Risk assessment process as part of security and data protection. Staff training as identified. Security Audits. Vulnerability</w:t>
        <w:br/>
        <w:t>compliance tools",</w:t>
      </w:r>
      <w:r>
        <w:rPr>
          <w:rStyle w:val="CharStyle3"/>
          <w:color w:val="232824"/>
        </w:rPr>
        <w:t xml:space="preserve"> cfr. Personal Data Breach Notification, dated 4 March 2021, page 3.</w:t>
      </w:r>
    </w:p>
  </w:footnote>
  <w:footnote w:id="10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indicated as actions to ensure compliance with security and organisational measures on an ongoing basis, among</w:t>
        <w:br/>
        <w:t xml:space="preserve">the various, </w:t>
      </w:r>
      <w:r>
        <w:rPr>
          <w:rStyle w:val="CharStyle3"/>
          <w:i/>
          <w:iCs/>
          <w:color w:val="232824"/>
        </w:rPr>
        <w:t>"Ensure additional training is undertaken and a log is updated/maintained",</w:t>
      </w:r>
      <w:r>
        <w:rPr>
          <w:rStyle w:val="CharStyle3"/>
          <w:color w:val="232824"/>
        </w:rPr>
        <w:t xml:space="preserve"> cfr., Fastway response to queries,</w:t>
        <w:br/>
        <w:t>dated 18 March 2021, page 18.</w:t>
      </w:r>
    </w:p>
  </w:footnote>
  <w:footnote w:id="10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D.7. Fastway Project Process.</w:t>
      </w:r>
    </w:p>
  </w:footnote>
  <w:footnote w:id="10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Submissions on the Commencement Letter and related attachments, dated 8 November 2021, page 8.</w:t>
      </w:r>
    </w:p>
  </w:footnote>
  <w:footnote w:id="10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D.7. Fastway Project Process.</w:t>
      </w:r>
    </w:p>
  </w:footnote>
  <w:footnote w:id="10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Submissions on the Draft Decision, dated 9 May 2022, page 10.</w:t>
      </w:r>
    </w:p>
  </w:footnote>
  <w:footnote w:id="10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Submissions on the Draft Decision, dated 9 May 2022, page 10-11; Fastway Change Control Procedure.</w:t>
      </w:r>
    </w:p>
  </w:footnote>
  <w:footnote w:id="10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Change Control Procedure, page 1.</w:t>
      </w:r>
    </w:p>
  </w:footnote>
  <w:footnote w:id="10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Change Control Procedure, page 2.</w:t>
      </w:r>
    </w:p>
  </w:footnote>
  <w:footnote w:id="11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both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In the personal data breach notification, to the query on </w:t>
      </w:r>
      <w:r>
        <w:rPr>
          <w:rStyle w:val="CharStyle3"/>
          <w:i/>
          <w:iCs/>
          <w:color w:val="232824"/>
        </w:rPr>
        <w:t>“What deficiencies in these organisational or technical measures</w:t>
        <w:br/>
        <w:t>have been identified as a result of this breach"</w:t>
      </w:r>
      <w:r>
        <w:rPr>
          <w:rStyle w:val="CharStyle3"/>
          <w:color w:val="232824"/>
        </w:rPr>
        <w:t xml:space="preserve"> Fastway reported: </w:t>
      </w:r>
      <w:r>
        <w:rPr>
          <w:rStyle w:val="CharStyle3"/>
          <w:i/>
          <w:iCs/>
          <w:color w:val="232824"/>
        </w:rPr>
        <w:t>"Security review by security lead and approval. Risk</w:t>
        <w:br/>
        <w:t>assessment process as part of security and data protection. Staff training as identified. Security Audits. Vulnerability</w:t>
        <w:br/>
        <w:t>compliance tools",</w:t>
      </w:r>
      <w:r>
        <w:rPr>
          <w:rStyle w:val="CharStyle3"/>
          <w:color w:val="232824"/>
        </w:rPr>
        <w:t xml:space="preserve"> cfr. Personal Data Breach Notification, dated 4 March 2021, page 3.</w:t>
      </w:r>
    </w:p>
  </w:footnote>
  <w:footnote w:id="11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Data Security Incident Management Procedure.</w:t>
      </w:r>
    </w:p>
  </w:footnote>
  <w:footnote w:id="11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Fastway response to queries, dated 18 March 2021, page 2.</w:t>
      </w:r>
    </w:p>
  </w:footnote>
  <w:footnote w:id="11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Data Security Incident Management Procedure.</w:t>
      </w:r>
    </w:p>
  </w:footnote>
  <w:footnote w:id="11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color w:val="232824"/>
          <w:vertAlign w:val="superscript"/>
        </w:rPr>
        <w:footnoteRef/>
      </w:r>
      <w:r>
        <w:rPr>
          <w:rStyle w:val="CharStyle3"/>
          <w:color w:val="232824"/>
        </w:rPr>
        <w:t xml:space="preserve"> Data Breach Report.</w:t>
      </w:r>
    </w:p>
  </w:footnote>
  <w:footnote w:id="11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3"/>
          <w:i/>
          <w:iCs/>
          <w:color w:val="232824"/>
          <w:vertAlign w:val="superscript"/>
        </w:rPr>
        <w:footnoteRef/>
      </w:r>
      <w:r>
        <w:rPr>
          <w:rStyle w:val="CharStyle3"/>
          <w:i/>
          <w:iCs/>
          <w:color w:val="232824"/>
        </w:rPr>
        <w:t xml:space="preserve"> "Irrespective of a system being considered internal, it should be subject to the same security controls as all our existing</w:t>
        <w:br/>
        <w:t xml:space="preserve">external facing applications. Failure to follow exiting process and security protocol perceived time constraints, and </w:t>
      </w:r>
      <w:r>
        <w:rPr>
          <w:rStyle w:val="CharStyle3"/>
          <w:b/>
          <w:bCs/>
          <w:i/>
          <w:iCs/>
          <w:color w:val="232824"/>
        </w:rPr>
        <w:t>instruction</w:t>
        <w:br/>
        <w:t>without approval from the appropriate person led to the breach",</w:t>
      </w:r>
      <w:r>
        <w:rPr>
          <w:rStyle w:val="CharStyle3"/>
          <w:color w:val="232824"/>
        </w:rPr>
        <w:t xml:space="preserve"> (emphasis added), cfr. Personal Data Breach Notification,</w:t>
        <w:br/>
        <w:t>dated 4 March 2021, page 3.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">
    <w:multiLevelType w:val="multilevel"/>
    <w:lvl w:ilvl="0">
      <w:start w:val="1"/>
      <w:numFmt w:val="lowerRoman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">
    <w:multiLevelType w:val="multilevel"/>
    <w:lvl w:ilvl="0">
      <w:start w:val="1"/>
      <w:numFmt w:val="lowerRoman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8">
    <w:multiLevelType w:val="multilevel"/>
    <w:lvl w:ilvl="0">
      <w:start w:val="8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0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2">
    <w:multiLevelType w:val="multilevel"/>
    <w:lvl w:ilvl="0">
      <w:start w:val="11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4">
    <w:multiLevelType w:val="multilevel"/>
    <w:lvl w:ilvl="0">
      <w:start w:val="1"/>
      <w:numFmt w:val="decimal"/>
      <w:lvlText w:val="%1"/>
    </w:lvl>
    <w:lvl w:ilvl="1">
      <w:start w:val="1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6">
    <w:multiLevelType w:val="multilevel"/>
    <w:lvl w:ilvl="0">
      <w:start w:val="1"/>
      <w:numFmt w:val="lowerRoman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8DADB6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1">
      <w:start w:val="1"/>
      <w:numFmt w:val="lowerRoman"/>
      <w:lvlText w:val="%1.%2"/>
    </w:lvl>
  </w:abstractNum>
  <w:abstractNum w:abstractNumId="18">
    <w:multiLevelType w:val="multilevel"/>
    <w:lvl w:ilvl="0">
      <w:start w:val="2"/>
      <w:numFmt w:val="decimal"/>
      <w:lvlText w:val="%1."/>
    </w:lvl>
    <w:lvl w:ilvl="1">
      <w:start w:val="1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0">
    <w:multiLevelType w:val="multilevel"/>
    <w:lvl w:ilvl="0">
      <w:start w:val="2"/>
      <w:numFmt w:val="decimal"/>
      <w:lvlText w:val="%1."/>
    </w:lvl>
    <w:lvl w:ilvl="1">
      <w:start w:val="4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2">
    <w:multiLevelType w:val="multilevel"/>
    <w:lvl w:ilvl="0">
      <w:start w:val="3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5BA8C8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/>
      </w:rPr>
    </w:lvl>
    <w:lvl w:ilvl="1">
      <w:start w:val="1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4">
    <w:multiLevelType w:val="multilevel"/>
    <w:lvl w:ilvl="0">
      <w:start w:val="3"/>
      <w:numFmt w:val="decimal"/>
      <w:lvlText w:val="%1."/>
    </w:lvl>
    <w:lvl w:ilvl="1">
      <w:start w:val="12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6">
    <w:multiLevelType w:val="multilevel"/>
    <w:lvl w:ilvl="0">
      <w:start w:val="4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5BA8C8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/>
      </w:rPr>
    </w:lvl>
    <w:lvl w:ilvl="1">
      <w:start w:val="1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8">
    <w:multiLevelType w:val="multilevel"/>
    <w:lvl w:ilvl="0">
      <w:start w:val="1"/>
      <w:numFmt w:val="lowerLetter"/>
      <w:lvlText w:val="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0">
    <w:multiLevelType w:val="multilevel"/>
    <w:lvl w:ilvl="0">
      <w:start w:val="1"/>
      <w:numFmt w:val="upperRoman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5BA8C8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1">
      <w:start w:val="3"/>
      <w:numFmt w:val="upperRoman"/>
      <w:lvlText w:val="%1.%2"/>
    </w:lvl>
  </w:abstractNum>
  <w:abstractNum w:abstractNumId="32">
    <w:multiLevelType w:val="multilevel"/>
    <w:lvl w:ilvl="0">
      <w:start w:val="6"/>
      <w:numFmt w:val="decimal"/>
      <w:lvlText w:val="%1."/>
    </w:lvl>
    <w:lvl w:ilvl="1">
      <w:start w:val="3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4">
    <w:multiLevelType w:val="multilevel"/>
    <w:lvl w:ilvl="0">
      <w:start w:val="1"/>
      <w:numFmt w:val="decimal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6">
    <w:multiLevelType w:val="multilevel"/>
    <w:lvl w:ilvl="0">
      <w:start w:val="6"/>
      <w:numFmt w:val="decimal"/>
      <w:lvlText w:val="%1"/>
    </w:lvl>
    <w:lvl w:ilvl="1">
      <w:start w:val="16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8">
    <w:multiLevelType w:val="multilevel"/>
    <w:lvl w:ilvl="0">
      <w:start w:val="1"/>
      <w:numFmt w:val="lowerLetter"/>
      <w:lvlText w:val="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0">
    <w:multiLevelType w:val="multilevel"/>
    <w:lvl w:ilvl="0">
      <w:start w:val="6"/>
      <w:numFmt w:val="decimal"/>
      <w:lvlText w:val="%1"/>
    </w:lvl>
    <w:lvl w:ilvl="1">
      <w:start w:val="18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2">
    <w:multiLevelType w:val="multilevel"/>
    <w:lvl w:ilvl="0">
      <w:start w:val="2"/>
      <w:numFmt w:val="decimal"/>
      <w:lvlText w:val="%1.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4">
    <w:multiLevelType w:val="multilevel"/>
    <w:lvl w:ilvl="0">
      <w:start w:val="88"/>
      <w:numFmt w:val="decimal"/>
      <w:lvlText w:val="%1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16"/>
        <w:szCs w:val="16"/>
        <w:u w:val="none"/>
        <w:shd w:val="clear" w:color="auto" w:fill="auto"/>
        <w:vertAlign w:val="superscript"/>
        <w:lang w:val="en-US" w:eastAsia="en-US"/>
      </w:rPr>
    </w:lvl>
  </w:abstractNum>
  <w:abstractNum w:abstractNumId="46">
    <w:multiLevelType w:val="multilevel"/>
    <w:lvl w:ilvl="0">
      <w:start w:val="6"/>
      <w:numFmt w:val="decimal"/>
      <w:lvlText w:val="%1"/>
    </w:lvl>
    <w:lvl w:ilvl="1">
      <w:start w:val="25"/>
      <w:numFmt w:val="decimal"/>
      <w:lvlText w:val="%1.%2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8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50">
    <w:multiLevelType w:val="multilevel"/>
    <w:lvl w:ilvl="0">
      <w:start w:val="2"/>
      <w:numFmt w:val="lowerLetter"/>
      <w:lvlText w:val="%1.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52">
    <w:multiLevelType w:val="multilevel"/>
    <w:lvl w:ilvl="0">
      <w:start w:val="2"/>
      <w:numFmt w:val="lowerLetter"/>
      <w:lvlText w:val="%1.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54">
    <w:multiLevelType w:val="multilevel"/>
    <w:lvl w:ilvl="0">
      <w:start w:val="6"/>
      <w:numFmt w:val="decimal"/>
      <w:lvlText w:val="%1"/>
    </w:lvl>
    <w:lvl w:ilvl="1">
      <w:start w:val="31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56">
    <w:multiLevelType w:val="multilevel"/>
    <w:lvl w:ilvl="0">
      <w:start w:val="1"/>
      <w:numFmt w:val="lowerLetter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58">
    <w:multiLevelType w:val="multilevel"/>
    <w:lvl w:ilvl="0">
      <w:start w:val="6"/>
      <w:numFmt w:val="decimal"/>
      <w:lvlText w:val="%1"/>
    </w:lvl>
    <w:lvl w:ilvl="1">
      <w:start w:val="33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60">
    <w:multiLevelType w:val="multilevel"/>
    <w:lvl w:ilvl="0">
      <w:start w:val="6"/>
      <w:numFmt w:val="decimal"/>
      <w:lvlText w:val="%1"/>
    </w:lvl>
    <w:lvl w:ilvl="1">
      <w:start w:val="38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62">
    <w:multiLevelType w:val="multilevel"/>
    <w:lvl w:ilvl="0">
      <w:start w:val="1"/>
      <w:numFmt w:val="bullet"/>
      <w:lvlText w:val="-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232824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JhengHei Light" w:eastAsia="Microsoft JhengHei Light" w:hAnsi="Microsoft JhengHei Light" w:cs="Microsoft JhengHei Light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customStyle="1" w:styleId="CharStyle3">
    <w:name w:val="Footnote_"/>
    <w:basedOn w:val="DefaultParagraphFont"/>
    <w:link w:val="Style2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13">
    <w:name w:val="Body text_"/>
    <w:basedOn w:val="DefaultParagraphFont"/>
    <w:link w:val="Style12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6">
    <w:name w:val="Header or footer (2)_"/>
    <w:basedOn w:val="DefaultParagraphFont"/>
    <w:link w:val="Style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9">
    <w:name w:val="Heading #1_"/>
    <w:basedOn w:val="DefaultParagraphFont"/>
    <w:link w:val="Style18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CharStyle23">
    <w:name w:val="Body text (3)_"/>
    <w:basedOn w:val="DefaultParagraphFont"/>
    <w:link w:val="Style22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5">
    <w:name w:val="Heading #2_"/>
    <w:basedOn w:val="DefaultParagraphFont"/>
    <w:link w:val="Style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8C8"/>
      <w:sz w:val="32"/>
      <w:szCs w:val="32"/>
      <w:u w:val="none"/>
    </w:rPr>
  </w:style>
  <w:style w:type="character" w:customStyle="1" w:styleId="CharStyle27">
    <w:name w:val="Table of contents_"/>
    <w:basedOn w:val="DefaultParagraphFont"/>
    <w:link w:val="Style26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9">
    <w:name w:val="Body text (4)_"/>
    <w:basedOn w:val="DefaultParagraphFont"/>
    <w:link w:val="Style2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8C8"/>
      <w:sz w:val="32"/>
      <w:szCs w:val="32"/>
      <w:u w:val="none"/>
    </w:rPr>
  </w:style>
  <w:style w:type="character" w:customStyle="1" w:styleId="CharStyle32">
    <w:name w:val="Heading #3_"/>
    <w:basedOn w:val="DefaultParagraphFont"/>
    <w:link w:val="Style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8C8"/>
      <w:sz w:val="26"/>
      <w:szCs w:val="26"/>
      <w:u w:val="single"/>
    </w:rPr>
  </w:style>
  <w:style w:type="character" w:customStyle="1" w:styleId="CharStyle46">
    <w:name w:val="Body text (2)_"/>
    <w:basedOn w:val="DefaultParagraphFont"/>
    <w:link w:val="Style4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16"/>
      <w:szCs w:val="16"/>
      <w:u w:val="none"/>
    </w:rPr>
  </w:style>
  <w:style w:type="paragraph" w:customStyle="1" w:styleId="Style2">
    <w:name w:val="Footnote"/>
    <w:basedOn w:val="Normal"/>
    <w:link w:val="CharStyle3"/>
    <w:pPr>
      <w:widowControl w:val="0"/>
      <w:shd w:val="clear" w:color="auto" w:fill="auto"/>
      <w:spacing w:line="252" w:lineRule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styleId="Style12">
    <w:name w:val="Body text"/>
    <w:basedOn w:val="Normal"/>
    <w:link w:val="CharStyle13"/>
    <w:qFormat/>
    <w:pPr>
      <w:widowControl w:val="0"/>
      <w:shd w:val="clear" w:color="auto" w:fill="auto"/>
      <w:spacing w:after="280" w:line="286" w:lineRule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5">
    <w:name w:val="Header or footer (2)"/>
    <w:basedOn w:val="Normal"/>
    <w:link w:val="CharStyle16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8">
    <w:name w:val="Heading #1"/>
    <w:basedOn w:val="Normal"/>
    <w:link w:val="CharStyle19"/>
    <w:pPr>
      <w:widowControl w:val="0"/>
      <w:shd w:val="clear" w:color="auto" w:fill="auto"/>
      <w:spacing w:after="1260"/>
      <w:jc w:val="center"/>
      <w:outlineLvl w:val="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paragraph" w:customStyle="1" w:styleId="Style22">
    <w:name w:val="Body text (3)"/>
    <w:basedOn w:val="Normal"/>
    <w:link w:val="CharStyle23"/>
    <w:pPr>
      <w:widowControl w:val="0"/>
      <w:shd w:val="clear" w:color="auto" w:fill="auto"/>
      <w:spacing w:after="300" w:line="182" w:lineRule="auto"/>
      <w:ind w:left="3880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4">
    <w:name w:val="Heading #2"/>
    <w:basedOn w:val="Normal"/>
    <w:link w:val="CharStyle25"/>
    <w:pPr>
      <w:widowControl w:val="0"/>
      <w:shd w:val="clear" w:color="auto" w:fill="auto"/>
      <w:spacing w:after="420"/>
      <w:ind w:firstLine="400"/>
      <w:outlineLvl w:val="1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8C8"/>
      <w:sz w:val="32"/>
      <w:szCs w:val="32"/>
      <w:u w:val="none"/>
    </w:rPr>
  </w:style>
  <w:style w:type="paragraph" w:customStyle="1" w:styleId="Style26">
    <w:name w:val="Table of contents"/>
    <w:basedOn w:val="Normal"/>
    <w:link w:val="CharStyle27"/>
    <w:pPr>
      <w:widowControl w:val="0"/>
      <w:shd w:val="clear" w:color="auto" w:fill="auto"/>
      <w:spacing w:after="140"/>
      <w:ind w:firstLine="22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8">
    <w:name w:val="Body text (4)"/>
    <w:basedOn w:val="Normal"/>
    <w:link w:val="CharStyle29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8C8"/>
      <w:sz w:val="32"/>
      <w:szCs w:val="32"/>
      <w:u w:val="none"/>
    </w:rPr>
  </w:style>
  <w:style w:type="paragraph" w:customStyle="1" w:styleId="Style31">
    <w:name w:val="Heading #3"/>
    <w:basedOn w:val="Normal"/>
    <w:link w:val="CharStyle32"/>
    <w:pPr>
      <w:widowControl w:val="0"/>
      <w:shd w:val="clear" w:color="auto" w:fill="auto"/>
      <w:spacing w:after="340"/>
      <w:ind w:firstLine="360"/>
      <w:outlineLvl w:val="2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BA8C8"/>
      <w:sz w:val="26"/>
      <w:szCs w:val="26"/>
      <w:u w:val="single"/>
    </w:rPr>
  </w:style>
  <w:style w:type="paragraph" w:customStyle="1" w:styleId="Style45">
    <w:name w:val="Body text (2)"/>
    <w:basedOn w:val="Normal"/>
    <w:link w:val="CharStyle46"/>
    <w:pPr>
      <w:widowControl w:val="0"/>
      <w:shd w:val="clear" w:color="auto" w:fill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32824"/>
      <w:sz w:val="16"/>
      <w:szCs w:val="1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1.png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2.jpeg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3.jpeg" TargetMode="External"/><Relationship Id="rId12" Type="http://schemas.openxmlformats.org/officeDocument/2006/relationships/image" Target="media/image4.jpeg"/><Relationship Id="rId13" Type="http://schemas.openxmlformats.org/officeDocument/2006/relationships/image" Target="media/image4.jpeg" TargetMode="External"/></Relationships>
</file>