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center"/>
      </w:pPr>
      <w:r>
        <w:rPr>
          <w:rStyle w:val="CharStyle6"/>
          <w:u w:val="single"/>
        </w:rPr>
        <w:t>In the matter of the General Data Protection Regulation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center"/>
      </w:pPr>
      <w:r>
        <w:rPr>
          <w:rStyle w:val="CharStyle6"/>
        </w:rPr>
        <w:t>Commission Case Reference: IN-20-7-2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center"/>
      </w:pPr>
      <w:r>
        <w:rPr>
          <w:rStyle w:val="CharStyle6"/>
        </w:rPr>
        <w:t>In the matter of Bank of Ireland Group plc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307" w:lineRule="auto"/>
        <w:ind w:left="0" w:right="0" w:firstLine="0"/>
        <w:jc w:val="center"/>
      </w:pPr>
      <w:r>
        <w:rPr>
          <w:rStyle w:val="CharStyle6"/>
        </w:rPr>
        <w:t>Decision of the Data Protection Commission made pursuant to Section 111 of the Data Protection Act</w:t>
        <w:br/>
        <w:t>2018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260" w:line="240" w:lineRule="auto"/>
        <w:ind w:left="0" w:right="0" w:firstLine="0"/>
        <w:jc w:val="center"/>
      </w:pPr>
      <w:r>
        <w:rPr>
          <w:rStyle w:val="CharStyle6"/>
        </w:rPr>
        <w:t>Further to an own-volition inquiry commenced pursuant to Section 110 of the Data Protection Act 2018</w:t>
      </w:r>
    </w:p>
    <w:p>
      <w:pPr>
        <w:pStyle w:val="Style11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rStyle w:val="CharStyle12"/>
        </w:rPr>
        <w:t>DECISION</w:t>
      </w:r>
      <w:bookmarkEnd w:id="0"/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center"/>
      </w:pPr>
      <w:r>
        <w:rPr>
          <w:rStyle w:val="CharStyle6"/>
          <w:b/>
          <w:bCs/>
        </w:rPr>
        <w:t>Decision-Maker for the Data Protection Commission: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520" w:line="262" w:lineRule="auto"/>
        <w:ind w:left="0" w:right="0" w:firstLine="0"/>
        <w:jc w:val="center"/>
      </w:pPr>
      <w:r>
        <w:rPr>
          <w:rStyle w:val="CharStyle6"/>
          <w:b/>
          <w:bCs/>
        </w:rPr>
        <w:t>Helen Dixon</w:t>
        <w:br/>
        <w:t>Commissioner for Data Protection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80" w:line="262" w:lineRule="auto"/>
        <w:ind w:left="0" w:right="0" w:firstLine="0"/>
        <w:jc w:val="center"/>
      </w:pPr>
      <w:r>
        <w:rPr>
          <w:rStyle w:val="CharStyle6"/>
        </w:rPr>
        <w:t>27 February 2023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/>
        <w:ind w:right="0"/>
        <w:jc w:val="left"/>
        <w:rPr>
          <w:sz w:val="19"/>
          <w:szCs w:val="19"/>
        </w:rPr>
      </w:pPr>
      <w:r>
        <w:rPr>
          <w:rStyle w:val="CharStyle15"/>
        </w:rPr>
        <w:t>An Coimisiiin um</w:t>
        <w:br/>
        <w:t>ChosaintSonraf</w:t>
        <w:br/>
      </w:r>
      <w:r>
        <w:rPr>
          <w:rStyle w:val="CharStyle15"/>
          <w:rFonts w:ascii="Lucida Sans Unicode" w:eastAsia="Lucida Sans Unicode" w:hAnsi="Lucida Sans Unicode" w:cs="Lucida Sans Unicode"/>
          <w:sz w:val="19"/>
          <w:szCs w:val="19"/>
        </w:rPr>
        <w:t>Data Protection</w:t>
        <w:br/>
        <w:t>Commission'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62" w:lineRule="auto"/>
        <w:ind w:left="0" w:right="0" w:firstLine="0"/>
        <w:jc w:val="center"/>
      </w:pPr>
      <w:r>
        <w:rPr>
          <w:rStyle w:val="CharStyle6"/>
          <w:sz w:val="20"/>
          <w:szCs w:val="20"/>
        </w:rPr>
        <w:t>Data Protection Commission</w:t>
        <w:br/>
        <w:t>21 Fitzwilliam Square South</w:t>
        <w:br/>
        <w:t>Dublin 2, Ireland</w:t>
      </w:r>
      <w:r>
        <w:br w:type="page"/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bookmarkStart w:id="2" w:name="bookmark2"/>
      <w:r>
        <w:rPr>
          <w:rStyle w:val="CharStyle19"/>
        </w:rPr>
        <w:t>Contents</w:t>
      </w:r>
      <w:bookmarkEnd w:id="2"/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r>
        <w:fldChar w:fldCharType="begin"/>
        <w:instrText xml:space="preserve"> TOC \o "1-5" \h \z </w:instrText>
        <w:fldChar w:fldCharType="separate"/>
      </w:r>
      <w:hyperlink w:anchor="bookmark4" w:tooltip="Current Document">
        <w:r>
          <w:rPr>
            <w:rStyle w:val="CharStyle21"/>
          </w:rPr>
          <w:t>Introduction</w:t>
          <w:tab/>
          <w:t>4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pos="4109" w:val="center"/>
          <w:tab w:pos="4448" w:val="center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6" w:tooltip="Current Document">
        <w:r>
          <w:rPr>
            <w:rStyle w:val="CharStyle21"/>
          </w:rPr>
          <w:t>Legal Framework for the Inquiry and</w:t>
          <w:tab/>
          <w:t>the</w:t>
          <w:tab/>
          <w:t>Decision</w:t>
          <w:tab/>
          <w:t>4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491" w:val="left"/>
          <w:tab w:leader="dot" w:pos="8810" w:val="right"/>
        </w:tabs>
        <w:bidi w:val="0"/>
        <w:spacing w:before="0" w:after="160" w:line="240" w:lineRule="auto"/>
        <w:ind w:left="0" w:right="0" w:firstLine="200"/>
        <w:jc w:val="left"/>
      </w:pPr>
      <w:r>
        <w:rPr>
          <w:rStyle w:val="CharStyle21"/>
        </w:rPr>
        <w:t>Legal Basis for the Inquiry</w:t>
        <w:tab/>
        <w:t>4</w:t>
      </w:r>
    </w:p>
    <w:p>
      <w:pPr>
        <w:pStyle w:val="Style20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44" w:val="left"/>
          <w:tab w:leader="dot" w:pos="8810" w:val="right"/>
        </w:tabs>
        <w:bidi w:val="0"/>
        <w:spacing w:before="0" w:after="160" w:line="240" w:lineRule="auto"/>
        <w:ind w:left="0" w:right="0" w:firstLine="200"/>
        <w:jc w:val="left"/>
      </w:pPr>
      <w:r>
        <w:rPr>
          <w:rStyle w:val="CharStyle21"/>
        </w:rPr>
        <w:t>Data Controller</w:t>
        <w:tab/>
        <w:t>4</w:t>
      </w:r>
    </w:p>
    <w:p>
      <w:pPr>
        <w:pStyle w:val="Style20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92" w:val="left"/>
          <w:tab w:leader="dot" w:pos="8810" w:val="right"/>
        </w:tabs>
        <w:bidi w:val="0"/>
        <w:spacing w:before="0" w:after="160" w:line="240" w:lineRule="auto"/>
        <w:ind w:left="0" w:right="0" w:firstLine="200"/>
        <w:jc w:val="left"/>
      </w:pPr>
      <w:r>
        <w:rPr>
          <w:rStyle w:val="CharStyle21"/>
        </w:rPr>
        <w:t>Legal Basis for the Decision</w:t>
        <w:tab/>
        <w:t>5</w:t>
      </w:r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8" w:tooltip="Current Document">
        <w:r>
          <w:rPr>
            <w:rStyle w:val="CharStyle21"/>
          </w:rPr>
          <w:t>Factual Background</w:t>
          <w:tab/>
          <w:t>5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pos="4438" w:val="center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10" w:tooltip="Current Document">
        <w:r>
          <w:rPr>
            <w:rStyle w:val="CharStyle21"/>
          </w:rPr>
          <w:t>Scope of the Inquiry and the Application</w:t>
          <w:tab/>
          <w:t>of the GDPR</w:t>
          <w:tab/>
          <w:t>7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pos="4006" w:val="center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12" w:tooltip="Current Document">
        <w:r>
          <w:rPr>
            <w:rStyle w:val="CharStyle21"/>
          </w:rPr>
          <w:t>Submissions in relation to the Draft</w:t>
          <w:tab/>
          <w:t>Decision</w:t>
          <w:tab/>
          <w:t>7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14" w:tooltip="Current Document">
        <w:r>
          <w:rPr>
            <w:rStyle w:val="CharStyle21"/>
          </w:rPr>
          <w:t>Issues for Determination</w:t>
          <w:tab/>
          <w:t>8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16" w:tooltip="Current Document">
        <w:r>
          <w:rPr>
            <w:rStyle w:val="CharStyle21"/>
          </w:rPr>
          <w:t>Articles 5(l)(f) and 32 GDPR</w:t>
          <w:tab/>
          <w:t>8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54" w:val="left"/>
          <w:tab w:leader="dot" w:pos="8810" w:val="right"/>
        </w:tabs>
        <w:bidi w:val="0"/>
        <w:spacing w:before="0" w:after="160" w:line="240" w:lineRule="auto"/>
        <w:ind w:left="0" w:right="0" w:firstLine="200"/>
        <w:jc w:val="both"/>
      </w:pPr>
      <w:r>
        <w:rPr>
          <w:rStyle w:val="CharStyle21"/>
        </w:rPr>
        <w:t>Assessment of the Risks</w:t>
        <w:tab/>
        <w:t>9</w:t>
      </w:r>
    </w:p>
    <w:p>
      <w:pPr>
        <w:pStyle w:val="Style20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54" w:val="left"/>
          <w:tab w:leader="dot" w:pos="8810" w:val="right"/>
        </w:tabs>
        <w:bidi w:val="0"/>
        <w:spacing w:before="0" w:after="160" w:line="240" w:lineRule="auto"/>
        <w:ind w:left="0" w:right="0" w:firstLine="200"/>
        <w:jc w:val="both"/>
      </w:pPr>
      <w:r>
        <w:rPr>
          <w:rStyle w:val="CharStyle21"/>
        </w:rPr>
        <w:t>The Appropriate Level of Security</w:t>
        <w:tab/>
        <w:t>17</w:t>
      </w:r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18" w:tooltip="Current Document">
        <w:r>
          <w:rPr>
            <w:rStyle w:val="CharStyle21"/>
          </w:rPr>
          <w:t>Findings</w:t>
          <w:tab/>
          <w:t>20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20" w:tooltip="Current Document">
        <w:r>
          <w:rPr>
            <w:rStyle w:val="CharStyle21"/>
          </w:rPr>
          <w:t>Decision on Corrective Powers</w:t>
          <w:tab/>
          <w:t>21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22" w:tooltip="Current Document">
        <w:r>
          <w:rPr>
            <w:rStyle w:val="CharStyle21"/>
          </w:rPr>
          <w:t>Order to Bring Processing into Compliance</w:t>
          <w:tab/>
          <w:t>21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24" w:tooltip="Current Document">
        <w:r>
          <w:rPr>
            <w:rStyle w:val="CharStyle21"/>
          </w:rPr>
          <w:t>Reprimand</w:t>
          <w:tab/>
          <w:t>23</w:t>
        </w:r>
      </w:hyperlink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  <w:tab w:leader="dot" w:pos="9010" w:val="right"/>
        </w:tabs>
        <w:bidi w:val="0"/>
        <w:spacing w:before="0" w:after="160" w:line="240" w:lineRule="auto"/>
        <w:ind w:left="0" w:right="0" w:firstLine="0"/>
        <w:jc w:val="both"/>
      </w:pPr>
      <w:hyperlink w:anchor="bookmark26" w:tooltip="Current Document">
        <w:r>
          <w:rPr>
            <w:rStyle w:val="CharStyle21"/>
          </w:rPr>
          <w:t>Administrative Fines</w:t>
          <w:tab/>
          <w:t>24</w:t>
        </w:r>
      </w:hyperlink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/>
        <w:ind w:left="200" w:right="0"/>
        <w:jc w:val="left"/>
      </w:pPr>
      <w:r>
        <w:rPr>
          <w:rStyle w:val="CharStyle21"/>
          <w:b/>
          <w:bCs/>
        </w:rPr>
        <w:t>Article 83(2)(a) GDPR: the nature, gravity and duration of the infringement taking into account</w:t>
        <w:br/>
        <w:t>the nature scope or purpose of the processing concerned as well as the number of data subjects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810" w:val="right"/>
        </w:tabs>
        <w:bidi w:val="0"/>
        <w:spacing w:before="0" w:line="302" w:lineRule="auto"/>
        <w:ind w:left="0" w:right="0" w:firstLine="200"/>
        <w:jc w:val="both"/>
      </w:pPr>
      <w:r>
        <w:rPr>
          <w:rStyle w:val="CharStyle21"/>
          <w:b/>
          <w:bCs/>
        </w:rPr>
        <w:t>affected and the level of damage suffered by them;</w:t>
        <w:tab/>
      </w:r>
      <w:r>
        <w:rPr>
          <w:rStyle w:val="CharStyle21"/>
        </w:rPr>
        <w:t>25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955" w:val="right"/>
        </w:tabs>
        <w:bidi w:val="0"/>
        <w:spacing w:before="0" w:line="302" w:lineRule="auto"/>
        <w:ind w:left="0" w:right="0" w:firstLine="680"/>
        <w:jc w:val="both"/>
      </w:pPr>
      <w:r>
        <w:rPr>
          <w:rStyle w:val="CharStyle21"/>
          <w:i/>
          <w:iCs/>
        </w:rPr>
        <w:t>The nature of the infringements</w:t>
      </w:r>
      <w:r>
        <w:rPr>
          <w:rStyle w:val="CharStyle21"/>
        </w:rPr>
        <w:tab/>
        <w:t>26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955" w:val="right"/>
        </w:tabs>
        <w:bidi w:val="0"/>
        <w:spacing w:before="0" w:line="302" w:lineRule="auto"/>
        <w:ind w:left="0" w:right="0" w:firstLine="680"/>
        <w:jc w:val="both"/>
      </w:pPr>
      <w:r>
        <w:rPr>
          <w:rStyle w:val="CharStyle21"/>
          <w:i/>
          <w:iCs/>
        </w:rPr>
        <w:t>The gravity of the infringements</w:t>
      </w:r>
      <w:r>
        <w:rPr>
          <w:rStyle w:val="CharStyle21"/>
        </w:rPr>
        <w:tab/>
        <w:t>26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715" w:val="left"/>
        </w:tabs>
        <w:bidi w:val="0"/>
        <w:spacing w:before="0" w:line="302" w:lineRule="auto"/>
        <w:ind w:left="0" w:right="0" w:firstLine="680"/>
        <w:jc w:val="both"/>
      </w:pPr>
      <w:r>
        <w:rPr>
          <w:rStyle w:val="CharStyle21"/>
          <w:i/>
          <w:iCs/>
        </w:rPr>
        <w:t>The duration of the infringements</w:t>
      </w:r>
      <w:r>
        <w:rPr>
          <w:rStyle w:val="CharStyle21"/>
        </w:rPr>
        <w:tab/>
        <w:t>27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990" w:val="right"/>
        </w:tabs>
        <w:bidi w:val="0"/>
        <w:spacing w:before="0" w:line="302" w:lineRule="auto"/>
        <w:ind w:left="200" w:right="0"/>
        <w:jc w:val="left"/>
      </w:pPr>
      <w:r>
        <w:rPr>
          <w:rStyle w:val="CharStyle21"/>
          <w:b/>
          <w:bCs/>
        </w:rPr>
        <w:t>Article 83(2)(b) GDPR: the intentional or negligent character of the infringement;</w:t>
        <w:tab/>
      </w:r>
      <w:r>
        <w:rPr>
          <w:rStyle w:val="CharStyle21"/>
        </w:rPr>
        <w:t>27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9010" w:val="right"/>
        </w:tabs>
        <w:bidi w:val="0"/>
        <w:spacing w:before="0" w:line="302" w:lineRule="auto"/>
        <w:ind w:left="200" w:right="0"/>
        <w:jc w:val="left"/>
      </w:pPr>
      <w:r>
        <w:rPr>
          <w:rStyle w:val="CharStyle21"/>
          <w:b/>
          <w:bCs/>
        </w:rPr>
        <w:t>Article 83(2)(c) GDPR: any action taken by the controller or processor to mitigate the damage</w:t>
        <w:br/>
        <w:t>suffered by data subjects;</w:t>
        <w:tab/>
      </w:r>
      <w:r>
        <w:rPr>
          <w:rStyle w:val="CharStyle21"/>
        </w:rPr>
        <w:t>28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9010" w:val="right"/>
        </w:tabs>
        <w:bidi w:val="0"/>
        <w:spacing w:before="0"/>
        <w:ind w:left="200" w:right="0"/>
        <w:jc w:val="left"/>
      </w:pPr>
      <w:r>
        <w:rPr>
          <w:rStyle w:val="CharStyle21"/>
          <w:b/>
          <w:bCs/>
        </w:rPr>
        <w:t>Article 83(2)(d) GDPR: the degree of responsibility of the controller or processor taking into</w:t>
        <w:br/>
        <w:t>account technical and organisational measures implemented by them pursuant to Articles 25</w:t>
        <w:br/>
        <w:t>and 32 GDPR;</w:t>
        <w:tab/>
      </w:r>
      <w:r>
        <w:rPr>
          <w:rStyle w:val="CharStyle21"/>
        </w:rPr>
        <w:t>29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796" w:val="left"/>
        </w:tabs>
        <w:bidi w:val="0"/>
        <w:spacing w:before="0" w:line="302" w:lineRule="auto"/>
        <w:ind w:left="200" w:right="0"/>
        <w:jc w:val="left"/>
      </w:pPr>
      <w:r>
        <w:rPr>
          <w:rStyle w:val="CharStyle21"/>
          <w:b/>
          <w:bCs/>
        </w:rPr>
        <w:t>Article 83(2)(e) GDPR: any relevant previous infringements by the controller or processor;</w:t>
        <w:tab/>
      </w:r>
      <w:r>
        <w:rPr>
          <w:rStyle w:val="CharStyle21"/>
        </w:rPr>
        <w:t>29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9010" w:val="right"/>
        </w:tabs>
        <w:bidi w:val="0"/>
        <w:spacing w:before="0" w:line="302" w:lineRule="auto"/>
        <w:ind w:left="200" w:right="0"/>
        <w:jc w:val="left"/>
      </w:pPr>
      <w:r>
        <w:rPr>
          <w:rStyle w:val="CharStyle21"/>
          <w:b/>
          <w:bCs/>
        </w:rPr>
        <w:t>Article 83(2)(f) GDPR: the degree of cooperation with the supervisory authority, in order to</w:t>
        <w:br/>
        <w:t>remedy the infringement and mitigate the possible adverse effects of the infringement;</w:t>
        <w:tab/>
      </w:r>
      <w:r>
        <w:rPr>
          <w:rStyle w:val="CharStyle21"/>
        </w:rPr>
        <w:t>29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616" w:val="left"/>
        </w:tabs>
        <w:bidi w:val="0"/>
        <w:spacing w:before="0" w:after="160" w:line="302" w:lineRule="auto"/>
        <w:ind w:left="0" w:right="0" w:firstLine="200"/>
        <w:jc w:val="both"/>
      </w:pPr>
      <w:r>
        <w:rPr>
          <w:rStyle w:val="CharStyle21"/>
          <w:b/>
          <w:bCs/>
        </w:rPr>
        <w:t>Article 83(2)(g) GDPR: the categories of personal data affected by the infringement;</w:t>
        <w:tab/>
      </w:r>
      <w:r>
        <w:rPr>
          <w:rStyle w:val="CharStyle21"/>
        </w:rPr>
        <w:t>30</w:t>
      </w:r>
      <w:r>
        <w:br w:type="page"/>
      </w:r>
      <w:r>
        <w:fldChar w:fldCharType="end"/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leader="dot" w:pos="8958" w:val="right"/>
        </w:tabs>
        <w:bidi w:val="0"/>
        <w:spacing w:before="0" w:after="80" w:line="302" w:lineRule="auto"/>
        <w:ind w:left="200" w:right="0" w:firstLine="20"/>
        <w:jc w:val="left"/>
      </w:pPr>
      <w:r>
        <w:rPr>
          <w:rStyle w:val="CharStyle6"/>
          <w:b/>
          <w:bCs/>
        </w:rPr>
        <w:t>Article 83(2)(h) GDPR: the manner in which the infringement became known to the supervisory</w:t>
        <w:br/>
        <w:t>authority, in particular whether, and if so to what extent, the controller or processor notified</w:t>
        <w:br/>
        <w:t>the infringement;</w:t>
        <w:tab/>
      </w:r>
      <w:r>
        <w:rPr>
          <w:rStyle w:val="CharStyle6"/>
        </w:rPr>
        <w:t>30</w:t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leader="dot" w:pos="8958" w:val="right"/>
        </w:tabs>
        <w:bidi w:val="0"/>
        <w:spacing w:before="0" w:after="80"/>
        <w:ind w:left="200" w:right="0" w:firstLine="20"/>
        <w:jc w:val="left"/>
      </w:pPr>
      <w:r>
        <w:rPr>
          <w:rStyle w:val="CharStyle6"/>
          <w:b/>
          <w:bCs/>
        </w:rPr>
        <w:t>Article 83(2)(i) GDPR: where measures referred to in Article 58(2) GDPR have previously been</w:t>
        <w:br/>
        <w:t>ordered against the controller or processor concerned with regard to the same subject-matter,</w:t>
        <w:br/>
        <w:t>compliance with those measures;</w:t>
        <w:tab/>
      </w:r>
      <w:r>
        <w:rPr>
          <w:rStyle w:val="CharStyle6"/>
        </w:rPr>
        <w:t>30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958" w:val="right"/>
        </w:tabs>
        <w:bidi w:val="0"/>
        <w:spacing w:before="0"/>
        <w:ind w:left="200" w:right="0"/>
        <w:jc w:val="left"/>
      </w:pPr>
      <w:r>
        <w:fldChar w:fldCharType="begin"/>
        <w:instrText xml:space="preserve"> TOC \o "1-5" \h \z </w:instrText>
        <w:fldChar w:fldCharType="separate"/>
      </w:r>
      <w:r>
        <w:rPr>
          <w:rStyle w:val="CharStyle21"/>
          <w:b/>
          <w:bCs/>
        </w:rPr>
        <w:t>Article 83(2)(j) GDPR: adherence to approved codes of conduct pursuant to Article 40 GDPR or</w:t>
        <w:br/>
        <w:t>approved certification mechanisms pursuant to Article 42 GDPR; and</w:t>
        <w:tab/>
      </w:r>
      <w:r>
        <w:rPr>
          <w:rStyle w:val="CharStyle21"/>
        </w:rPr>
        <w:t>30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958" w:val="right"/>
        </w:tabs>
        <w:bidi w:val="0"/>
        <w:spacing w:before="0" w:line="302" w:lineRule="auto"/>
        <w:ind w:left="200" w:right="0"/>
        <w:jc w:val="both"/>
      </w:pPr>
      <w:r>
        <w:rPr>
          <w:rStyle w:val="CharStyle21"/>
          <w:b/>
          <w:bCs/>
        </w:rPr>
        <w:t>Article 83(2)(k) GDPR: any other aggravating or mitigating factor applicable to the circumstances</w:t>
        <w:br/>
        <w:t>of the case, such as financial benefits gained, or losses avoided, directly or indirectly, from the</w:t>
        <w:br/>
        <w:t>infringement</w:t>
        <w:tab/>
      </w:r>
      <w:r>
        <w:rPr>
          <w:rStyle w:val="CharStyle21"/>
        </w:rPr>
        <w:t>30</w:t>
      </w:r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05" w:val="left"/>
          <w:tab w:leader="dot" w:pos="8958" w:val="right"/>
        </w:tabs>
        <w:bidi w:val="0"/>
        <w:spacing w:before="0" w:line="302" w:lineRule="auto"/>
        <w:ind w:left="0" w:right="0" w:firstLine="0"/>
        <w:jc w:val="left"/>
      </w:pPr>
      <w:r>
        <w:rPr>
          <w:rStyle w:val="CharStyle21"/>
        </w:rPr>
        <w:t>Decisions on Whether to Impose Administrative Fines</w:t>
        <w:tab/>
        <w:t>31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943" w:val="right"/>
        </w:tabs>
        <w:bidi w:val="0"/>
        <w:spacing w:before="0" w:line="302" w:lineRule="auto"/>
        <w:ind w:left="0" w:right="0" w:firstLine="200"/>
        <w:jc w:val="both"/>
      </w:pPr>
      <w:r>
        <w:rPr>
          <w:rStyle w:val="CharStyle21"/>
          <w:b/>
          <w:bCs/>
        </w:rPr>
        <w:t>Article 83(3) GDPR</w:t>
        <w:tab/>
      </w:r>
      <w:r>
        <w:rPr>
          <w:rStyle w:val="CharStyle21"/>
        </w:rPr>
        <w:t>33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leader="dot" w:pos="8943" w:val="right"/>
        </w:tabs>
        <w:bidi w:val="0"/>
        <w:spacing w:before="0" w:line="302" w:lineRule="auto"/>
        <w:ind w:left="0" w:right="0" w:firstLine="200"/>
        <w:jc w:val="both"/>
      </w:pPr>
      <w:r>
        <w:rPr>
          <w:rStyle w:val="CharStyle21"/>
          <w:b/>
          <w:bCs/>
        </w:rPr>
        <w:t>Article 83(5) GDPR</w:t>
        <w:tab/>
      </w:r>
      <w:r>
        <w:rPr>
          <w:rStyle w:val="CharStyle21"/>
        </w:rPr>
        <w:t>33</w:t>
      </w:r>
    </w:p>
    <w:p>
      <w:pPr>
        <w:pStyle w:val="Style20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05" w:val="left"/>
          <w:tab w:leader="dot" w:pos="8958" w:val="right"/>
        </w:tabs>
        <w:bidi w:val="0"/>
        <w:spacing w:before="0" w:line="302" w:lineRule="auto"/>
        <w:ind w:left="0" w:right="0" w:firstLine="0"/>
        <w:jc w:val="left"/>
        <w:sectPr>
          <w:footerReference w:type="default" r:id="rId5"/>
          <w:footnotePr>
            <w:pos w:val="pageBottom"/>
            <w:numFmt w:val="decimal"/>
            <w:numRestart w:val="continuous"/>
          </w:footnotePr>
          <w:pgSz w:w="12240" w:h="18720"/>
          <w:pgMar w:top="2349" w:right="1597" w:bottom="2952" w:left="1576" w:header="1921" w:footer="3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21"/>
        </w:rPr>
        <w:t>Right of Appeal</w:t>
        <w:tab/>
        <w:t>34</w:t>
      </w:r>
      <w:r>
        <w:fldChar w:fldCharType="end"/>
      </w:r>
    </w:p>
    <w:p>
      <w:pPr>
        <w:pStyle w:val="Style18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66" w:val="left"/>
        </w:tabs>
        <w:bidi w:val="0"/>
        <w:spacing w:before="0" w:line="240" w:lineRule="auto"/>
        <w:ind w:left="0" w:right="0" w:firstLine="0"/>
        <w:jc w:val="left"/>
      </w:pPr>
      <w:bookmarkStart w:id="4" w:name="bookmark4"/>
      <w:r>
        <w:rPr>
          <w:rStyle w:val="CharStyle19"/>
        </w:rPr>
        <w:t>Introduction</w:t>
      </w:r>
      <w:bookmarkEnd w:id="4"/>
    </w:p>
    <w:p>
      <w:pPr>
        <w:pStyle w:val="Style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710" w:val="left"/>
        </w:tabs>
        <w:bidi w:val="0"/>
        <w:spacing w:before="0"/>
        <w:ind w:left="760" w:right="0" w:hanging="760"/>
        <w:jc w:val="both"/>
      </w:pPr>
      <w:r>
        <w:rPr>
          <w:rStyle w:val="CharStyle6"/>
          <w:color w:val="000000"/>
        </w:rPr>
        <w:t xml:space="preserve">This document </w:t>
      </w:r>
      <w:r>
        <w:rPr>
          <w:rStyle w:val="CharStyle6"/>
          <w:b/>
          <w:bCs/>
          <w:color w:val="000000"/>
        </w:rPr>
        <w:t xml:space="preserve">('the Decision') </w:t>
      </w:r>
      <w:r>
        <w:rPr>
          <w:rStyle w:val="CharStyle6"/>
          <w:color w:val="000000"/>
        </w:rPr>
        <w:t xml:space="preserve">is a decision made by the Data Protection Commission </w:t>
      </w:r>
      <w:r>
        <w:rPr>
          <w:rStyle w:val="CharStyle6"/>
          <w:b/>
          <w:bCs/>
          <w:color w:val="000000"/>
        </w:rPr>
        <w:t>('the</w:t>
        <w:br/>
        <w:t xml:space="preserve">DPC') </w:t>
      </w:r>
      <w:r>
        <w:rPr>
          <w:rStyle w:val="CharStyle6"/>
          <w:color w:val="000000"/>
        </w:rPr>
        <w:t xml:space="preserve">in accordance with section 111 of the Data Protection Act 2018 </w:t>
      </w:r>
      <w:r>
        <w:rPr>
          <w:rStyle w:val="CharStyle6"/>
          <w:b/>
          <w:bCs/>
          <w:color w:val="000000"/>
        </w:rPr>
        <w:t xml:space="preserve">('the 2018 Act'). </w:t>
      </w:r>
      <w:r>
        <w:rPr>
          <w:rStyle w:val="CharStyle6"/>
          <w:color w:val="000000"/>
        </w:rPr>
        <w:t>I make</w:t>
        <w:br/>
        <w:t xml:space="preserve">this Decision having considered the information obtained in the own volition inquiry </w:t>
      </w:r>
      <w:r>
        <w:rPr>
          <w:rStyle w:val="CharStyle6"/>
          <w:b/>
          <w:bCs/>
          <w:color w:val="000000"/>
        </w:rPr>
        <w:t>('the</w:t>
        <w:br/>
        <w:t xml:space="preserve">Inquiry') </w:t>
      </w:r>
      <w:r>
        <w:rPr>
          <w:rStyle w:val="CharStyle6"/>
          <w:color w:val="000000"/>
        </w:rPr>
        <w:t>pursuant to section 110 of the 2018 Act. A member of the inquiry team of the DPC</w:t>
        <w:br/>
      </w:r>
      <w:r>
        <w:rPr>
          <w:rStyle w:val="CharStyle6"/>
          <w:b/>
          <w:bCs/>
          <w:color w:val="000000"/>
        </w:rPr>
        <w:t xml:space="preserve">('the Case Officer') </w:t>
      </w:r>
      <w:r>
        <w:rPr>
          <w:rStyle w:val="CharStyle6"/>
          <w:color w:val="000000"/>
        </w:rPr>
        <w:t xml:space="preserve">provided Bank of Ireland Group plc </w:t>
      </w:r>
      <w:r>
        <w:rPr>
          <w:rStyle w:val="CharStyle6"/>
          <w:b/>
          <w:bCs/>
          <w:color w:val="000000"/>
        </w:rPr>
        <w:t xml:space="preserve">('BOI') </w:t>
      </w:r>
      <w:r>
        <w:rPr>
          <w:rStyle w:val="CharStyle6"/>
          <w:color w:val="000000"/>
        </w:rPr>
        <w:t>with an Inquiry Issues Paper in</w:t>
        <w:br/>
        <w:t>order to make submissions on it.</w:t>
      </w:r>
    </w:p>
    <w:p>
      <w:pPr>
        <w:pStyle w:val="Style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710" w:val="left"/>
        </w:tabs>
        <w:bidi w:val="0"/>
        <w:spacing w:before="0"/>
        <w:ind w:left="760" w:right="0" w:hanging="760"/>
        <w:jc w:val="both"/>
      </w:pPr>
      <w:r>
        <w:rPr>
          <w:rStyle w:val="CharStyle6"/>
          <w:color w:val="000000"/>
        </w:rPr>
        <w:t xml:space="preserve">BOI was provided with the draft decision in this Inquiry on 25 November 2022 (the </w:t>
      </w:r>
      <w:r>
        <w:rPr>
          <w:rStyle w:val="CharStyle6"/>
          <w:b/>
          <w:bCs/>
          <w:color w:val="000000"/>
        </w:rPr>
        <w:t>"Draft</w:t>
        <w:br/>
        <w:t xml:space="preserve">Decision") </w:t>
      </w:r>
      <w:r>
        <w:rPr>
          <w:rStyle w:val="CharStyle6"/>
          <w:color w:val="000000"/>
        </w:rPr>
        <w:t>to provide it with a final opportunity to make submissions. BOI made submissions</w:t>
        <w:br/>
        <w:t>on the Draft Decision on 21 December 2022. I have given full consideration to these</w:t>
        <w:br/>
        <w:t>submissions in finalising this Decision. This Decision is being provided to BOI pursuant to</w:t>
        <w:br/>
        <w:t>Section 116(l)(a) of the 2018 Act in order to give BOI notice of the Decision, the reasons for</w:t>
        <w:br/>
        <w:t>it, and the corrective powers that I have decided to exercise.</w:t>
      </w:r>
    </w:p>
    <w:p>
      <w:pPr>
        <w:pStyle w:val="Style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710" w:val="left"/>
        </w:tabs>
        <w:bidi w:val="0"/>
        <w:spacing w:before="0" w:line="298" w:lineRule="auto"/>
        <w:ind w:left="760" w:right="0" w:hanging="760"/>
        <w:jc w:val="both"/>
      </w:pPr>
      <w:r>
        <w:rPr>
          <w:rStyle w:val="CharStyle6"/>
          <w:color w:val="000000"/>
        </w:rPr>
        <w:t>This Decision contains corrective powers under section 115 of the 2018 Act and Article 58(2)</w:t>
        <w:br/>
        <w:t xml:space="preserve">of the General Data Protection Regulation </w:t>
      </w:r>
      <w:r>
        <w:rPr>
          <w:rStyle w:val="CharStyle6"/>
          <w:b/>
          <w:bCs/>
          <w:color w:val="000000"/>
        </w:rPr>
        <w:t xml:space="preserve">('the GDPR') </w:t>
      </w:r>
      <w:r>
        <w:rPr>
          <w:rStyle w:val="CharStyle6"/>
          <w:color w:val="000000"/>
        </w:rPr>
        <w:t>arising from the infringements which</w:t>
        <w:br/>
        <w:t>have been identified herein. It should be noted, in this regard, that BOI is required to comply</w:t>
        <w:br/>
        <w:t>with the corrective powers that are contained in this Decision, and it is open to this office to</w:t>
        <w:br/>
        <w:t>serve an enforcement notice on BOI in accordance with section 133 of the 2018 Act.</w:t>
      </w:r>
    </w:p>
    <w:p>
      <w:pPr>
        <w:pStyle w:val="Style18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55" w:val="left"/>
        </w:tabs>
        <w:bidi w:val="0"/>
        <w:spacing w:before="0" w:line="240" w:lineRule="auto"/>
        <w:ind w:left="0" w:right="0" w:firstLine="0"/>
        <w:jc w:val="left"/>
      </w:pPr>
      <w:bookmarkStart w:id="6" w:name="bookmark6"/>
      <w:r>
        <w:rPr>
          <w:rStyle w:val="CharStyle19"/>
        </w:rPr>
        <w:t>Legal Framework for the Inquiry and the Decision</w:t>
      </w:r>
      <w:bookmarkEnd w:id="6"/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00"/>
        <w:jc w:val="both"/>
      </w:pPr>
      <w:r>
        <w:rPr>
          <w:rStyle w:val="CharStyle27"/>
          <w:color w:val="9DB7C1"/>
          <w:u w:val="none"/>
        </w:rPr>
        <w:t xml:space="preserve">Q </w:t>
      </w:r>
      <w:r>
        <w:rPr>
          <w:rStyle w:val="CharStyle27"/>
          <w:color w:val="9DB7C1"/>
        </w:rPr>
        <w:t xml:space="preserve">Legal Basis </w:t>
      </w:r>
      <w:r>
        <w:rPr>
          <w:rStyle w:val="CharStyle27"/>
          <w:color w:val="9DB7C1"/>
          <w:sz w:val="24"/>
          <w:szCs w:val="24"/>
        </w:rPr>
        <w:t xml:space="preserve">for </w:t>
      </w:r>
      <w:r>
        <w:rPr>
          <w:rStyle w:val="CharStyle27"/>
          <w:color w:val="9DB7C1"/>
        </w:rPr>
        <w:t>the Inquiry</w:t>
      </w:r>
    </w:p>
    <w:p>
      <w:pPr>
        <w:pStyle w:val="Style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10" w:val="left"/>
        </w:tabs>
        <w:bidi w:val="0"/>
        <w:spacing w:before="0"/>
        <w:ind w:left="760" w:right="0" w:hanging="760"/>
        <w:jc w:val="both"/>
      </w:pPr>
      <w:r>
        <w:rPr>
          <w:rStyle w:val="CharStyle6"/>
          <w:color w:val="000000"/>
        </w:rPr>
        <w:t>The GDPR is the legal regime covering the processing of personal data in the European Union.</w:t>
        <w:br/>
        <w:t>As a regulation, the GDPR is directly applicable in EU member states. The GDPR is given further</w:t>
        <w:br/>
        <w:t>effect in Irish law by the 2018 Act. As stated above, the Inquiry was commenced pursuant to</w:t>
        <w:br/>
        <w:t>section 110 of the 2018 Act. By way of background in this regard, under Part 6 of the 2018</w:t>
        <w:br/>
        <w:t>Act, the DPC has the power to commence an inquiry on foot of a complaint, or of its own</w:t>
        <w:br/>
        <w:t>volition.</w:t>
      </w:r>
    </w:p>
    <w:p>
      <w:pPr>
        <w:pStyle w:val="Style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10" w:val="left"/>
        </w:tabs>
        <w:bidi w:val="0"/>
        <w:spacing w:before="0" w:after="0" w:line="298" w:lineRule="auto"/>
        <w:ind w:left="0" w:right="0" w:firstLine="0"/>
        <w:jc w:val="both"/>
      </w:pPr>
      <w:r>
        <w:rPr>
          <w:rStyle w:val="CharStyle6"/>
          <w:color w:val="000000"/>
        </w:rPr>
        <w:t>Section 110(1) of the 2018 Act provides that the DPC may, for the purpose of section 109(5)(e)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98" w:lineRule="auto"/>
        <w:ind w:left="760" w:right="0" w:firstLine="40"/>
        <w:jc w:val="both"/>
      </w:pPr>
      <w:r>
        <w:rPr>
          <w:rStyle w:val="CharStyle6"/>
          <w:color w:val="000000"/>
        </w:rPr>
        <w:t>or section 113(2) of the 2018 Act, or of its own volition, cause such inquiry as it thinks fit to</w:t>
        <w:br/>
        <w:t>be conducted, in order to ascertain whether an infringement has occurred or is occurring of</w:t>
        <w:br/>
        <w:t>the GDPR or a provision of the 2018 Act, or regulation under the Act, that gives further effect</w:t>
        <w:br/>
        <w:t>to the GDPR. Section 110(2) of the 2018 Act provides that the DPC may, for the purposes of</w:t>
        <w:br/>
        <w:t>section 110(1), where it considers it appropriate to do so, cause any of its powers under</w:t>
        <w:br/>
        <w:t>Chapter 4 of Part 6 of the 2018 Act (excluding section 135 of the 2018 Act) to be exercised</w:t>
        <w:br/>
        <w:t>and/or cause an investigation under Chapter 5 of Part 6 of the 2018 Act to be carried out.</w:t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00"/>
        <w:jc w:val="both"/>
      </w:pPr>
      <w:r>
        <w:rPr>
          <w:rStyle w:val="CharStyle27"/>
          <w:sz w:val="24"/>
          <w:szCs w:val="24"/>
          <w:u w:val="none"/>
        </w:rPr>
        <w:t xml:space="preserve">iij </w:t>
      </w:r>
      <w:r>
        <w:rPr>
          <w:rStyle w:val="CharStyle27"/>
          <w:color w:val="9DB7C1"/>
        </w:rPr>
        <w:t>Data Controller</w:t>
      </w:r>
    </w:p>
    <w:p>
      <w:pPr>
        <w:pStyle w:val="Style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10" w:val="left"/>
        </w:tabs>
        <w:bidi w:val="0"/>
        <w:spacing w:before="0" w:line="302" w:lineRule="auto"/>
        <w:ind w:left="760" w:right="0" w:hanging="76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329" w:right="1585" w:bottom="2329" w:left="1516" w:header="1901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color w:val="000000"/>
        </w:rPr>
        <w:t>In commencing the Inquiry, the DPC considered that BOI may be the controller, within the</w:t>
        <w:br/>
        <w:t>meaning of Article 4(7) GDPR, in respect of personal data that was the subject of the personal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720" w:right="0" w:firstLine="60"/>
        <w:jc w:val="both"/>
      </w:pPr>
      <w:r>
        <w:rPr>
          <w:rStyle w:val="CharStyle6"/>
        </w:rPr>
        <w:t>data breach notifications. In this regard, BOI confirmed that it was the controller in its</w:t>
        <w:br/>
        <w:t>notification of ten personal data breaches to the DPC between 30 January 2020 and 6 May</w:t>
        <w:br/>
        <w:t>2020.</w:t>
      </w:r>
      <w:r>
        <w:rPr>
          <w:rStyle w:val="CharStyle6"/>
          <w:vertAlign w:val="superscript"/>
        </w:rPr>
        <w:footnoteReference w:id="2"/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40"/>
        <w:jc w:val="both"/>
      </w:pPr>
      <w:r>
        <w:rPr>
          <w:rStyle w:val="CharStyle27"/>
          <w:u w:val="none"/>
        </w:rPr>
        <w:t xml:space="preserve">I iIJ </w:t>
      </w:r>
      <w:r>
        <w:rPr>
          <w:rStyle w:val="CharStyle27"/>
        </w:rPr>
        <w:t>Legal Basis for the Decision</w:t>
      </w:r>
    </w:p>
    <w:p>
      <w:pPr>
        <w:pStyle w:val="Style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32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The decision-making process for the Inquiry which applies to this case is provided for under</w:t>
        <w:br/>
        <w:t>section 111 of the 2018 Act, and requires that the DPC must consider the information</w:t>
        <w:br/>
        <w:t>obtained during the Inquiry to decide whether an infringement is occurring or has occurred</w:t>
        <w:br/>
        <w:t>and, if so, to decide on the corrective powers, if any, to be exercised. As the sole member of</w:t>
        <w:br/>
        <w:t>the DPC as defined in section 15 of the 2018 Act, I perform this function in my role as the</w:t>
        <w:br/>
        <w:t>decision-maker in the DPC. In so doing, I am required to assess all of the materials and</w:t>
        <w:br/>
        <w:t>submissions gathered during the Inquiry and any other materials which I consider to be</w:t>
        <w:br/>
        <w:t>relevant, in the course of the decision-making process.</w:t>
      </w:r>
    </w:p>
    <w:p>
      <w:pPr>
        <w:pStyle w:val="Style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32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The Inquiry Issues Paper was finalised on 26 July 2021. BOI made submissions on the Inquiry</w:t>
        <w:br/>
        <w:t>Issues Paper on 17 August 2021. A full schedule of all documentation considered by me for</w:t>
        <w:br/>
        <w:t>the purpose of the preparation of this Decision is appended hereto.</w:t>
      </w:r>
    </w:p>
    <w:p>
      <w:pPr>
        <w:pStyle w:val="Style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32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Having considered the information obtained in the Inquiry, I am satisfied that the Inquiry has</w:t>
        <w:br/>
        <w:t>been correctly conducted and that fair procedures have been followed throughout. The DPC</w:t>
        <w:br/>
        <w:t>has had regard to any submissions that BOI made in respect of the Draft Decision before</w:t>
        <w:br/>
        <w:t>proceeding to make this Final Decision under section 111 of the 2018 Act.</w:t>
      </w:r>
    </w:p>
    <w:p>
      <w:pPr>
        <w:pStyle w:val="Style18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55" w:val="left"/>
          <w:tab w:pos="5150" w:val="left"/>
        </w:tabs>
        <w:bidi w:val="0"/>
        <w:spacing w:before="0" w:line="240" w:lineRule="auto"/>
        <w:ind w:left="0" w:right="0" w:firstLine="0"/>
        <w:jc w:val="left"/>
      </w:pPr>
      <w:bookmarkStart w:id="8" w:name="bookmark8"/>
      <w:r>
        <w:rPr>
          <w:rStyle w:val="CharStyle19"/>
        </w:rPr>
        <w:t>Factual Background</w:t>
        <w:tab/>
      </w:r>
      <w:r>
        <w:rPr>
          <w:rStyle w:val="CharStyle19"/>
          <w:color w:val="232824"/>
        </w:rPr>
        <w:t>•</w:t>
      </w:r>
      <w:bookmarkEnd w:id="8"/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2" w:val="left"/>
        </w:tabs>
        <w:bidi w:val="0"/>
        <w:spacing w:before="0" w:line="298" w:lineRule="auto"/>
        <w:ind w:left="720" w:right="0" w:hanging="720"/>
        <w:jc w:val="both"/>
      </w:pPr>
      <w:r>
        <w:rPr>
          <w:rStyle w:val="CharStyle6"/>
        </w:rPr>
        <w:t>BOI provides online and phone banking services via its Banking365 service ('Banking365'). The</w:t>
        <w:br/>
        <w:t>associated terms and conditions of the Banking365 service state that the '365 online' service</w:t>
        <w:br/>
        <w:t>is defined as the internet banking service accessed via a web browser.</w:t>
      </w:r>
      <w:r>
        <w:rPr>
          <w:rStyle w:val="CharStyle6"/>
          <w:vertAlign w:val="superscript"/>
        </w:rPr>
        <w:footnoteReference w:id="3"/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2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The DPC received ten personal data breach notifications from BOI between 30 January 2020</w:t>
        <w:br/>
        <w:t>and 6 May 2020. The data breach notifications concerned the unauthorised access to and</w:t>
        <w:br/>
        <w:t>disclosure of personal data processed within the Banking 365 platform. In six of the ten data</w:t>
        <w:br/>
        <w:t>breaches, unauthorised persons gained access to customers' accounts online as a result of</w:t>
        <w:br/>
        <w:t>staff not following BOI procedures correctly.</w:t>
      </w:r>
      <w:r>
        <w:rPr>
          <w:rStyle w:val="CharStyle6"/>
          <w:vertAlign w:val="superscript"/>
        </w:rPr>
        <w:footnoteReference w:id="4"/>
      </w:r>
      <w:r>
        <w:rPr>
          <w:rStyle w:val="CharStyle6"/>
        </w:rPr>
        <w:t xml:space="preserve"> The remaining four data breaches, in which</w:t>
        <w:br/>
        <w:t>unauthorised people gained access to customers' accounts online, were as a result of a flaw</w:t>
        <w:br/>
        <w:t>in the Customer Information System ('CIS'). BOI was made aware of a number of cases where</w:t>
        <w:br/>
        <w:t>customers who logged into their unique account through the Banking365 portal could view</w:t>
        <w:br/>
        <w:t>the account transaction details of third parties.</w:t>
      </w:r>
      <w:r>
        <w:rPr>
          <w:rStyle w:val="CharStyle6"/>
          <w:vertAlign w:val="superscript"/>
        </w:rPr>
        <w:footnoteReference w:id="5"/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2" w:val="left"/>
        </w:tabs>
        <w:bidi w:val="0"/>
        <w:spacing w:before="0" w:line="302" w:lineRule="auto"/>
        <w:ind w:left="720" w:right="0" w:hanging="7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338" w:right="1517" w:bottom="2220" w:left="1584" w:header="1910" w:footer="3" w:gutter="0"/>
          <w:cols w:space="720"/>
          <w:noEndnote/>
          <w:rtlGutter w:val="0"/>
          <w:docGrid w:linePitch="360"/>
        </w:sectPr>
      </w:pPr>
      <w:r>
        <w:rPr>
          <w:rStyle w:val="CharStyle6"/>
        </w:rPr>
        <w:t>The DPC issued an Inquiry Commencement Letter ('the Commencement Letter') by email and</w:t>
        <w:br/>
        <w:t>registered post to BOI on 12 August 20 20</w:t>
      </w:r>
      <w:r>
        <w:rPr>
          <w:rStyle w:val="CharStyle6"/>
          <w:vertAlign w:val="superscript"/>
        </w:rPr>
        <w:footnoteReference w:id="6"/>
      </w:r>
      <w:r>
        <w:rPr>
          <w:rStyle w:val="CharStyle6"/>
        </w:rPr>
        <w:t xml:space="preserve"> notifying the company that the DPC had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720" w:right="0" w:firstLine="40"/>
        <w:jc w:val="both"/>
      </w:pPr>
      <w:r>
        <w:rPr>
          <w:rStyle w:val="CharStyle6"/>
          <w:color w:val="000000"/>
        </w:rPr>
        <w:t>commenced an Inquiry under and in accordance with section 110(1) of the 2018 Act. The</w:t>
        <w:br/>
        <w:t>letter contained details of the personal data breaches notified to the DPC which would be the</w:t>
        <w:br/>
        <w:t>subject of the Inquiry and it contained seven questions seeking further information from BOI.</w:t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4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  <w:color w:val="000000"/>
        </w:rPr>
        <w:t>The decision to commence the Inquiry was taken having regard to the circumstances of</w:t>
        <w:br/>
        <w:t>personal data breaches notified by BOI. The Commencement Letter informed BOI that the</w:t>
        <w:br/>
        <w:t>Inquiry would examine whether or not BOI discharged its obligations in connection with the</w:t>
        <w:br/>
        <w:t>subject matter of the personal data breaches and determine whether or not any provision(s)</w:t>
        <w:br/>
        <w:t>of the 2018 Act and/or the GDPR had been contravened by BOI in that context. In this regard,</w:t>
        <w:br/>
        <w:t>the scope of the Inquiry was expressly stated to include the steps taken by BOI to comply with</w:t>
        <w:br/>
        <w:t>the principle of integrity and confidentiality pursuant to Article 32(1) GDPR among other</w:t>
        <w:br/>
        <w:t>Articles.</w:t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4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  <w:color w:val="000000"/>
        </w:rPr>
        <w:t>The Commencement Letter set out that the Inquiry would formally document the facts as</w:t>
        <w:br/>
        <w:t>they relate to the subject of the Inquiry. The relevant facts ascertained during the personal</w:t>
        <w:br/>
        <w:t>data breach notification and handling process were set out in the Commencement Letter. The</w:t>
        <w:br/>
        <w:t>facts, established during the course of the inquiry, are set out below in this Decision.</w:t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4" w:val="left"/>
        </w:tabs>
        <w:bidi w:val="0"/>
        <w:spacing w:before="0" w:after="180" w:line="302" w:lineRule="auto"/>
        <w:ind w:left="720" w:right="0" w:hanging="720"/>
        <w:jc w:val="both"/>
      </w:pPr>
      <w:r>
        <w:rPr>
          <w:rStyle w:val="CharStyle6"/>
          <w:color w:val="000000"/>
        </w:rPr>
        <w:t>BOI provided submissions in response to the Commencement Letter on 9 September 2020. In</w:t>
        <w:br/>
        <w:t>its submissions, BOI outlined the technical and organisational measures which BOI had in</w:t>
        <w:br/>
        <w:t>place to meet the requirements of the GDPR. The submissions outlined policies and</w:t>
        <w:br/>
        <w:t>procedures, staff training and quality assurance sampling in relation to data protection</w:t>
        <w:br/>
        <w:t>governance.</w:t>
      </w:r>
      <w:r>
        <w:rPr>
          <w:rStyle w:val="CharStyle6"/>
          <w:color w:val="000000"/>
          <w:vertAlign w:val="superscript"/>
        </w:rPr>
        <w:footnoteReference w:id="7"/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4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  <w:color w:val="000000"/>
        </w:rPr>
        <w:t>The submissions also outlined the steps that BOI has taken since the personal data breaches</w:t>
        <w:br/>
        <w:t>in order to comply with the GDPR including details of organisational and technical measures.</w:t>
        <w:br/>
        <w:t>The submissions appended a number of documents, which are considered throughout this</w:t>
        <w:br/>
        <w:t>Decision.</w:t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4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  <w:color w:val="000000"/>
        </w:rPr>
        <w:t>On 8 April 2021, the Case Officer requested additional documentation related to the BOI</w:t>
        <w:br/>
        <w:t>Banking Service Desk Procedures, Customer Verification procedures and Customer</w:t>
        <w:br/>
        <w:t>Confidentiality Service Standards, as well as further information relating to accounts merging</w:t>
        <w:br/>
        <w:t>issues.</w:t>
      </w:r>
      <w:r>
        <w:rPr>
          <w:rStyle w:val="CharStyle6"/>
          <w:color w:val="000000"/>
          <w:vertAlign w:val="superscript"/>
        </w:rPr>
        <w:footnoteReference w:id="8"/>
      </w:r>
      <w:r>
        <w:rPr>
          <w:rStyle w:val="CharStyle6"/>
          <w:color w:val="000000"/>
        </w:rPr>
        <w:t xml:space="preserve"> BOI provided submissions in response on 29 April 2021.</w:t>
      </w:r>
      <w:r>
        <w:rPr>
          <w:rStyle w:val="CharStyle6"/>
          <w:color w:val="000000"/>
          <w:vertAlign w:val="superscript"/>
        </w:rPr>
        <w:footnoteReference w:id="9"/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4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  <w:color w:val="000000"/>
        </w:rPr>
        <w:t>Having received BOI's submissions, the DPC prepared an Inquiry Issues Paper to document</w:t>
        <w:br/>
        <w:t>the relevant facts established and the issues that fell for consideration by me as Decision-</w:t>
        <w:br/>
        <w:t>Maker for the purpose of making a decision under section 111 of the 2018 Act in respect of</w:t>
        <w:br/>
        <w:t>this Inquiry. The Case Officer furnished BOI with the Inquiry Issues Paper on 26 July 2021</w:t>
      </w:r>
      <w:r>
        <w:rPr>
          <w:rStyle w:val="CharStyle6"/>
          <w:color w:val="000000"/>
          <w:vertAlign w:val="superscript"/>
        </w:rPr>
        <w:footnoteReference w:id="10"/>
      </w:r>
      <w:r>
        <w:rPr>
          <w:rStyle w:val="CharStyle6"/>
          <w:color w:val="000000"/>
        </w:rPr>
        <w:t>and</w:t>
        <w:br/>
        <w:t>invited BOI's submissions on any inaccuracies and/or incompleteness in the facts.</w:t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4" w:val="left"/>
        </w:tabs>
        <w:bidi w:val="0"/>
        <w:spacing w:before="0" w:after="180" w:line="298" w:lineRule="auto"/>
        <w:ind w:left="720" w:right="0" w:hanging="7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367" w:right="1603" w:bottom="2204" w:left="1537" w:header="1939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color w:val="000000"/>
        </w:rPr>
        <w:t>BOI provided comments on the Inquiry Issues Paper on 17 August 2021.</w:t>
      </w:r>
      <w:r>
        <w:rPr>
          <w:rStyle w:val="CharStyle6"/>
          <w:color w:val="000000"/>
          <w:vertAlign w:val="superscript"/>
        </w:rPr>
        <w:footnoteReference w:id="11"/>
      </w:r>
      <w:r>
        <w:rPr>
          <w:rStyle w:val="CharStyle6"/>
          <w:color w:val="000000"/>
        </w:rPr>
        <w:t xml:space="preserve"> The comments</w:t>
        <w:br/>
        <w:t>included some textual amendments and supplemental information relating to the facts as set</w:t>
        <w:br/>
        <w:t>out in the Inquiry Issues Paper. BOI's comments were analysed and the DPC has considered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720" w:right="0" w:firstLine="40"/>
        <w:jc w:val="both"/>
      </w:pPr>
      <w:r>
        <w:rPr>
          <w:rStyle w:val="CharStyle6"/>
        </w:rPr>
        <w:t>them as part of this Decision.The data breach notifications concerned the unauthorised access</w:t>
        <w:br/>
        <w:t>to and disclosure of personal data processed within the BOI Banking 365 ('Banking365')</w:t>
        <w:br/>
        <w:t>platform. BOI were made aware of a number of cases where customers were able to log into</w:t>
        <w:br/>
        <w:t>their unique Banking365 portal and view the details of third parties.</w:t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1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Six of the ten data breaches were as a result of staff not following BOI procedures correctly.</w:t>
        <w:br/>
        <w:t>The remaining four data breaches were as a result of incorrect merging of customer accounts</w:t>
        <w:br/>
        <w:t>due to the Nine Year Algorithm in BOI's Customer Information System (CIS). For some of the</w:t>
        <w:br/>
        <w:t>10 breaches, someone who was not the account holder was given full access to the BOI365</w:t>
        <w:br/>
        <w:t>services, e.g. BN-20-2-110, BN-20-3-678, BN-20-4-12, BN-20-4-268, BN-20-4-350. Other</w:t>
        <w:br/>
        <w:t>breaches amounted to unauthorised access/disclosure giving a view of the account</w:t>
        <w:br/>
        <w:t>transactions to an unauthorised third party, e.g. BN-20-3-418, BN-20-4-429, BN-20-4-425</w:t>
        <w:br/>
        <w:t>while BN-20-5-107 involved an unauthorised view of credit card details and BN-20-4-270</w:t>
        <w:br/>
        <w:t>involved both unauthorised access and unauthorised disclosure.</w:t>
      </w:r>
    </w:p>
    <w:p>
      <w:pPr>
        <w:pStyle w:val="Style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1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I am obliged to considerall ofthe information obtained in the Inquiry and to reach conclusions</w:t>
        <w:br/>
        <w:t>as to whether I identify infringements of data protection legislation. The Inquiry Issues Paper</w:t>
        <w:br/>
        <w:t>sets out the factual background and the scope and legal basis for the Inquiry. As set out above</w:t>
        <w:br/>
        <w:t>in Section A, this document is the Decision on this matter and it includes the corrective powers</w:t>
        <w:br/>
        <w:t>that will be exercised arising from the infringements that are identified herein.</w:t>
      </w:r>
    </w:p>
    <w:p>
      <w:pPr>
        <w:pStyle w:val="Style18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66" w:val="left"/>
        </w:tabs>
        <w:bidi w:val="0"/>
        <w:spacing w:before="0" w:line="240" w:lineRule="auto"/>
        <w:ind w:left="0" w:right="0" w:firstLine="0"/>
        <w:jc w:val="left"/>
      </w:pPr>
      <w:bookmarkStart w:id="10" w:name="bookmark10"/>
      <w:r>
        <w:rPr>
          <w:rStyle w:val="CharStyle19"/>
        </w:rPr>
        <w:t>Scope ofthe Inquiry and the Application ofthe GDPR</w:t>
      </w:r>
      <w:bookmarkEnd w:id="10"/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31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The scope of the Inquiry, which was set out in the Inquiry Commencement Letter, was to</w:t>
        <w:br/>
        <w:t>examine whether or not BOI discharged its obligations in connection with the subject matter</w:t>
        <w:br/>
        <w:t>ofthe notified personal data breaches and to determine whether or not any provision(s) of</w:t>
        <w:br/>
        <w:t>the 2018 Act and/or the GDPR have been contravened by BOI in that context.</w:t>
      </w:r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31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In this regard, the Commencement Letter specified that the Inquiry would focus on BOI's</w:t>
        <w:br/>
        <w:t>organisational and technical measures in place to ensure security of the personal data. In</w:t>
        <w:br/>
        <w:t>particular, the Commencement Letter expressly stated that the scope of the Inquiry would</w:t>
        <w:br/>
        <w:t>include Articles 5(l)(f) and 32(1) GDPR. The Commencement Letter stated that the Inquiry</w:t>
        <w:br/>
        <w:t>would focus on the areas of Data Protection Governance, Training and Awareness, Records</w:t>
        <w:br/>
        <w:t>Management and Security of Personal Data.</w:t>
      </w:r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31" w:val="left"/>
        </w:tabs>
        <w:bidi w:val="0"/>
        <w:spacing w:before="0" w:line="302" w:lineRule="auto"/>
        <w:ind w:left="720" w:right="0" w:hanging="720"/>
        <w:jc w:val="both"/>
      </w:pPr>
      <w:r>
        <w:rPr>
          <w:rStyle w:val="CharStyle6"/>
        </w:rPr>
        <w:t>The material scope ofthe GDPR under Article 2 applies to processing of personal data. The</w:t>
        <w:br/>
        <w:t>financial data of customers that is processed in the course ofthe Banking 365 service meets</w:t>
        <w:br/>
        <w:t>the definition for personal data under Article 4(1) GDPR.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2" w:name="bookmark12"/>
      <w:r>
        <w:rPr>
          <w:rStyle w:val="CharStyle19"/>
        </w:rPr>
        <w:t>E, Submissions in relation to the Draft Decision</w:t>
      </w:r>
      <w:bookmarkEnd w:id="12"/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31" w:val="left"/>
        </w:tabs>
        <w:bidi w:val="0"/>
        <w:spacing w:before="0"/>
        <w:ind w:left="720" w:right="0" w:hanging="7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333" w:right="1575" w:bottom="2333" w:left="1570" w:header="1905" w:footer="3" w:gutter="0"/>
          <w:cols w:space="720"/>
          <w:noEndnote/>
          <w:rtlGutter w:val="0"/>
          <w:docGrid w:linePitch="360"/>
        </w:sectPr>
      </w:pPr>
      <w:r>
        <w:rPr>
          <w:rStyle w:val="CharStyle6"/>
        </w:rPr>
        <w:t>The Draft Decision was provided to BOI on 25 November 2022, and BOI was requested to</w:t>
        <w:br/>
        <w:t>furnish any submissions it wished to make to the DPC. BOI furnished its submissions in respect</w:t>
        <w:br/>
        <w:t xml:space="preserve">ofthe Draft Decision on 21 December 2022 </w:t>
      </w:r>
      <w:r>
        <w:rPr>
          <w:rStyle w:val="CharStyle6"/>
          <w:b/>
          <w:bCs/>
        </w:rPr>
        <w:t xml:space="preserve">('BOI Submission 21 Dec 2022'). </w:t>
      </w:r>
      <w:r>
        <w:rPr>
          <w:rStyle w:val="CharStyle6"/>
        </w:rPr>
        <w:t>BOI stated that</w:t>
        <w:br/>
        <w:t>its submissions were in respect of the following areas: risk; methodology for assessment;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98" w:lineRule="auto"/>
        <w:ind w:left="740" w:right="0" w:firstLine="20"/>
        <w:jc w:val="both"/>
      </w:pPr>
      <w:r>
        <w:rPr>
          <w:rStyle w:val="CharStyle6"/>
          <w:color w:val="000000"/>
        </w:rPr>
        <w:t>likelihood of risk; severity of risk; testing, training and quality assurance; categorisation of</w:t>
        <w:br/>
        <w:t>BOI's actions as 'negligent; remedial actions; drafting and clarification points; and redaction.</w:t>
      </w:r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21" w:val="left"/>
        </w:tabs>
        <w:bidi w:val="0"/>
        <w:spacing w:before="0"/>
        <w:ind w:left="0" w:right="0" w:firstLine="0"/>
        <w:jc w:val="both"/>
      </w:pPr>
      <w:r>
        <w:rPr>
          <w:rStyle w:val="CharStyle6"/>
          <w:color w:val="000000"/>
        </w:rPr>
        <w:t>I have given full consideration to BOI's submissions in relation to the above mentioned points.</w:t>
      </w:r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21" w:val="left"/>
        </w:tabs>
        <w:bidi w:val="0"/>
        <w:spacing w:before="0" w:after="0"/>
        <w:ind w:left="0" w:right="0" w:firstLine="0"/>
        <w:jc w:val="both"/>
      </w:pPr>
      <w:r>
        <w:rPr>
          <w:rStyle w:val="CharStyle6"/>
          <w:color w:val="000000"/>
        </w:rPr>
        <w:t xml:space="preserve">BOI also states that the </w:t>
      </w:r>
      <w:r>
        <w:rPr>
          <w:rStyle w:val="CharStyle6"/>
          <w:i/>
          <w:iCs/>
          <w:color w:val="000000"/>
        </w:rPr>
        <w:t>"volume of data subjects using a particular access method does not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740" w:right="0" w:firstLine="20"/>
        <w:jc w:val="both"/>
      </w:pPr>
      <w:r>
        <w:rPr>
          <w:rStyle w:val="CharStyle6"/>
          <w:i/>
          <w:iCs/>
          <w:color w:val="000000"/>
        </w:rPr>
        <w:t>automatically increase the risks of processing activity using that method."</w:t>
      </w:r>
      <w:r>
        <w:rPr>
          <w:rStyle w:val="CharStyle6"/>
          <w:color w:val="000000"/>
        </w:rPr>
        <w:t xml:space="preserve"> However, the DPC</w:t>
        <w:br/>
        <w:t>position is that the more data subjects using a service, the more adverse impact there may</w:t>
        <w:br/>
        <w:t>be if a breach materialises as it may affect large numbers of users.The DPC agrees with BOI</w:t>
        <w:br/>
        <w:t>that other factors need to be taken into consideration, apart from the number of users but</w:t>
        <w:br/>
        <w:t>the DPC disagrees it follows from this that the risk is low. High risk is also assessed by reference</w:t>
        <w:br/>
        <w:t>to the type of personal data concerned and the context of the processing. In the context of</w:t>
        <w:br/>
        <w:t>this inquiry, the data in customer accounts are very sensitive.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4" w:name="bookmark14"/>
      <w:r>
        <w:rPr>
          <w:rStyle w:val="CharStyle19"/>
        </w:rPr>
        <w:t>F Issues for Determination</w:t>
      </w:r>
      <w:bookmarkEnd w:id="14"/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21" w:val="left"/>
        </w:tabs>
        <w:bidi w:val="0"/>
        <w:spacing w:before="0" w:line="298" w:lineRule="auto"/>
        <w:ind w:left="740" w:right="0" w:hanging="740"/>
        <w:jc w:val="both"/>
      </w:pPr>
      <w:r>
        <w:rPr>
          <w:rStyle w:val="CharStyle6"/>
          <w:color w:val="000000"/>
        </w:rPr>
        <w:t>Having reviewed the Issues Paper and the other relevant materials, I consider that the key</w:t>
        <w:br/>
        <w:t>issue in which I must make a decision is whether BOI has infringed Articles 5(l)(f) and 32 GDPR</w:t>
        <w:br/>
        <w:t>in respect of its processing of personal data via the Banking 365 Service.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6" w:name="bookmark16"/>
      <w:r>
        <w:rPr>
          <w:rStyle w:val="CharStyle19"/>
        </w:rPr>
        <w:t>G. Articles 511X0 and 32 GDPR</w:t>
      </w:r>
      <w:bookmarkEnd w:id="16"/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21" w:val="left"/>
        </w:tabs>
        <w:bidi w:val="0"/>
        <w:spacing w:before="0" w:line="298" w:lineRule="auto"/>
        <w:ind w:left="740" w:right="0" w:hanging="740"/>
        <w:jc w:val="both"/>
      </w:pPr>
      <w:r>
        <w:rPr>
          <w:rStyle w:val="CharStyle6"/>
          <w:color w:val="000000"/>
        </w:rPr>
        <w:t>Article 5(l)(f) GDPR provides for the principle of integrity and confidentiality. It requires that</w:t>
        <w:br/>
        <w:t>personal data shall be: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420" w:right="0" w:firstLine="0"/>
        <w:jc w:val="both"/>
      </w:pPr>
      <w:r>
        <w:rPr>
          <w:rStyle w:val="CharStyle6"/>
          <w:i/>
          <w:iCs/>
          <w:color w:val="000000"/>
        </w:rPr>
        <w:t>processed in a manner that ensures appropriate security of the personal data,</w:t>
        <w:br/>
        <w:t>including protection against unauthorised or unlawful processing and against</w:t>
        <w:br/>
        <w:t>accidental loss, destruction or damage, using appropriate technical or organisational</w:t>
        <w:br/>
        <w:t>measures.</w:t>
      </w:r>
    </w:p>
    <w:p>
      <w:pPr>
        <w:pStyle w:val="Style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21" w:val="left"/>
        </w:tabs>
        <w:bidi w:val="0"/>
        <w:spacing w:before="0"/>
        <w:ind w:left="0" w:right="0" w:firstLine="0"/>
        <w:jc w:val="left"/>
      </w:pPr>
      <w:r>
        <w:rPr>
          <w:rStyle w:val="CharStyle6"/>
          <w:color w:val="000000"/>
        </w:rPr>
        <w:t>Article 32(1) GDPR provides:</w:t>
      </w:r>
    </w:p>
    <w:p>
      <w:pPr>
        <w:pStyle w:val="Style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770" w:val="left"/>
        </w:tabs>
        <w:bidi w:val="0"/>
        <w:spacing w:before="0" w:line="298" w:lineRule="auto"/>
        <w:ind w:left="1420" w:right="0" w:firstLine="0"/>
        <w:jc w:val="both"/>
      </w:pPr>
      <w:r>
        <w:rPr>
          <w:rStyle w:val="CharStyle6"/>
          <w:i/>
          <w:iCs/>
          <w:color w:val="000000"/>
        </w:rPr>
        <w:t>Taking into account the state of the art, the costs of implementation and the</w:t>
        <w:br/>
        <w:t>nature, scope, context and purposes of processing as well as the risk of varying</w:t>
        <w:br/>
        <w:t>likelihood and severity for the rights and freedoms of natural persons, the controller</w:t>
        <w:br/>
        <w:t>and the processor shall implement appropriate technical and organisational measures</w:t>
        <w:br/>
        <w:t>to ensure a level of security appropriate to the risk, including inter alia as appropriate:</w:t>
      </w:r>
    </w:p>
    <w:p>
      <w:pPr>
        <w:pStyle w:val="Style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788" w:val="left"/>
        </w:tabs>
        <w:bidi w:val="0"/>
        <w:spacing w:before="0" w:after="0"/>
        <w:ind w:left="1420" w:right="0" w:firstLine="0"/>
        <w:jc w:val="left"/>
      </w:pPr>
      <w:r>
        <w:rPr>
          <w:rStyle w:val="CharStyle6"/>
          <w:i/>
          <w:iCs/>
          <w:color w:val="000000"/>
        </w:rPr>
        <w:t>the pseudonymisation and encryption of personal data;</w:t>
      </w:r>
    </w:p>
    <w:p>
      <w:pPr>
        <w:pStyle w:val="Style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783" w:val="left"/>
        </w:tabs>
        <w:bidi w:val="0"/>
        <w:spacing w:before="0" w:after="0"/>
        <w:ind w:left="1780" w:right="0" w:hanging="360"/>
        <w:jc w:val="both"/>
      </w:pPr>
      <w:r>
        <w:rPr>
          <w:rStyle w:val="CharStyle6"/>
          <w:i/>
          <w:iCs/>
          <w:color w:val="000000"/>
        </w:rPr>
        <w:t>the ability to ensure the ongoing confidentiality, integrity, availability and</w:t>
        <w:br/>
        <w:t>resilience of processing systems and services;</w:t>
      </w:r>
    </w:p>
    <w:p>
      <w:pPr>
        <w:pStyle w:val="Style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770" w:val="left"/>
        </w:tabs>
        <w:bidi w:val="0"/>
        <w:spacing w:before="0" w:after="0"/>
        <w:ind w:left="1780" w:right="0" w:hanging="360"/>
        <w:jc w:val="both"/>
      </w:pPr>
      <w:r>
        <w:rPr>
          <w:rStyle w:val="CharStyle6"/>
          <w:i/>
          <w:iCs/>
          <w:color w:val="000000"/>
        </w:rPr>
        <w:t>the ability to restore the availability and access to personal data in a timely</w:t>
        <w:br/>
        <w:t>manner in the event of a physical or technical incident;</w:t>
      </w:r>
    </w:p>
    <w:p>
      <w:pPr>
        <w:pStyle w:val="Style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783" w:val="left"/>
        </w:tabs>
        <w:bidi w:val="0"/>
        <w:spacing w:before="0"/>
        <w:ind w:left="1780" w:right="0" w:hanging="36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332" w:right="1569" w:bottom="2332" w:left="1574" w:header="1904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i/>
          <w:iCs/>
          <w:color w:val="000000"/>
        </w:rPr>
        <w:t>a process for regularly testing, assessing and evaluating the effectiveness of</w:t>
        <w:br/>
        <w:t>technical and organisational measures for ensuring the security of the processing.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In considering the technical and organisational measures that a controller or processor must</w:t>
        <w:br/>
        <w:t>implement, regard must be had to a risk assessment concerning the rights and freedoms of</w:t>
        <w:br/>
        <w:t>natural persons, the state of the art, the costs of implementation, and the nature, scope,</w:t>
        <w:br/>
        <w:t>context and purposes of the processing.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line="298" w:lineRule="auto"/>
        <w:ind w:left="0" w:right="0" w:firstLine="0"/>
        <w:jc w:val="left"/>
      </w:pPr>
      <w:r>
        <w:rPr>
          <w:rStyle w:val="CharStyle6"/>
        </w:rPr>
        <w:t>Article 32(2) GDPR provides: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460" w:right="0" w:firstLine="40"/>
        <w:jc w:val="both"/>
      </w:pPr>
      <w:r>
        <w:rPr>
          <w:rStyle w:val="CharStyle6"/>
          <w:i/>
          <w:iCs/>
        </w:rPr>
        <w:t>In assessing the appropriate level of security account shall be taken in particular of the</w:t>
        <w:br/>
        <w:t>risks that are presented by processing, in particular from accidental or unlawful</w:t>
        <w:br/>
        <w:t>destruction, loss, alteration, unauthorised disclosure of, or access to personal data</w:t>
        <w:br/>
        <w:t>transmitted, stored or otherwise processed.</w:t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left"/>
      </w:pPr>
      <w:r>
        <w:rPr>
          <w:rStyle w:val="CharStyle27"/>
          <w:color w:val="9DB7C1"/>
          <w:u w:val="none"/>
        </w:rPr>
        <w:t xml:space="preserve">a} </w:t>
      </w:r>
      <w:r>
        <w:rPr>
          <w:rStyle w:val="CharStyle27"/>
          <w:color w:val="9DB7C1"/>
        </w:rPr>
        <w:t xml:space="preserve">Assessment of </w:t>
      </w:r>
      <w:r>
        <w:rPr>
          <w:rStyle w:val="CharStyle27"/>
        </w:rPr>
        <w:t xml:space="preserve">the </w:t>
      </w:r>
      <w:r>
        <w:rPr>
          <w:rStyle w:val="CharStyle27"/>
          <w:color w:val="9DB7C1"/>
        </w:rPr>
        <w:t>Risks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line="298" w:lineRule="auto"/>
        <w:ind w:left="780" w:right="0" w:hanging="780"/>
        <w:jc w:val="both"/>
      </w:pPr>
      <w:r>
        <w:rPr>
          <w:rStyle w:val="CharStyle6"/>
        </w:rPr>
        <w:t>The level of security that controllers and processors are obliged to implement must be</w:t>
        <w:br/>
        <w:t>appropriate to the risk posed to the rights and freedoms of natural persons by the processing.</w:t>
        <w:br/>
        <w:t>Regarding BOI's processing of personal data on the Banking 365 platform, those risks include</w:t>
        <w:br/>
        <w:t>the risk of unauthorised access and unauthorised disclosure of personal data to third parties</w:t>
        <w:br/>
        <w:t>of personal data processed within the platform.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line="298" w:lineRule="auto"/>
        <w:ind w:left="0" w:right="0" w:firstLine="0"/>
        <w:jc w:val="left"/>
      </w:pPr>
      <w:r>
        <w:rPr>
          <w:rStyle w:val="CharStyle6"/>
        </w:rPr>
        <w:t>Recital 76 GDPR provides guidance as to how risk should be evaluated: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98" w:lineRule="auto"/>
        <w:ind w:left="1440" w:right="0" w:firstLine="60"/>
        <w:jc w:val="both"/>
      </w:pPr>
      <w:r>
        <w:rPr>
          <w:rStyle w:val="CharStyle6"/>
          <w:i/>
          <w:iCs/>
        </w:rPr>
        <w:t>The likelihood and severity of the risk to the rights and freedoms of the data subject</w:t>
        <w:br/>
        <w:t>should be determined by reference to the nature, scope, context and purposes of the</w:t>
        <w:br/>
        <w:t>processing. Risk should be evaluated on the basis of an objective assessment, by which</w:t>
        <w:br/>
        <w:t>it is established whether data processing operations involve a risk or a high risk.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line="298" w:lineRule="auto"/>
        <w:ind w:left="720" w:right="0" w:hanging="720"/>
        <w:jc w:val="both"/>
      </w:pPr>
      <w:r>
        <w:rPr>
          <w:rStyle w:val="CharStyle6"/>
        </w:rPr>
        <w:t>It is necessary to carry out an objective assessment of the risks presented by the processing</w:t>
        <w:br/>
        <w:t>to determine the appropriate level of security. Risk must be assessed by reference to (i) the</w:t>
        <w:br/>
        <w:t>likelihood of the risk, and (ii) the severity of the risk to the rights and freedoms of natural</w:t>
        <w:br/>
        <w:t>persons. Hence, the risk assessment for the Banking365 process must consider, first, the</w:t>
        <w:br/>
        <w:t>likelihood of unauthorised access to, or disclosure of, customers' accounts online, and second,</w:t>
        <w:br/>
        <w:t>the severity of that risk in respect of the rights and freedoms of the data subjects. These</w:t>
        <w:br/>
        <w:t>objective assessments should have been made by reference to the nature, scope, context and</w:t>
        <w:br/>
        <w:t>purposes of the processing.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/>
        <w:ind w:left="720" w:right="0" w:hanging="7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395" w:right="1546" w:bottom="2176" w:left="1546" w:header="1967" w:footer="3" w:gutter="0"/>
          <w:cols w:space="720"/>
          <w:noEndnote/>
          <w:rtlGutter w:val="0"/>
          <w:docGrid w:linePitch="360"/>
        </w:sectPr>
      </w:pPr>
      <w:r>
        <w:rPr>
          <w:rStyle w:val="CharStyle6"/>
        </w:rPr>
        <w:t>The key risk arising from this processing of customers' personal data on the Banking365 app</w:t>
        <w:br/>
        <w:t>was that an unauthorised person would gain access to a customer's account and/or be able</w:t>
        <w:br/>
        <w:t>to use any or all of the elements of the service listed below. This would result in a high risk of</w:t>
        <w:br/>
        <w:t xml:space="preserve">fraud and/or identity theft. BOI states </w:t>
      </w:r>
      <w:r>
        <w:rPr>
          <w:rStyle w:val="CharStyle6"/>
          <w:i/>
          <w:iCs/>
        </w:rPr>
        <w:t>"there has never been an instance of fraud or identity</w:t>
        <w:br/>
        <w:t>theft arising from these types of events”</w:t>
      </w:r>
      <w:r>
        <w:rPr>
          <w:rStyle w:val="CharStyle6"/>
          <w:i/>
          <w:iCs/>
          <w:vertAlign w:val="superscript"/>
        </w:rPr>
        <w:footnoteReference w:id="12"/>
      </w:r>
      <w:r>
        <w:rPr>
          <w:rStyle w:val="CharStyle6"/>
        </w:rPr>
        <w:t xml:space="preserve"> and therefore, </w:t>
      </w:r>
      <w:r>
        <w:rPr>
          <w:rStyle w:val="CharStyle6"/>
          <w:i/>
          <w:iCs/>
        </w:rPr>
        <w:t>"it appears that the risk of fraud</w:t>
        <w:br/>
        <w:t>and/or identity theft is a potential harm".</w:t>
      </w:r>
      <w:r>
        <w:rPr>
          <w:rStyle w:val="CharStyle6"/>
          <w:i/>
          <w:iCs/>
          <w:vertAlign w:val="superscript"/>
        </w:rPr>
        <w:footnoteReference w:id="13"/>
      </w:r>
      <w:r>
        <w:rPr>
          <w:rStyle w:val="CharStyle6"/>
        </w:rPr>
        <w:t xml:space="preserve"> However, the fact that a risk has not yet</w:t>
        <w:br/>
        <w:t>materialised as a harm, as far as BOI is aware, does not reduce the severity of the risk itself.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307" w:lineRule="auto"/>
        <w:ind w:left="720" w:right="0" w:firstLine="40"/>
        <w:jc w:val="both"/>
      </w:pPr>
      <w:r>
        <w:rPr>
          <w:rStyle w:val="CharStyle6"/>
          <w:color w:val="000000"/>
        </w:rPr>
        <w:t>In fact, risk is not gauged after the event, but rather by reference to conditions before the risk</w:t>
        <w:br/>
        <w:t>event materialised.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after="180" w:line="302" w:lineRule="auto"/>
        <w:ind w:left="720" w:right="0" w:hanging="720"/>
        <w:jc w:val="both"/>
      </w:pPr>
      <w:r>
        <w:rPr>
          <w:rStyle w:val="CharStyle6"/>
          <w:color w:val="000000"/>
        </w:rPr>
        <w:t>The risks of fraud and identity theft would severely undermine a customer's relationship with</w:t>
        <w:br/>
        <w:t>the bank as the relationship is premised on the agreement the bank will ensure the customers'</w:t>
        <w:br/>
        <w:t>monies are secure and safe. In addition, the risks posed to vulnerable users are particularly</w:t>
        <w:br/>
        <w:t>high. Such persons may lack the capacity to realise they have been subject to fraud or financial</w:t>
        <w:br/>
        <w:t>theft.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  <w:color w:val="000000"/>
        </w:rPr>
        <w:t>In addition, the Banking365 app was offered as an access method for the majority ofthe</w:t>
        <w:br/>
        <w:t>customer base and therefore, any breach that would occur would have potential adverse</w:t>
        <w:br/>
        <w:t>impacts across a large user base.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after="180" w:line="302" w:lineRule="auto"/>
        <w:ind w:left="720" w:right="0" w:hanging="720"/>
        <w:jc w:val="both"/>
      </w:pPr>
      <w:r>
        <w:rPr>
          <w:rStyle w:val="CharStyle6"/>
          <w:color w:val="000000"/>
        </w:rPr>
        <w:t>Regarding how BOI evaluated the risk arising in respect of the security of personal data and,</w:t>
        <w:br/>
        <w:t>in particular, the risk arising from how BOI provided access to the Banking 365 platform, BOI</w:t>
        <w:br/>
        <w:t>stated that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262" w:lineRule="auto"/>
        <w:ind w:left="1420" w:right="0" w:firstLine="20"/>
        <w:jc w:val="both"/>
      </w:pPr>
      <w:r>
        <w:rPr>
          <w:rStyle w:val="CharStyle6"/>
          <w:i/>
          <w:iCs/>
          <w:color w:val="000000"/>
        </w:rPr>
        <w:t>Bank of Ireland ('the Bank') manages its exposure to a multitude of risks which arise in</w:t>
        <w:br/>
        <w:t>the course of its business (including data protection and information security) in line</w:t>
        <w:br/>
        <w:t>with the Bank's Risk Management Framework. This Risk Management Framework</w:t>
        <w:br/>
        <w:t>outlines the expectations of Business Units within the Bank when managing risk,</w:t>
        <w:br/>
        <w:t>including any associated elements such as data breaches and technical/organisational</w:t>
        <w:br/>
        <w:t>control measures.</w:t>
      </w:r>
      <w:r>
        <w:rPr>
          <w:rStyle w:val="CharStyle6"/>
          <w:i/>
          <w:iCs/>
          <w:color w:val="000000"/>
          <w:vertAlign w:val="superscript"/>
        </w:rPr>
        <w:footnoteReference w:id="14"/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after="180"/>
        <w:ind w:left="0" w:right="0" w:firstLine="0"/>
        <w:jc w:val="both"/>
      </w:pPr>
      <w:r>
        <w:rPr>
          <w:rStyle w:val="CharStyle6"/>
          <w:color w:val="000000"/>
        </w:rPr>
        <w:t>BOI also stated that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262" w:lineRule="auto"/>
        <w:ind w:left="1420" w:right="0" w:firstLine="20"/>
        <w:jc w:val="both"/>
      </w:pPr>
      <w:r>
        <w:rPr>
          <w:rStyle w:val="CharStyle6"/>
          <w:i/>
          <w:iCs/>
          <w:color w:val="000000"/>
        </w:rPr>
        <w:t>Risks and controls are subject to cyclical reviews, the frequency of which is dependent</w:t>
        <w:br/>
        <w:t>on the severity and likelihood of the risk. Changes in processes or the introduction of</w:t>
        <w:br/>
        <w:t>new services may also give rise to a risk rating review.</w:t>
      </w:r>
      <w:r>
        <w:rPr>
          <w:rStyle w:val="CharStyle6"/>
          <w:i/>
          <w:iCs/>
          <w:color w:val="000000"/>
          <w:vertAlign w:val="superscript"/>
        </w:rPr>
        <w:footnoteReference w:id="15"/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  <w:color w:val="000000"/>
        </w:rPr>
        <w:t>BOI processes a vast quantity of personal data on the Banking 365 platform in respect of a</w:t>
        <w:br/>
        <w:t>significant number of data subjects. The personal data processed by BOI via Banking 365</w:t>
        <w:br/>
        <w:t>includes, among other things, customers' account balance, information about transactions,</w:t>
        <w:br/>
        <w:t>setting up or viewing standing orders, funds transfer and payments to other designated</w:t>
        <w:br/>
        <w:t>accounts, bill payment and requesting account statements for current, savings and loan</w:t>
        <w:br/>
        <w:t>accounts.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after="180"/>
        <w:ind w:left="720" w:right="0" w:hanging="7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434" w:right="1605" w:bottom="2402" w:left="1539" w:header="2006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color w:val="000000"/>
        </w:rPr>
        <w:t>The purpose of the processing was determined by BOI in order to enhance customer</w:t>
        <w:br/>
        <w:t>experience. The key elements of the service provided by Banking365 include enabling</w:t>
        <w:br/>
        <w:t>customers to access account balance, get information about their transactions, set up or view</w:t>
        <w:br/>
        <w:t>standing orders, carry out cheque searches, transfer funds and make payments, pay bills,</w:t>
        <w:br/>
        <w:t>request account statements, top-up mobile phones, register and view other BOI accounts,</w:t>
        <w:br/>
        <w:t>view recent credit card transactions, customise current account transaction history on screen,</w:t>
        <w:br/>
        <w:t>show policy details, along with any additional services outlined in future terms and conditions</w:t>
        <w:br/>
        <w:t>and any other or future services that BOI may develop or introduce.</w:t>
      </w:r>
      <w:r>
        <w:rPr>
          <w:rStyle w:val="CharStyle6"/>
          <w:color w:val="000000"/>
          <w:vertAlign w:val="superscript"/>
        </w:rPr>
        <w:footnoteReference w:id="16"/>
      </w:r>
      <w:r>
        <w:rPr>
          <w:rStyle w:val="CharStyle6"/>
          <w:color w:val="000000"/>
        </w:rPr>
        <w:t xml:space="preserve"> The potential risks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307" w:lineRule="auto"/>
        <w:ind w:left="740" w:right="0" w:firstLine="40"/>
        <w:jc w:val="both"/>
      </w:pPr>
      <w:r>
        <w:rPr>
          <w:rStyle w:val="CharStyle6"/>
        </w:rPr>
        <w:t>associated with unauthorised persons being able to access and use another user's account</w:t>
        <w:br/>
        <w:t>include identity theft, fraud and financial loss.</w:t>
      </w:r>
      <w:r>
        <w:rPr>
          <w:rStyle w:val="CharStyle6"/>
          <w:vertAlign w:val="superscript"/>
        </w:rPr>
        <w:footnoteReference w:id="17"/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/>
        <w:ind w:left="740" w:right="0" w:hanging="740"/>
        <w:jc w:val="both"/>
      </w:pPr>
      <w:r>
        <w:rPr>
          <w:rStyle w:val="CharStyle6"/>
        </w:rPr>
        <w:t>I find that BOI's processing of personal data on the Banking 365 platform creates a high risk</w:t>
        <w:br/>
        <w:t>to the rights and freedoms of natural persons in terms of severity. I acknowledge BOI's</w:t>
        <w:br/>
        <w:t>submissionsthat their assessment of the risk was low for the following reasons - the problems</w:t>
        <w:br/>
        <w:t>being swiftly remediated on BOI's part, there not being a deliberate attempt at fraud and</w:t>
        <w:br/>
      </w:r>
      <w:r>
        <w:rPr>
          <w:rStyle w:val="CharStyle6"/>
          <w:i/>
          <w:iCs/>
        </w:rPr>
        <w:t>"there is often a connection between the individuals involved (e.g. same name, familial</w:t>
        <w:br/>
        <w:t>relationship).”</w:t>
      </w:r>
      <w:r>
        <w:rPr>
          <w:rStyle w:val="CharStyle6"/>
          <w:i/>
          <w:iCs/>
          <w:vertAlign w:val="superscript"/>
        </w:rPr>
        <w:footnoteReference w:id="18"/>
      </w:r>
      <w:r>
        <w:rPr>
          <w:rStyle w:val="CharStyle6"/>
        </w:rPr>
        <w:t xml:space="preserve"> However, the risk of identity theft, fraud, financial loss and other potential</w:t>
        <w:br/>
        <w:t xml:space="preserve">harm pertained in every case. I have also considered BOI's submission that </w:t>
      </w:r>
      <w:r>
        <w:rPr>
          <w:rStyle w:val="CharStyle6"/>
          <w:i/>
          <w:iCs/>
        </w:rPr>
        <w:t>"the likelihood of</w:t>
        <w:br/>
        <w:t>the risk of the issue arising is low by reference to the size of the customer base”</w:t>
      </w:r>
      <w:r>
        <w:rPr>
          <w:rStyle w:val="CharStyle6"/>
          <w:i/>
          <w:iCs/>
          <w:vertAlign w:val="superscript"/>
        </w:rPr>
        <w:t>15</w:t>
      </w:r>
      <w:r>
        <w:rPr>
          <w:rStyle w:val="CharStyle6"/>
        </w:rPr>
        <w:t xml:space="preserve"> I do not</w:t>
        <w:br/>
        <w:t>accept this point particularly in light of the 9 year algorithm and the potential for over-merging</w:t>
        <w:br/>
        <w:t>of accounts. I therefore find the likelihood to be moderate in those circumstances.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740"/>
        <w:jc w:val="left"/>
      </w:pPr>
      <w:r>
        <w:rPr>
          <w:rStyle w:val="CharStyle6"/>
          <w:u w:val="single"/>
        </w:rPr>
        <w:t>Security Measures Implemented by BOI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/>
        <w:ind w:left="740" w:right="0" w:hanging="740"/>
        <w:jc w:val="both"/>
      </w:pPr>
      <w:r>
        <w:rPr>
          <w:rStyle w:val="CharStyle6"/>
        </w:rPr>
        <w:t>BOI's submissions outlined the technical and organisational measures that it had in place at</w:t>
        <w:br/>
        <w:t>the time of the personal data breaches in order to ensure the ongoing confidentiality and</w:t>
        <w:br/>
        <w:t>integrity of the processing of personal data on the Banking 365 platform. These measures can</w:t>
        <w:br/>
        <w:t>be categorised within the areas of scope specified in the Commencement letter as follows:</w:t>
      </w:r>
    </w:p>
    <w:p>
      <w:pPr>
        <w:pStyle w:val="Style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2012" w:val="left"/>
        </w:tabs>
        <w:bidi w:val="0"/>
        <w:spacing w:before="0" w:after="0"/>
        <w:ind w:left="1440" w:right="0" w:firstLine="0"/>
        <w:jc w:val="left"/>
      </w:pPr>
      <w:r>
        <w:rPr>
          <w:rStyle w:val="CharStyle6"/>
        </w:rPr>
        <w:t>Data protection governance</w:t>
      </w:r>
    </w:p>
    <w:p>
      <w:pPr>
        <w:pStyle w:val="Style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2012" w:val="left"/>
          <w:tab w:pos="4080" w:val="right"/>
        </w:tabs>
        <w:bidi w:val="0"/>
        <w:spacing w:before="0" w:after="0"/>
        <w:ind w:left="1440" w:right="0" w:firstLine="0"/>
        <w:jc w:val="left"/>
      </w:pPr>
      <w:r>
        <w:rPr>
          <w:rStyle w:val="CharStyle6"/>
        </w:rPr>
        <w:t>Training</w:t>
        <w:tab/>
        <w:t>and awareness</w:t>
      </w:r>
    </w:p>
    <w:p>
      <w:pPr>
        <w:pStyle w:val="Style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2012" w:val="left"/>
          <w:tab w:pos="4080" w:val="right"/>
        </w:tabs>
        <w:bidi w:val="0"/>
        <w:spacing w:before="0" w:after="0"/>
        <w:ind w:left="1440" w:right="0" w:firstLine="0"/>
        <w:jc w:val="left"/>
      </w:pPr>
      <w:r>
        <w:rPr>
          <w:rStyle w:val="CharStyle6"/>
        </w:rPr>
        <w:t>Records</w:t>
        <w:tab/>
        <w:t>management</w:t>
      </w:r>
    </w:p>
    <w:p>
      <w:pPr>
        <w:pStyle w:val="Style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2012" w:val="left"/>
          <w:tab w:pos="4267" w:val="right"/>
        </w:tabs>
        <w:bidi w:val="0"/>
        <w:spacing w:before="0"/>
        <w:ind w:left="1440" w:right="0" w:firstLine="0"/>
        <w:jc w:val="left"/>
      </w:pPr>
      <w:r>
        <w:rPr>
          <w:rStyle w:val="CharStyle6"/>
        </w:rPr>
        <w:t>Security</w:t>
        <w:tab/>
        <w:t>of personal data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400"/>
        <w:jc w:val="left"/>
      </w:pPr>
      <w:r>
        <w:rPr>
          <w:rStyle w:val="CharStyle6"/>
          <w:i/>
          <w:iCs/>
          <w:u w:val="single"/>
        </w:rPr>
        <w:t>(a} Data protection governance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648" w:val="left"/>
        </w:tabs>
        <w:bidi w:val="0"/>
        <w:spacing w:before="0" w:line="302" w:lineRule="auto"/>
        <w:ind w:left="740" w:right="0" w:hanging="740"/>
        <w:jc w:val="both"/>
      </w:pPr>
      <w:r>
        <w:rPr>
          <w:rStyle w:val="CharStyle6"/>
        </w:rPr>
        <w:t>BOI outlined that it had a range of policies and procedures in relation to data protection</w:t>
        <w:br/>
        <w:t>including the following operating procedures-</w:t>
      </w:r>
    </w:p>
    <w:p>
      <w:pPr>
        <w:pStyle w:val="Style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05" w:val="left"/>
        </w:tabs>
        <w:bidi w:val="0"/>
        <w:spacing w:before="0" w:after="60" w:line="240" w:lineRule="auto"/>
        <w:ind w:left="1440" w:right="0" w:firstLine="0"/>
        <w:jc w:val="left"/>
      </w:pPr>
      <w:r>
        <w:rPr>
          <w:rStyle w:val="CharStyle6"/>
        </w:rPr>
        <w:t>Banking Service Desk Procedures</w:t>
      </w:r>
      <w:r>
        <w:rPr>
          <w:rStyle w:val="CharStyle6"/>
          <w:vertAlign w:val="superscript"/>
        </w:rPr>
        <w:footnoteReference w:id="19"/>
      </w:r>
    </w:p>
    <w:p>
      <w:pPr>
        <w:pStyle w:val="Style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05" w:val="left"/>
        </w:tabs>
        <w:bidi w:val="0"/>
        <w:spacing w:before="0" w:after="60" w:line="240" w:lineRule="auto"/>
        <w:ind w:left="1440" w:right="0" w:firstLine="0"/>
        <w:jc w:val="left"/>
      </w:pPr>
      <w:r>
        <w:rPr>
          <w:rStyle w:val="CharStyle6"/>
        </w:rPr>
        <w:t>The Business Operating Procedures - Account Conversion Procedure</w:t>
      </w:r>
      <w:r>
        <w:rPr>
          <w:rStyle w:val="CharStyle6"/>
          <w:vertAlign w:val="superscript"/>
        </w:rPr>
        <w:footnoteReference w:id="20"/>
      </w:r>
    </w:p>
    <w:p>
      <w:pPr>
        <w:pStyle w:val="Style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05" w:val="left"/>
        </w:tabs>
        <w:bidi w:val="0"/>
        <w:spacing w:before="0" w:after="60" w:line="240" w:lineRule="auto"/>
        <w:ind w:left="1440" w:right="0" w:firstLine="0"/>
        <w:jc w:val="left"/>
      </w:pPr>
      <w:r>
        <w:rPr>
          <w:rStyle w:val="CharStyle6"/>
        </w:rPr>
        <w:t>Customer Confidentiality/Verification</w:t>
      </w:r>
      <w:r>
        <w:rPr>
          <w:rStyle w:val="CharStyle6"/>
          <w:vertAlign w:val="superscript"/>
        </w:rPr>
        <w:footnoteReference w:id="21"/>
      </w:r>
    </w:p>
    <w:p>
      <w:pPr>
        <w:pStyle w:val="Style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05" w:val="left"/>
        </w:tabs>
        <w:bidi w:val="0"/>
        <w:spacing w:before="0" w:after="260" w:line="240" w:lineRule="auto"/>
        <w:ind w:left="1440" w:right="0" w:firstLine="0"/>
        <w:jc w:val="left"/>
      </w:pPr>
      <w:r>
        <w:rPr>
          <w:rStyle w:val="CharStyle6"/>
        </w:rPr>
        <w:t>Customer Confidentiality Service Standards</w:t>
      </w:r>
      <w:r>
        <w:rPr>
          <w:rStyle w:val="CharStyle6"/>
          <w:vertAlign w:val="superscript"/>
        </w:rPr>
        <w:footnoteReference w:id="22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302" w:lineRule="auto"/>
        <w:ind w:left="740" w:right="0" w:hanging="20"/>
        <w:jc w:val="both"/>
        <w:rPr>
          <w:sz w:val="44"/>
          <w:szCs w:val="44"/>
        </w:rPr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371" w:right="1579" w:bottom="2371" w:left="1536" w:header="1943" w:footer="3" w:gutter="0"/>
          <w:cols w:space="720"/>
          <w:noEndnote/>
          <w:rtlGutter w:val="0"/>
          <w:docGrid w:linePitch="360"/>
        </w:sectPr>
      </w:pPr>
      <w:r>
        <w:rPr>
          <w:rStyle w:val="CharStyle6"/>
        </w:rPr>
        <w:t>(Section 6.2.7 of the Banking Service Desk Procedures outlines the steps a staff member should</w:t>
        <w:br/>
        <w:t xml:space="preserve">take to </w:t>
      </w:r>
      <w:r>
        <w:rPr>
          <w:rStyle w:val="CharStyle6"/>
          <w:i/>
          <w:iCs/>
        </w:rPr>
        <w:t>"register an account for a 365 digital channel"}</w:t>
      </w:r>
      <w:r>
        <w:rPr>
          <w:rStyle w:val="CharStyle6"/>
          <w:i/>
          <w:iCs/>
          <w:vertAlign w:val="superscript"/>
        </w:rPr>
        <w:t>5</w:t>
      </w:r>
      <w:r>
        <w:rPr>
          <w:rStyle w:val="CharStyle6"/>
          <w:sz w:val="44"/>
          <w:szCs w:val="44"/>
        </w:rPr>
        <w:t>1</w:t>
      </w:r>
    </w:p>
    <w:p>
      <w:pPr>
        <w:pStyle w:val="Style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740" w:val="left"/>
        </w:tabs>
        <w:bidi w:val="0"/>
        <w:spacing w:before="0" w:after="800" w:line="302" w:lineRule="auto"/>
        <w:ind w:left="740" w:right="0" w:hanging="740"/>
        <w:jc w:val="both"/>
      </w:pPr>
      <w:r>
        <w:rPr>
          <w:rStyle w:val="CharStyle6"/>
          <w:color w:val="000000"/>
        </w:rPr>
        <w:t>Section 7.3</w:t>
      </w:r>
      <w:r>
        <w:rPr>
          <w:rStyle w:val="CharStyle6"/>
          <w:color w:val="000000"/>
          <w:vertAlign w:val="superscript"/>
        </w:rPr>
        <w:footnoteReference w:id="23"/>
      </w:r>
      <w:r>
        <w:rPr>
          <w:rStyle w:val="CharStyle6"/>
          <w:color w:val="000000"/>
        </w:rPr>
        <w:t xml:space="preserve"> of the Banking Service Desk Procedure outlines how an adviser can add credit</w:t>
        <w:br/>
        <w:t>card accounts to the Banking 365 platform. ||</w:t>
      </w:r>
    </w:p>
    <w:p>
      <w:pPr>
        <w:pStyle w:val="Style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740" w:val="left"/>
        </w:tabs>
        <w:bidi w:val="0"/>
        <w:spacing w:before="0" w:after="180" w:line="302" w:lineRule="auto"/>
        <w:ind w:left="740" w:right="0" w:hanging="740"/>
        <w:jc w:val="both"/>
      </w:pPr>
      <w:r>
        <w:rPr>
          <w:rStyle w:val="CharStyle6"/>
          <w:color w:val="000000"/>
        </w:rPr>
        <w:t>In addition, BOI issued a 'Must Read memo' on 9 March 2020 (prior to this breach) reminding</w:t>
        <w:br/>
        <w:t>staff that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6"/>
          <w:i/>
          <w:iCs/>
          <w:color w:val="000000"/>
        </w:rPr>
        <w:t>There are very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266" w:lineRule="auto"/>
        <w:ind w:left="1400" w:right="0" w:firstLine="40"/>
        <w:jc w:val="both"/>
      </w:pPr>
      <w:r>
        <w:rPr>
          <w:rStyle w:val="CharStyle6"/>
          <w:i/>
          <w:iCs/>
          <w:color w:val="000000"/>
        </w:rPr>
        <w:t>clear guidelines on ledger title structure in the BOP and these should be followed to</w:t>
        <w:br/>
        <w:t>the letter...</w:t>
      </w:r>
      <w:r>
        <w:rPr>
          <w:rStyle w:val="CharStyle6"/>
          <w:i/>
          <w:iCs/>
          <w:color w:val="000000"/>
          <w:vertAlign w:val="superscript"/>
        </w:rPr>
        <w:footnoteReference w:id="24"/>
      </w:r>
    </w:p>
    <w:p>
      <w:pPr>
        <w:pStyle w:val="Style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701" w:val="left"/>
        </w:tabs>
        <w:bidi w:val="0"/>
        <w:spacing w:before="0" w:after="180"/>
        <w:ind w:left="0" w:right="0" w:firstLine="340"/>
        <w:jc w:val="left"/>
      </w:pPr>
      <w:r>
        <w:rPr>
          <w:rStyle w:val="CharStyle6"/>
          <w:i/>
          <w:iCs/>
          <w:color w:val="000000"/>
          <w:u w:val="single"/>
        </w:rPr>
        <w:t>Training and Awareness</w:t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740" w:val="left"/>
        </w:tabs>
        <w:bidi w:val="0"/>
        <w:spacing w:before="0" w:after="180"/>
        <w:ind w:left="740" w:right="0" w:hanging="740"/>
        <w:jc w:val="both"/>
      </w:pPr>
      <w:r>
        <w:rPr>
          <w:rStyle w:val="CharStyle6"/>
          <w:color w:val="000000"/>
        </w:rPr>
        <w:t>BOI stated that risk event and reporting training was completed by all advisers in October</w:t>
        <w:br/>
        <w:t>2019 by way of an audio training module.</w:t>
      </w:r>
      <w:r>
        <w:rPr>
          <w:rStyle w:val="CharStyle6"/>
          <w:color w:val="000000"/>
          <w:vertAlign w:val="superscript"/>
        </w:rPr>
        <w:footnoteReference w:id="25"/>
      </w:r>
      <w:r>
        <w:rPr>
          <w:rStyle w:val="CharStyle6"/>
          <w:color w:val="000000"/>
        </w:rPr>
        <w:t xml:space="preserve"> In this training, the primary theme was how to</w:t>
        <w:br/>
        <w:t>identify different types of operational risk and what channels staff should use to correctly</w:t>
        <w:br/>
        <w:t xml:space="preserve">report those risk events </w:t>
      </w:r>
      <w:r>
        <w:rPr>
          <w:rStyle w:val="CharStyle6"/>
          <w:i/>
          <w:iCs/>
          <w:color w:val="000000"/>
        </w:rPr>
        <w:t>after</w:t>
      </w:r>
      <w:r>
        <w:rPr>
          <w:rStyle w:val="CharStyle6"/>
          <w:color w:val="000000"/>
        </w:rPr>
        <w:t xml:space="preserve"> they have arisen. The risk event and reporting training includes</w:t>
        <w:br/>
        <w:t>only a brief reference to the merging of client account data.</w:t>
      </w:r>
      <w:r>
        <w:rPr>
          <w:rStyle w:val="CharStyle6"/>
          <w:color w:val="000000"/>
          <w:vertAlign w:val="superscript"/>
        </w:rPr>
        <w:footnoteReference w:id="26"/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740" w:val="left"/>
        </w:tabs>
        <w:bidi w:val="0"/>
        <w:spacing w:before="0" w:after="180" w:line="298" w:lineRule="auto"/>
        <w:ind w:left="740" w:right="0" w:hanging="740"/>
        <w:jc w:val="both"/>
      </w:pPr>
      <w:r>
        <w:rPr>
          <w:rStyle w:val="CharStyle6"/>
          <w:color w:val="000000"/>
        </w:rPr>
        <w:t xml:space="preserve">BOI also stated that a </w:t>
      </w:r>
      <w:r>
        <w:rPr>
          <w:rStyle w:val="CharStyle6"/>
          <w:i/>
          <w:iCs/>
          <w:color w:val="000000"/>
        </w:rPr>
        <w:t>'Reducing Errors Webinar and Workbook</w:t>
      </w:r>
      <w:r>
        <w:rPr>
          <w:rStyle w:val="CharStyle6"/>
          <w:i/>
          <w:iCs/>
          <w:color w:val="000000"/>
          <w:vertAlign w:val="superscript"/>
        </w:rPr>
        <w:t>1</w:t>
      </w:r>
      <w:r>
        <w:rPr>
          <w:rStyle w:val="CharStyle6"/>
          <w:color w:val="000000"/>
        </w:rPr>
        <w:t xml:space="preserve"> was delivered over four weeks</w:t>
        <w:br/>
        <w:t>in November-December 2019.</w:t>
      </w:r>
      <w:r>
        <w:rPr>
          <w:rStyle w:val="CharStyle6"/>
          <w:color w:val="000000"/>
          <w:vertAlign w:val="superscript"/>
        </w:rPr>
        <w:footnoteReference w:id="27"/>
      </w:r>
      <w:r>
        <w:rPr>
          <w:rStyle w:val="CharStyle6"/>
          <w:color w:val="000000"/>
        </w:rPr>
        <w:t xml:space="preserve"> This training was designed to highlight the need to reduce</w:t>
        <w:br/>
        <w:t>manual errors when dealing with customer information; however, the module does not make</w:t>
        <w:br/>
        <w:t>any specific reference to the GDPR or the Data Protection Act 2018.</w:t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740" w:val="left"/>
        </w:tabs>
        <w:bidi w:val="0"/>
        <w:spacing w:before="0" w:after="180"/>
        <w:ind w:left="740" w:right="0" w:hanging="740"/>
        <w:jc w:val="both"/>
      </w:pPr>
      <w:r>
        <w:rPr>
          <w:rStyle w:val="CharStyle6"/>
          <w:color w:val="000000"/>
        </w:rPr>
        <w:t>According to BOI, detailed Service Contact Centre Procedures are provided to staff who work</w:t>
        <w:br/>
        <w:t>in the customer contact centre. These procedures highlight the steps to be undertaken to</w:t>
        <w:br/>
        <w:t>ensure Banking 365 Online customers are correctly verified. Following the breaches, refresher</w:t>
        <w:br/>
        <w:t>training was provided to staff on the relevant procedures in order to reduce the risk of errors</w:t>
        <w:br/>
        <w:t>occurring. Risk focus memos were also issued to all Branch Network staff, reminding them of</w:t>
        <w:br/>
        <w:t>the procedures for amending customer data.</w:t>
      </w:r>
      <w:r>
        <w:rPr>
          <w:rStyle w:val="CharStyle6"/>
          <w:color w:val="000000"/>
          <w:vertAlign w:val="superscript"/>
        </w:rPr>
        <w:footnoteReference w:id="28"/>
      </w:r>
      <w:r>
        <w:rPr>
          <w:rStyle w:val="CharStyle6"/>
          <w:color w:val="000000"/>
        </w:rPr>
        <w:t xml:space="preserve"> Data protection training and error related</w:t>
        <w:br/>
        <w:t>training was provided for advisers working in 'Direct Customer Contact' centres in the twelve</w:t>
        <w:br/>
        <w:t>months prior to September 2020. BOI also pointed out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1400" w:right="0" w:firstLine="40"/>
        <w:jc w:val="both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pgSz w:w="12240" w:h="18720"/>
          <w:pgMar w:top="3203" w:right="1650" w:bottom="2453" w:left="1499" w:header="2775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i/>
          <w:iCs/>
          <w:color w:val="000000"/>
        </w:rPr>
        <w:t>actions taken to address performance may include refresher training sessions on</w:t>
        <w:br/>
        <w:t>procedures, retraining, 1:1 coaching, team leader/ '1 up' review of activities, informal</w:t>
        <w:br/>
        <w:t>improvement plans, formal improvement plans or disciplinary sanction.</w:t>
      </w:r>
      <w:r>
        <w:rPr>
          <w:rStyle w:val="CharStyle6"/>
          <w:i/>
          <w:iCs/>
          <w:color w:val="000000"/>
          <w:vertAlign w:val="superscript"/>
        </w:rPr>
        <w:footnoteReference w:id="29"/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744" w:val="left"/>
        </w:tabs>
        <w:bidi w:val="0"/>
        <w:spacing w:before="0" w:line="302" w:lineRule="auto"/>
        <w:ind w:left="780" w:right="0" w:hanging="780"/>
        <w:jc w:val="both"/>
      </w:pPr>
      <w:r>
        <w:rPr>
          <w:rStyle w:val="CharStyle6"/>
        </w:rPr>
        <w:t>BOI submitted further training modules dated March 2020, May 2020, July 2020 and August</w:t>
        <w:br/>
        <w:t>2020. Some of these modules, however, post-date the breaches that are the subject of</w:t>
        <w:br/>
        <w:t>consideration in this inquiry.</w:t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744" w:val="left"/>
        </w:tabs>
        <w:bidi w:val="0"/>
        <w:spacing w:before="0" w:line="266" w:lineRule="auto"/>
        <w:ind w:left="0" w:right="0" w:firstLine="0"/>
        <w:jc w:val="left"/>
      </w:pPr>
      <w:r>
        <w:rPr>
          <w:rStyle w:val="CharStyle6"/>
        </w:rPr>
        <w:t>BOI also stated that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98" w:lineRule="auto"/>
        <w:ind w:left="1420" w:right="0" w:firstLine="20"/>
        <w:jc w:val="both"/>
      </w:pPr>
      <w:r>
        <w:rPr>
          <w:rStyle w:val="CharStyle6"/>
          <w:i/>
          <w:iCs/>
        </w:rPr>
        <w:t>In respect of the breaches that form the subject of this Inquiry, no advisor was</w:t>
        <w:br/>
        <w:t>responsible for more than one manual error.</w:t>
      </w:r>
      <w:r>
        <w:rPr>
          <w:rStyle w:val="CharStyle6"/>
          <w:i/>
          <w:iCs/>
          <w:vertAlign w:val="superscript"/>
        </w:rPr>
        <w:footnoteReference w:id="30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66" w:lineRule="auto"/>
        <w:ind w:left="0" w:right="0" w:firstLine="780"/>
        <w:jc w:val="left"/>
      </w:pPr>
      <w:r>
        <w:rPr>
          <w:rStyle w:val="CharStyle6"/>
        </w:rPr>
        <w:t>and that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98" w:lineRule="auto"/>
        <w:ind w:left="1420" w:right="0" w:firstLine="20"/>
        <w:jc w:val="both"/>
      </w:pPr>
      <w:r>
        <w:rPr>
          <w:rStyle w:val="CharStyle6"/>
          <w:i/>
          <w:iCs/>
        </w:rPr>
        <w:t>Feedback was provided to all advisers where non-compliance with procedures was</w:t>
        <w:br/>
        <w:t>identified, including details of how the error impacted the customer.</w:t>
      </w:r>
      <w:r>
        <w:rPr>
          <w:rStyle w:val="CharStyle6"/>
          <w:i/>
          <w:iCs/>
          <w:vertAlign w:val="superscript"/>
        </w:rPr>
        <w:footnoteReference w:id="31"/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744" w:val="left"/>
        </w:tabs>
        <w:bidi w:val="0"/>
        <w:spacing w:before="0" w:line="298" w:lineRule="auto"/>
        <w:ind w:left="780" w:right="0" w:hanging="780"/>
        <w:jc w:val="both"/>
      </w:pPr>
      <w:r>
        <w:rPr>
          <w:rStyle w:val="CharStyle6"/>
        </w:rPr>
        <w:t>With regard to the breach caused by a staff member not adhering to Customer Verification</w:t>
        <w:br/>
        <w:t>Procedures and Customer Confidentiality Standards, according to BOI: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66" w:lineRule="auto"/>
        <w:ind w:left="1420" w:right="0" w:firstLine="0"/>
        <w:jc w:val="both"/>
      </w:pPr>
      <w:r>
        <w:rPr>
          <w:rStyle w:val="CharStyle6"/>
          <w:i/>
          <w:iCs/>
        </w:rPr>
        <w:t>thorough checks were not carried out by staff in relation to the customer.</w:t>
      </w:r>
    </w:p>
    <w:p>
      <w:pPr>
        <w:pStyle w:val="Style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744" w:val="left"/>
        </w:tabs>
        <w:bidi w:val="0"/>
        <w:spacing w:before="0" w:line="266" w:lineRule="auto"/>
        <w:ind w:left="0" w:right="0" w:firstLine="380"/>
        <w:jc w:val="left"/>
      </w:pPr>
      <w:r>
        <w:rPr>
          <w:rStyle w:val="CharStyle6"/>
          <w:i/>
          <w:iCs/>
          <w:u w:val="single"/>
        </w:rPr>
        <w:t>Records Management</w:t>
      </w:r>
    </w:p>
    <w:p>
      <w:pPr>
        <w:pStyle w:val="Style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44" w:val="left"/>
        </w:tabs>
        <w:bidi w:val="0"/>
        <w:spacing w:before="0" w:line="302" w:lineRule="auto"/>
        <w:ind w:left="780" w:right="0" w:hanging="780"/>
        <w:jc w:val="both"/>
      </w:pPr>
      <w:r>
        <w:rPr>
          <w:rStyle w:val="CharStyle6"/>
        </w:rPr>
        <w:t>BOI outlined that it had a range of oversight and quality assurance measures in place,</w:t>
      </w:r>
      <w:r>
        <w:rPr>
          <w:rStyle w:val="CharStyle6"/>
          <w:vertAlign w:val="superscript"/>
        </w:rPr>
        <w:footnoteReference w:id="32"/>
      </w:r>
      <w:r>
        <w:rPr>
          <w:rStyle w:val="CharStyle6"/>
          <w:vertAlign w:val="superscript"/>
        </w:rPr>
        <w:br/>
      </w:r>
      <w:r>
        <w:rPr>
          <w:rStyle w:val="CharStyle6"/>
        </w:rPr>
        <w:t>including-</w:t>
      </w:r>
    </w:p>
    <w:p>
      <w:pPr>
        <w:pStyle w:val="Style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91" w:val="left"/>
        </w:tabs>
        <w:bidi w:val="0"/>
        <w:spacing w:before="0" w:line="259" w:lineRule="auto"/>
        <w:ind w:left="1780" w:right="0" w:hanging="340"/>
        <w:jc w:val="both"/>
      </w:pPr>
      <w:r>
        <w:rPr>
          <w:rStyle w:val="CharStyle6"/>
        </w:rPr>
        <w:t>Quality Assurance Frameworks-this is a series of reviews and meetings which are</w:t>
        <w:br/>
        <w:t>held within the bank on a monthly basis. The purpose of the meetings are to</w:t>
        <w:br/>
        <w:t>review performance against key performance indicators. The BOI Controls</w:t>
        <w:br/>
        <w:t xml:space="preserve">Operating Effectiveness </w:t>
      </w:r>
      <w:r>
        <w:rPr>
          <w:rStyle w:val="CharStyle6"/>
          <w:b/>
          <w:bCs/>
        </w:rPr>
        <w:t xml:space="preserve">('COE') </w:t>
      </w:r>
      <w:r>
        <w:rPr>
          <w:rStyle w:val="CharStyle6"/>
        </w:rPr>
        <w:t>Team evaluate management information which</w:t>
        <w:br/>
        <w:t>includes call monitoring. The management information is then delivered to the</w:t>
        <w:br/>
        <w:t>framework meetings and action plans and remediation procedures are agreed.</w:t>
      </w:r>
    </w:p>
    <w:p>
      <w:pPr>
        <w:pStyle w:val="Style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91" w:val="left"/>
        </w:tabs>
        <w:bidi w:val="0"/>
        <w:spacing w:before="0" w:line="264" w:lineRule="auto"/>
        <w:ind w:left="1780" w:right="0" w:hanging="340"/>
        <w:jc w:val="both"/>
      </w:pPr>
      <w:r>
        <w:rPr>
          <w:rStyle w:val="CharStyle6"/>
        </w:rPr>
        <w:t>Call Monitoring is completed on a monthly basis. Team leaders review a minimum</w:t>
        <w:br/>
        <w:t>of one call per agent, per month, and any errors are addressed at a monthly</w:t>
        <w:br/>
        <w:t>coaching session.</w:t>
      </w:r>
    </w:p>
    <w:p>
      <w:pPr>
        <w:pStyle w:val="Style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91" w:val="left"/>
        </w:tabs>
        <w:bidi w:val="0"/>
        <w:spacing w:before="0" w:line="266" w:lineRule="auto"/>
        <w:ind w:left="1780" w:right="0" w:hanging="340"/>
        <w:jc w:val="both"/>
      </w:pPr>
      <w:r>
        <w:rPr>
          <w:rStyle w:val="CharStyle6"/>
        </w:rPr>
        <w:t>QA Linking Status - Daily quality assurance reviews on applications where account</w:t>
        <w:br/>
        <w:t>linking has been requested.</w:t>
      </w:r>
    </w:p>
    <w:p>
      <w:pPr>
        <w:pStyle w:val="Style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91" w:val="left"/>
        </w:tabs>
        <w:bidi w:val="0"/>
        <w:spacing w:before="0" w:line="262" w:lineRule="auto"/>
        <w:ind w:left="1780" w:right="0" w:hanging="340"/>
        <w:jc w:val="both"/>
      </w:pPr>
      <w:r>
        <w:rPr>
          <w:rStyle w:val="CharStyle6"/>
        </w:rPr>
        <w:t>Defects Tracking - Daily reviews and monitoring of quality assurance activities to</w:t>
        <w:br/>
        <w:t>ensure that accounts which have been linked incorrectly are remediated in an</w:t>
        <w:br/>
        <w:t>expedient manner.</w:t>
      </w:r>
    </w:p>
    <w:p>
      <w:pPr>
        <w:pStyle w:val="Style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91" w:val="left"/>
        </w:tabs>
        <w:bidi w:val="0"/>
        <w:spacing w:before="0" w:line="266" w:lineRule="auto"/>
        <w:ind w:left="1420" w:right="0" w:firstLine="0"/>
        <w:jc w:val="left"/>
      </w:pPr>
      <w:r>
        <w:rPr>
          <w:rStyle w:val="CharStyle6"/>
        </w:rPr>
        <w:t>BOI Group Internal Audit review</w:t>
      </w:r>
    </w:p>
    <w:p>
      <w:pPr>
        <w:pStyle w:val="Style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44" w:val="left"/>
        </w:tabs>
        <w:bidi w:val="0"/>
        <w:spacing w:before="0" w:line="266" w:lineRule="auto"/>
        <w:ind w:left="0" w:right="0" w:firstLine="0"/>
        <w:jc w:val="left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pgSz w:w="12240" w:h="18720"/>
          <w:pgMar w:top="2371" w:right="1555" w:bottom="2371" w:left="1565" w:header="1943" w:footer="3" w:gutter="0"/>
          <w:cols w:space="720"/>
          <w:noEndnote/>
          <w:rtlGutter w:val="0"/>
          <w:docGrid w:linePitch="360"/>
        </w:sectPr>
      </w:pPr>
      <w:r>
        <w:rPr>
          <w:rStyle w:val="CharStyle6"/>
        </w:rPr>
        <w:t>However, according to BOI,</w:t>
      </w:r>
    </w:p>
    <w:p>
      <w:pPr>
        <w:widowControl w:val="0"/>
        <w:spacing w:line="142" w:lineRule="exact"/>
        <w:rPr>
          <w:sz w:val="11"/>
          <w:szCs w:val="11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pgSz w:w="12240" w:h="18720"/>
          <w:pgMar w:top="2394" w:right="1584" w:bottom="2436" w:left="1493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66" w:lineRule="auto"/>
        <w:ind w:left="1460" w:right="0" w:firstLine="200"/>
        <w:jc w:val="both"/>
      </w:pPr>
      <w:r>
        <w:rPr>
          <w:rStyle w:val="CharStyle6"/>
          <w:i/>
          <w:iCs/>
          <w:color w:val="000000"/>
        </w:rPr>
        <w:t>| BOI's standard operating procedures are designed to ensure, in as much as</w:t>
        <w:br/>
        <w:t>possible, no errors in terms of relevant data</w:t>
      </w:r>
      <w:r>
        <w:rPr>
          <w:rStyle w:val="CharStyle6"/>
          <w:i/>
          <w:iCs/>
          <w:color w:val="000000"/>
          <w:vertAlign w:val="superscript"/>
        </w:rPr>
        <w:footnoteReference w:id="33"/>
      </w:r>
    </w:p>
    <w:p>
      <w:pPr>
        <w:pStyle w:val="Style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44" w:val="left"/>
        </w:tabs>
        <w:bidi w:val="0"/>
        <w:spacing w:before="0" w:line="298" w:lineRule="auto"/>
        <w:ind w:left="740" w:right="0" w:hanging="740"/>
        <w:jc w:val="both"/>
      </w:pPr>
      <w:r>
        <w:rPr>
          <w:rStyle w:val="CharStyle6"/>
          <w:color w:val="000000"/>
        </w:rPr>
        <w:t>BOI indicated that it had a range of records management oversight measures in place to</w:t>
        <w:br/>
        <w:t>ensure the integrity and security of customers' personal data, including-</w:t>
      </w:r>
    </w:p>
    <w:p>
      <w:pPr>
        <w:pStyle w:val="Style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810" w:val="left"/>
        </w:tabs>
        <w:bidi w:val="0"/>
        <w:spacing w:before="0" w:line="262" w:lineRule="auto"/>
        <w:ind w:left="1800" w:right="0" w:hanging="340"/>
        <w:jc w:val="both"/>
      </w:pPr>
      <w:r>
        <w:rPr>
          <w:rStyle w:val="CharStyle6"/>
          <w:color w:val="000000"/>
        </w:rPr>
        <w:t>Service Contact Centre Procedures - These are step by step instructions and</w:t>
        <w:br/>
        <w:t>standard operating procedures which are circulated to all staff. BOI have provided</w:t>
        <w:br/>
        <w:t>a copy of the procedure associated with adding account or credit card features to</w:t>
        <w:br/>
        <w:t>the Banking 365 platform.</w:t>
      </w:r>
    </w:p>
    <w:p>
      <w:pPr>
        <w:pStyle w:val="Style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810" w:val="left"/>
        </w:tabs>
        <w:bidi w:val="0"/>
        <w:spacing w:before="0" w:line="264" w:lineRule="auto"/>
        <w:ind w:left="1800" w:right="0" w:hanging="340"/>
        <w:jc w:val="both"/>
      </w:pPr>
      <w:r>
        <w:rPr>
          <w:rStyle w:val="CharStyle6"/>
          <w:color w:val="000000"/>
        </w:rPr>
        <w:t>Branch Operating Procedures-These are standard operating procedures in place</w:t>
        <w:br/>
        <w:t>to provide staff guidance on how to process different customer requests,</w:t>
        <w:br/>
        <w:t>transactions and supporting activities. These procedures are updated regularly</w:t>
        <w:br/>
        <w:t>and are updated when new processes are introduced or where existing processes</w:t>
        <w:br/>
        <w:t>are changed.</w:t>
      </w:r>
      <w:r>
        <w:rPr>
          <w:rStyle w:val="CharStyle6"/>
          <w:color w:val="000000"/>
          <w:vertAlign w:val="superscript"/>
        </w:rPr>
        <w:footnoteReference w:id="34"/>
      </w:r>
    </w:p>
    <w:p>
      <w:pPr>
        <w:pStyle w:val="Style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44" w:val="left"/>
        </w:tabs>
        <w:bidi w:val="0"/>
        <w:spacing w:before="0" w:after="60" w:line="240" w:lineRule="auto"/>
        <w:ind w:left="0" w:right="0" w:firstLine="0"/>
        <w:jc w:val="both"/>
      </w:pPr>
      <w:r>
        <w:drawing>
          <wp:anchor distT="0" distB="0" distL="0" distR="0" simplePos="0" relativeHeight="125829378" behindDoc="0" locked="0" layoutInCell="1" allowOverlap="1">
            <wp:simplePos x="0" y="0"/>
            <wp:positionH relativeFrom="page">
              <wp:posOffset>3752215</wp:posOffset>
            </wp:positionH>
            <wp:positionV relativeFrom="paragraph">
              <wp:posOffset>177800</wp:posOffset>
            </wp:positionV>
            <wp:extent cx="2947670" cy="198120"/>
            <wp:wrapSquare wrapText="left"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ext cx="2947670" cy="1981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6"/>
          <w:color w:val="000000"/>
        </w:rPr>
        <w:t>Manual merging of customers' accounts and records should follow the relevant procedures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40"/>
        <w:jc w:val="both"/>
      </w:pPr>
      <w:r>
        <w:rPr>
          <w:rStyle w:val="CharStyle6"/>
          <w:color w:val="000000"/>
        </w:rPr>
        <w:t>and is verified by a BOI operations team.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60"/>
        <w:jc w:val="both"/>
      </w:pPr>
      <w:r>
        <w:rPr>
          <w:rStyle w:val="CharStyle6"/>
          <w:i/>
          <w:iCs/>
          <w:color w:val="000000"/>
          <w:u w:val="single"/>
        </w:rPr>
        <w:t>Id} Security of Personal Data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40"/>
        <w:jc w:val="both"/>
      </w:pPr>
      <w:r>
        <w:rPr>
          <w:rStyle w:val="CharStyle6"/>
          <w:i/>
          <w:iCs/>
          <w:color w:val="000000"/>
          <w:u w:val="single"/>
        </w:rPr>
        <w:t>(i) Technical Measures</w:t>
      </w:r>
    </w:p>
    <w:p>
      <w:pPr>
        <w:pStyle w:val="Style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44" w:val="left"/>
        </w:tabs>
        <w:bidi w:val="0"/>
        <w:spacing w:before="0" w:line="298" w:lineRule="auto"/>
        <w:ind w:left="740" w:right="0" w:hanging="740"/>
        <w:jc w:val="both"/>
      </w:pPr>
      <w:r>
        <w:rPr>
          <w:rStyle w:val="CharStyle6"/>
          <w:color w:val="000000"/>
        </w:rPr>
        <w:t>In addition to the policies and procedures noted above, BOI described specific technical</w:t>
        <w:br/>
        <w:t>measures</w:t>
      </w:r>
      <w:r>
        <w:rPr>
          <w:rStyle w:val="CharStyle6"/>
          <w:color w:val="000000"/>
          <w:vertAlign w:val="superscript"/>
        </w:rPr>
        <w:footnoteReference w:id="35"/>
      </w:r>
      <w:r>
        <w:rPr>
          <w:rStyle w:val="CharStyle6"/>
          <w:color w:val="000000"/>
        </w:rPr>
        <w:t xml:space="preserve"> that it stated were in place at the time ofthe breach, including:</w:t>
      </w:r>
    </w:p>
    <w:p>
      <w:pPr>
        <w:pStyle w:val="Style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575" w:val="left"/>
        </w:tabs>
        <w:bidi w:val="0"/>
        <w:spacing w:before="0" w:line="266" w:lineRule="auto"/>
        <w:ind w:left="1580" w:right="0" w:hanging="360"/>
        <w:jc w:val="both"/>
      </w:pPr>
      <w:r>
        <w:rPr>
          <w:rStyle w:val="CharStyle6"/>
          <w:color w:val="000000"/>
        </w:rPr>
        <w:t>QA Linking Status - daily quality assurance reviews on applications where account</w:t>
        <w:br/>
        <w:t>linking has been requested.</w:t>
      </w:r>
    </w:p>
    <w:p>
      <w:pPr>
        <w:pStyle w:val="Style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575" w:val="left"/>
        </w:tabs>
        <w:bidi w:val="0"/>
        <w:spacing w:before="0" w:line="264" w:lineRule="auto"/>
        <w:ind w:left="1580" w:right="0" w:hanging="360"/>
        <w:jc w:val="both"/>
      </w:pPr>
      <w:r>
        <w:rPr>
          <w:rStyle w:val="CharStyle6"/>
          <w:color w:val="000000"/>
        </w:rPr>
        <w:t>Defects Tracking - daily reviews and monitoring of quality assurance activities to</w:t>
        <w:br/>
        <w:t>ensure that accounts which have been linked incorrectly are remediated in an</w:t>
        <w:br/>
        <w:t>expedient manner.</w:t>
      </w:r>
    </w:p>
    <w:p>
      <w:pPr>
        <w:pStyle w:val="Style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575" w:val="left"/>
        </w:tabs>
        <w:bidi w:val="0"/>
        <w:spacing w:before="0" w:after="0" w:line="240" w:lineRule="auto"/>
        <w:ind w:left="1220" w:right="0" w:firstLine="0"/>
        <w:jc w:val="both"/>
      </w:pPr>
      <w:r>
        <w:rPr>
          <w:rStyle w:val="CharStyle6"/>
          <w:color w:val="000000"/>
        </w:rPr>
        <w:t>Security Certificates</w:t>
      </w:r>
    </w:p>
    <w:p>
      <w:pPr>
        <w:widowControl w:val="0"/>
        <w:spacing w:line="1" w:lineRule="exact"/>
      </w:pPr>
      <w:r>
        <w:drawing>
          <wp:anchor distT="12700" distB="0" distL="0" distR="0" simplePos="0" relativeHeight="125829379" behindDoc="0" locked="0" layoutInCell="1" allowOverlap="1">
            <wp:simplePos x="0" y="0"/>
            <wp:positionH relativeFrom="page">
              <wp:posOffset>2231390</wp:posOffset>
            </wp:positionH>
            <wp:positionV relativeFrom="paragraph">
              <wp:posOffset>12700</wp:posOffset>
            </wp:positionV>
            <wp:extent cx="4422775" cy="892810"/>
            <wp:wrapTopAndBottom/>
            <wp:docPr id="5" name="Shap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ext cx="4422775" cy="8928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62" w:lineRule="auto"/>
        <w:ind w:left="1540" w:right="0" w:firstLine="20"/>
        <w:jc w:val="both"/>
      </w:pPr>
      <w:r>
        <w:rPr>
          <w:rStyle w:val="CharStyle6"/>
          <w:color w:val="000000"/>
        </w:rPr>
        <w:t>This system, however, is entirely reliant on the fact that the recipient device or</w:t>
        <w:br/>
        <w:t>server is the intended device or computer. If t</w:t>
      </w:r>
      <w:r>
        <w:rPr>
          <w:rStyle w:val="CharStyle6"/>
          <w:color w:val="000000"/>
          <w:u w:val="single"/>
        </w:rPr>
        <w:t>he banking customer is authoris</w:t>
      </w:r>
      <w:r>
        <w:rPr>
          <w:rStyle w:val="CharStyle6"/>
          <w:color w:val="000000"/>
        </w:rPr>
        <w:t>ed by</w:t>
        <w:br/>
        <w:t>the bank to view a particular account, then |^^|^mm their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57" w:lineRule="auto"/>
        <w:ind w:left="1660" w:right="0" w:firstLine="0"/>
        <w:jc w:val="both"/>
      </w:pPr>
      <w:r>
        <w:rPr>
          <w:rStyle w:val="CharStyle6"/>
          <w:color w:val="000000"/>
        </w:rPr>
        <w:t>device will enable that user to view that particular account - even if that account</w:t>
        <w:br/>
        <w:t>was not owned by that user.</w:t>
      </w:r>
    </w:p>
    <w:p>
      <w:pPr>
        <w:pStyle w:val="Style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655" w:val="left"/>
        </w:tabs>
        <w:bidi w:val="0"/>
        <w:spacing w:before="0" w:after="0" w:line="240" w:lineRule="auto"/>
        <w:ind w:left="1300" w:right="0" w:firstLine="0"/>
        <w:jc w:val="both"/>
      </w:pPr>
      <w:r>
        <w:rPr>
          <w:rStyle w:val="CharStyle6"/>
          <w:color w:val="000000"/>
        </w:rPr>
        <w:t>BOI uses proprietary software f|^B) which is designed to assess and flag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660" w:right="0" w:firstLine="0"/>
        <w:jc w:val="both"/>
      </w:pPr>
      <w:r>
        <w:rPr>
          <w:rStyle w:val="CharStyle6"/>
          <w:color w:val="000000"/>
        </w:rPr>
        <w:t>unusual patterns in customer access and payments.</w:t>
      </w:r>
      <w:r>
        <w:rPr>
          <w:rStyle w:val="CharStyle6"/>
          <w:color w:val="000000"/>
          <w:vertAlign w:val="superscript"/>
        </w:rPr>
        <w:footnoteReference w:id="36"/>
      </w:r>
    </w:p>
    <w:p>
      <w:pPr>
        <w:pStyle w:val="Style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655" w:val="left"/>
        </w:tabs>
        <w:bidi w:val="0"/>
        <w:spacing w:before="0" w:line="259" w:lineRule="auto"/>
        <w:ind w:left="1660" w:right="0" w:hanging="360"/>
        <w:jc w:val="both"/>
      </w:pPr>
      <w:r>
        <w:rPr>
          <w:rStyle w:val="CharStyle6"/>
          <w:color w:val="000000"/>
        </w:rPr>
        <w:t xml:space="preserve">Security Information and Event Management - </w:t>
      </w:r>
      <w:r>
        <w:rPr>
          <w:rStyle w:val="CharStyle6"/>
          <w:b/>
          <w:bCs/>
          <w:color w:val="000000"/>
        </w:rPr>
        <w:t xml:space="preserve">('SIEM') </w:t>
      </w:r>
      <w:r>
        <w:rPr>
          <w:rStyle w:val="CharStyle6"/>
          <w:color w:val="000000"/>
        </w:rPr>
        <w:t>is used for security and event</w:t>
        <w:br/>
        <w:t>controls and will flag if some suspicious entries are detected in banking logs. If</w:t>
        <w:br/>
        <w:t>suspicious activity is detected then the software will automatically alert the Bank's</w:t>
        <w:br/>
        <w:t>IT Team.</w:t>
      </w:r>
      <w:r>
        <w:rPr>
          <w:rStyle w:val="CharStyle6"/>
          <w:color w:val="000000"/>
          <w:vertAlign w:val="superscript"/>
        </w:rPr>
        <w:footnoteReference w:id="37"/>
      </w:r>
      <w:r>
        <w:rPr>
          <w:rStyle w:val="CharStyle6"/>
          <w:color w:val="000000"/>
        </w:rPr>
        <w:t xml:space="preserve"> It is noted that SIEM failed to detect unauthorised access to the bank</w:t>
        <w:br/>
        <w:t>accounts under consideration, as the accounts had been provisioned incorrectly</w:t>
        <w:br/>
        <w:t>with access owing to gaps in procedures and human error.</w:t>
      </w:r>
    </w:p>
    <w:p>
      <w:pPr>
        <w:pStyle w:val="Style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44" w:val="left"/>
        </w:tabs>
        <w:bidi w:val="0"/>
        <w:spacing w:before="0" w:line="293" w:lineRule="auto"/>
        <w:ind w:left="820" w:right="0" w:hanging="820"/>
        <w:jc w:val="both"/>
      </w:pPr>
      <w:r>
        <mc:AlternateContent>
          <mc:Choice Requires="wps">
            <w:drawing>
              <wp:anchor distT="0" distB="0" distL="114300" distR="114300" simplePos="0" relativeHeight="125829380" behindDoc="0" locked="0" layoutInCell="1" allowOverlap="1">
                <wp:simplePos x="0" y="0"/>
                <wp:positionH relativeFrom="page">
                  <wp:posOffset>996950</wp:posOffset>
                </wp:positionH>
                <wp:positionV relativeFrom="paragraph">
                  <wp:posOffset>520700</wp:posOffset>
                </wp:positionV>
                <wp:extent cx="201295" cy="167640"/>
                <wp:wrapSquare wrapText="right"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1295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color w:val="000000"/>
                              </w:rPr>
                              <w:t>61.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78.5pt;margin-top:41.pt;width:15.85pt;height:13.200000000000001pt;z-index:-125829373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color w:val="000000"/>
                        </w:rPr>
                        <w:t>61.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6"/>
          <w:color w:val="000000"/>
        </w:rPr>
        <w:t>In six of the ten data breaches, unauthorised persons gained access to customers' accounts</w:t>
        <w:br/>
        <w:t>online as a result of staff not following BOI procedures correctly.</w:t>
      </w:r>
      <w:r>
        <w:rPr>
          <w:rStyle w:val="CharStyle6"/>
          <w:color w:val="000000"/>
          <w:vertAlign w:val="superscript"/>
        </w:rPr>
        <w:footnoteReference w:id="38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820" w:right="0" w:hanging="580"/>
        <w:jc w:val="both"/>
      </w:pPr>
      <w:r>
        <w:rPr>
          <w:rStyle w:val="CharStyle6"/>
          <w:color w:val="000000"/>
        </w:rPr>
        <w:t>The remaining four data breaches, in which unauthorised people gained access to customers'</w:t>
        <w:br/>
        <w:t>accounts online, were as a result of a flaw in the CIS. BOI stated that -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type w:val="continuous"/>
          <w:pgSz w:w="12240" w:h="18720"/>
          <w:pgMar w:top="2394" w:right="1584" w:bottom="2436" w:left="1493" w:header="1966" w:footer="3" w:gutter="0"/>
          <w:cols w:space="720"/>
          <w:noEndnote/>
          <w:rtlGutter w:val="0"/>
          <w:docGrid w:linePitch="360"/>
        </w:sectPr>
      </w:pPr>
      <w:r>
        <w:drawing>
          <wp:anchor distT="12700" distB="0" distL="0" distR="0" simplePos="0" relativeHeight="125829382" behindDoc="0" locked="0" layoutInCell="1" allowOverlap="1">
            <wp:simplePos x="0" y="0"/>
            <wp:positionH relativeFrom="page">
              <wp:posOffset>1892935</wp:posOffset>
            </wp:positionH>
            <wp:positionV relativeFrom="paragraph">
              <wp:posOffset>12700</wp:posOffset>
            </wp:positionV>
            <wp:extent cx="4791710" cy="374650"/>
            <wp:wrapTopAndBottom/>
            <wp:docPr id="9" name="Shap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ext cx="4791710" cy="374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47" w:lineRule="exact"/>
        <w:rPr>
          <w:sz w:val="4"/>
          <w:szCs w:val="4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type w:val="continuous"/>
          <w:pgSz w:w="12240" w:h="18720"/>
          <w:pgMar w:top="2395" w:right="0" w:bottom="2436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400" w:line="240" w:lineRule="auto"/>
        <w:ind w:left="0" w:right="0" w:firstLine="0"/>
        <w:jc w:val="left"/>
      </w:pPr>
      <w:r>
        <w:drawing>
          <wp:anchor distT="182880" distB="417830" distL="123190" distR="126365" simplePos="0" relativeHeight="125829383" behindDoc="0" locked="0" layoutInCell="1" allowOverlap="1">
            <wp:simplePos x="0" y="0"/>
            <wp:positionH relativeFrom="page">
              <wp:posOffset>1453515</wp:posOffset>
            </wp:positionH>
            <wp:positionV relativeFrom="paragraph">
              <wp:posOffset>195580</wp:posOffset>
            </wp:positionV>
            <wp:extent cx="5264150" cy="972185"/>
            <wp:wrapSquare wrapText="left"/>
            <wp:docPr id="11" name="Shap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box 12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ext cx="5264150" cy="97218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1456690</wp:posOffset>
                </wp:positionH>
                <wp:positionV relativeFrom="paragraph">
                  <wp:posOffset>12700</wp:posOffset>
                </wp:positionV>
                <wp:extent cx="5273040" cy="167640"/>
                <wp:wrapNone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27304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2"/>
                              </w:rPr>
                              <w:t>When the Banking365 platform was launched in the late 1990s, the CIS was the basis for the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114.7pt;margin-top:1.pt;width:415.19999999999999pt;height:13.200000000000001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2"/>
                        </w:rPr>
                        <w:t>When the Banking365 platform was launched in the late 1990s, the CIS was the basis for the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1444625</wp:posOffset>
                </wp:positionH>
                <wp:positionV relativeFrom="paragraph">
                  <wp:posOffset>1189355</wp:posOffset>
                </wp:positionV>
                <wp:extent cx="5276215" cy="396240"/>
                <wp:wrapNone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276215" cy="3962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2"/>
                              </w:rPr>
                              <w:t>The impact of this is access to and potential disclosure of the affected accounts by an</w:t>
                              <w:br/>
                              <w:t>unauthorised third party.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113.75pt;margin-top:93.650000000000006pt;width:415.44999999999999pt;height:31.199999999999999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/>
                        <w:ind w:left="0" w:right="0" w:firstLine="0"/>
                        <w:jc w:val="left"/>
                      </w:pPr>
                      <w:r>
                        <w:rPr>
                          <w:rStyle w:val="CharStyle42"/>
                        </w:rPr>
                        <w:t>The impact of this is access to and potential disclosure of the affected accounts by an</w:t>
                        <w:br/>
                        <w:t>unauthorised third party.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Style w:val="CharStyle6"/>
          <w:color w:val="000000"/>
        </w:rPr>
        <w:t>62.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980" w:line="298" w:lineRule="auto"/>
        <w:ind w:left="24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384" behindDoc="0" locked="0" layoutInCell="1" allowOverlap="1">
                <wp:simplePos x="0" y="0"/>
                <wp:positionH relativeFrom="page">
                  <wp:posOffset>978535</wp:posOffset>
                </wp:positionH>
                <wp:positionV relativeFrom="paragraph">
                  <wp:posOffset>12700</wp:posOffset>
                </wp:positionV>
                <wp:extent cx="201295" cy="167640"/>
                <wp:wrapSquare wrapText="right"/>
                <wp:docPr id="17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1295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color w:val="000000"/>
                              </w:rPr>
                              <w:t>63.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77.049999999999997pt;margin-top:1.pt;width:15.85pt;height:13.200000000000001pt;z-index:-125829369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color w:val="000000"/>
                        </w:rPr>
                        <w:t>63.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6"/>
          <w:color w:val="000000"/>
        </w:rPr>
        <w:t>Also, the customer matching and merging process can cause to become</w:t>
        <w:br/>
        <w:t>'lost' within CIS which results in a default being assigned to the customer</w:t>
        <w:br/>
        <w:t>record. According to BOI -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/>
        <w:ind w:left="740" w:right="0" w:firstLine="20"/>
        <w:jc w:val="both"/>
      </w:pPr>
      <w:r>
        <w:rPr>
          <w:rStyle w:val="CharStyle6"/>
          <w:color w:val="000000"/>
        </w:rPr>
        <w:t>This, in turn, can result in unintended account merging, the impact of which is access to and</w:t>
        <w:br/>
        <w:t>potential disclosure of the affected accounts by an unauthorised third party. Article 5(l)(f)</w:t>
        <w:br/>
        <w:t xml:space="preserve">GDPR requires that personal data shall be </w:t>
      </w:r>
      <w:r>
        <w:rPr>
          <w:rStyle w:val="CharStyle6"/>
          <w:i/>
          <w:iCs/>
          <w:color w:val="000000"/>
        </w:rPr>
        <w:t>"processed in a manner that ensures appropriate</w:t>
        <w:br/>
        <w:t>security of the personal data".</w:t>
      </w:r>
      <w:r>
        <w:br w:type="page"/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/>
        <w:ind w:left="0" w:right="0" w:firstLine="0"/>
        <w:jc w:val="left"/>
      </w:pPr>
      <w:r>
        <w:rPr>
          <w:rStyle w:val="CharStyle6"/>
          <w:color w:val="000000"/>
        </w:rPr>
        <w:t>According to BOI the issue with the CIS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307" w:lineRule="auto"/>
        <w:ind w:left="1440" w:right="0" w:firstLine="40"/>
        <w:jc w:val="both"/>
      </w:pPr>
      <w:r>
        <w:rPr>
          <w:rStyle w:val="CharStyle6"/>
          <w:i/>
          <w:iCs/>
          <w:color w:val="000000"/>
        </w:rPr>
        <w:t>was originally identified in 2019, following a BOI Group Internal Audit (GIA) review,</w:t>
        <w:br/>
        <w:t>which predated the inquiry.</w:t>
      </w:r>
      <w:r>
        <w:rPr>
          <w:rStyle w:val="CharStyle6"/>
          <w:i/>
          <w:iCs/>
          <w:color w:val="000000"/>
          <w:vertAlign w:val="superscript"/>
        </w:rPr>
        <w:footnoteReference w:id="39"/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 w:line="302" w:lineRule="auto"/>
        <w:ind w:left="760" w:right="0" w:hanging="760"/>
        <w:jc w:val="both"/>
      </w:pPr>
      <w:r>
        <w:rPr>
          <w:rStyle w:val="CharStyle6"/>
          <w:color w:val="000000"/>
        </w:rPr>
        <w:t>BOI stated that from March 2021 it carried out an analysis of cases where over-merging may</w:t>
        <w:br/>
        <w:t>have occurred. According to BOI these cases</w:t>
        <w:t>-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1440" w:right="0" w:firstLine="40"/>
        <w:jc w:val="both"/>
      </w:pPr>
      <w:r>
        <w:rPr>
          <w:rStyle w:val="CharStyle6"/>
          <w:color w:val="000000"/>
        </w:rPr>
        <w:t xml:space="preserve">hove </w:t>
      </w:r>
      <w:r>
        <w:rPr>
          <w:rStyle w:val="CharStyle6"/>
          <w:i/>
          <w:iCs/>
          <w:color w:val="000000"/>
        </w:rPr>
        <w:t>been categorised into 3 Priority Cohorts. Priority 1 (349 cases) contain the</w:t>
        <w:br/>
        <w:t>potential over-merges, Priority 2 (2,222 cases) possible over-merges, Priority 3 (2,007</w:t>
        <w:br/>
        <w:t xml:space="preserve">cases) low possibility over-merges. </w:t>
      </w:r>
      <w:r>
        <w:rPr>
          <w:rStyle w:val="CharStyle6"/>
          <w:i/>
          <w:iCs/>
          <w:color w:val="000000"/>
          <w:vertAlign w:val="superscript"/>
        </w:rPr>
        <w:footnoteReference w:id="40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700"/>
        <w:jc w:val="left"/>
      </w:pPr>
      <w:r>
        <w:rPr>
          <w:rStyle w:val="CharStyle6"/>
          <w:color w:val="000000"/>
        </w:rPr>
        <w:t>In addition, BOI stated that-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1440" w:right="0" w:firstLine="40"/>
        <w:jc w:val="both"/>
      </w:pPr>
      <w:r>
        <w:rPr>
          <w:rStyle w:val="CharStyle6"/>
          <w:i/>
          <w:iCs/>
          <w:color w:val="000000"/>
        </w:rPr>
        <w:t>A review of all cases, and remediation of all identified over-merges is to complete by</w:t>
        <w:br/>
        <w:t>the end September. Full closure of the over-merging issue, including customer</w:t>
        <w:br/>
        <w:t>communications and restitution where required, is expected by end of November</w:t>
        <w:br/>
        <w:t>2021.</w:t>
      </w:r>
      <w:r>
        <w:rPr>
          <w:rStyle w:val="CharStyle6"/>
          <w:i/>
          <w:iCs/>
          <w:color w:val="000000"/>
          <w:vertAlign w:val="superscript"/>
        </w:rPr>
        <w:footnoteReference w:id="41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760"/>
        <w:jc w:val="left"/>
      </w:pPr>
      <w:r>
        <w:rPr>
          <w:rStyle w:val="CharStyle6"/>
          <w:color w:val="000000"/>
        </w:rPr>
        <w:t>BOI stated that-</w:t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pos="6499" w:val="left"/>
        </w:tabs>
        <w:bidi w:val="0"/>
        <w:spacing w:before="0" w:after="0"/>
        <w:ind w:left="1440" w:right="0" w:firstLine="0"/>
        <w:jc w:val="both"/>
      </w:pPr>
      <w:r>
        <w:rPr>
          <w:rStyle w:val="CharStyle6"/>
          <w:i/>
          <w:iCs/>
          <w:color w:val="000000"/>
        </w:rPr>
        <w:t>[a]s of 26th February 2021</w:t>
        <w:tab/>
        <w:t>has been removed and the</w:t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pos="5400" w:val="left"/>
        </w:tabs>
        <w:bidi w:val="0"/>
        <w:spacing w:before="0" w:after="180"/>
        <w:ind w:left="1440" w:right="0" w:firstLine="0"/>
        <w:jc w:val="left"/>
      </w:pPr>
      <w:r>
        <w:rPr>
          <w:rStyle w:val="CharStyle6"/>
          <w:i/>
          <w:iCs/>
          <w:color w:val="000000"/>
        </w:rPr>
        <w:t>system now requires an exact</w:t>
        <w:tab/>
        <w:t>match.</w:t>
      </w:r>
      <w:r>
        <w:rPr>
          <w:rStyle w:val="CharStyle6"/>
          <w:i/>
          <w:iCs/>
          <w:color w:val="000000"/>
          <w:vertAlign w:val="superscript"/>
        </w:rPr>
        <w:footnoteReference w:id="42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760"/>
        <w:jc w:val="both"/>
      </w:pPr>
      <w:r>
        <w:rPr>
          <w:rStyle w:val="CharStyle6"/>
          <w:color w:val="000000"/>
        </w:rPr>
        <w:t>BOI also stated that it had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307" w:lineRule="auto"/>
        <w:ind w:left="1440" w:right="0" w:firstLine="40"/>
        <w:jc w:val="both"/>
      </w:pPr>
      <w:r>
        <w:rPr>
          <w:rStyle w:val="CharStyle6"/>
          <w:i/>
          <w:iCs/>
          <w:color w:val="000000"/>
        </w:rPr>
        <w:t>developed a systemic remediation process to prevent further over-merging occurring</w:t>
        <w:br/>
        <w:t>in the future.</w:t>
      </w:r>
      <w:r>
        <w:rPr>
          <w:rStyle w:val="CharStyle6"/>
          <w:i/>
          <w:iCs/>
          <w:color w:val="000000"/>
          <w:vertAlign w:val="superscript"/>
        </w:rPr>
        <w:footnoteReference w:id="43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760"/>
        <w:jc w:val="both"/>
      </w:pPr>
      <w:r>
        <w:rPr>
          <w:rStyle w:val="CharStyle6"/>
          <w:i/>
          <w:iCs/>
          <w:color w:val="000000"/>
          <w:u w:val="single"/>
        </w:rPr>
        <w:t>(ii) Organisational Measures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 w:line="302" w:lineRule="auto"/>
        <w:ind w:left="760" w:right="0" w:hanging="760"/>
        <w:jc w:val="both"/>
      </w:pPr>
      <w:r>
        <w:rPr>
          <w:rStyle w:val="CharStyle6"/>
          <w:color w:val="000000"/>
        </w:rPr>
        <w:t>BOI outlined that it had a range of organisational measures relating to security,</w:t>
      </w:r>
      <w:r>
        <w:rPr>
          <w:rStyle w:val="CharStyle6"/>
          <w:color w:val="000000"/>
          <w:vertAlign w:val="superscript"/>
        </w:rPr>
        <w:footnoteReference w:id="44"/>
      </w:r>
      <w:r>
        <w:rPr>
          <w:rStyle w:val="CharStyle6"/>
          <w:color w:val="000000"/>
        </w:rPr>
        <w:t xml:space="preserve"> including</w:t>
        <w:br/>
        <w:t>the following-</w:t>
      </w:r>
    </w:p>
    <w:p>
      <w:pPr>
        <w:pStyle w:val="Style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575" w:val="left"/>
        </w:tabs>
        <w:bidi w:val="0"/>
        <w:spacing w:before="0" w:after="180" w:line="264" w:lineRule="auto"/>
        <w:ind w:left="1580" w:right="0" w:hanging="360"/>
        <w:jc w:val="both"/>
      </w:pPr>
      <w:r>
        <w:rPr>
          <w:rStyle w:val="CharStyle6"/>
          <w:color w:val="000000"/>
        </w:rPr>
        <w:t>Clean Desk Procedures - This outlines the physical measures associated with the</w:t>
        <w:br/>
        <w:t>management of customer information, and includes measures such as the use of</w:t>
        <w:br/>
        <w:t>locked cabinets and secure shredding bins.</w:t>
      </w:r>
    </w:p>
    <w:p>
      <w:pPr>
        <w:pStyle w:val="Style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575" w:val="left"/>
        </w:tabs>
        <w:bidi w:val="0"/>
        <w:spacing w:before="0" w:after="180" w:line="262" w:lineRule="auto"/>
        <w:ind w:left="1580" w:right="0" w:hanging="360"/>
        <w:jc w:val="both"/>
      </w:pPr>
      <w:r>
        <w:rPr>
          <w:rStyle w:val="CharStyle6"/>
          <w:color w:val="000000"/>
        </w:rPr>
        <w:t>Physical Access - These are additional physical security measures which prevent</w:t>
        <w:br/>
        <w:t>unauthorised access to restricted areas. These measures are reviewed annually.</w:t>
      </w:r>
    </w:p>
    <w:p>
      <w:pPr>
        <w:pStyle w:val="Style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575" w:val="left"/>
        </w:tabs>
        <w:bidi w:val="0"/>
        <w:spacing w:before="0" w:after="180" w:line="262" w:lineRule="auto"/>
        <w:ind w:left="1580" w:right="0" w:hanging="360"/>
        <w:jc w:val="both"/>
        <w:sectPr>
          <w:footnotePr>
            <w:pos w:val="pageBottom"/>
            <w:numFmt w:val="decimal"/>
            <w:numStart w:val="9"/>
            <w:numRestart w:val="continuous"/>
            <w15:footnoteColumns w:val="1"/>
          </w:footnotePr>
          <w:type w:val="continuous"/>
          <w:pgSz w:w="12240" w:h="18720"/>
          <w:pgMar w:top="2395" w:right="1563" w:bottom="2436" w:left="1514" w:header="1967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color w:val="000000"/>
        </w:rPr>
        <w:t>Group Code of Conduct - The code encompasses the principles of the Irish Banking</w:t>
        <w:br/>
        <w:t>Federation Code of Ethics, and sets out acceptable standards for group employees</w:t>
        <w:br/>
        <w:t>who deal with customers, suppliers, Government representatives or Regulators. A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69" w:lineRule="auto"/>
        <w:ind w:left="1620" w:right="0" w:firstLine="0"/>
        <w:jc w:val="both"/>
      </w:pPr>
      <w:r>
        <w:rPr>
          <w:rStyle w:val="CharStyle6"/>
        </w:rPr>
        <w:t>mandatory annual web based training course on the Code of Conduct is undertaken</w:t>
        <w:br/>
        <w:t>by all staff.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 xml:space="preserve">BOI also pointed out that over the course of 2021 </w:t>
      </w:r>
      <w:r>
        <w:rPr>
          <w:rStyle w:val="CharStyle6"/>
          <w:i/>
          <w:iCs/>
        </w:rPr>
        <w:t>"as part of the Bank's Central Credit Register</w:t>
        <w:br/>
        <w:t>('CCR') Data Protection Action Plan”</w:t>
      </w:r>
      <w:r>
        <w:rPr>
          <w:rStyle w:val="CharStyle6"/>
          <w:i/>
          <w:iCs/>
          <w:vertAlign w:val="superscript"/>
        </w:rPr>
        <w:footnoteReference w:id="45"/>
      </w:r>
      <w:r>
        <w:rPr>
          <w:rStyle w:val="CharStyle6"/>
        </w:rPr>
        <w:t xml:space="preserve"> BOI put in place a number of actions including an</w:t>
        <w:br/>
        <w:t>improved Group Data Management Policy and Standards, an Enhanced Group Data</w:t>
        <w:br/>
        <w:t>Management Operating Model and a revised Data Protection Event Framework. While the</w:t>
        <w:br/>
        <w:t>DPC welcomes these improvements and enhancements, they fall outside the temporal scope</w:t>
        <w:br/>
        <w:t>of this inquiry.</w:t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rStyle w:val="CharStyle27"/>
          <w:u w:val="none"/>
        </w:rPr>
        <w:t xml:space="preserve">b] </w:t>
      </w:r>
      <w:r>
        <w:rPr>
          <w:rStyle w:val="CharStyle27"/>
        </w:rPr>
        <w:t>The Appropriate Level of Security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720"/>
        <w:jc w:val="both"/>
      </w:pPr>
      <w:r>
        <w:rPr>
          <w:rStyle w:val="CharStyle6"/>
          <w:i/>
          <w:iCs/>
        </w:rPr>
        <w:t xml:space="preserve">(a) </w:t>
      </w:r>
      <w:r>
        <w:rPr>
          <w:rStyle w:val="CharStyle6"/>
          <w:i/>
          <w:iCs/>
          <w:u w:val="single"/>
        </w:rPr>
        <w:t>Measures to evaluate the effectiveness of data protection governance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Article 32(l)(d) GDPR specifies that, where appropriate, the controller shall implement</w:t>
        <w:br/>
        <w:t>technical and organisational measures to include a process for regularly testing, assessing and</w:t>
        <w:br/>
        <w:t>evaluating the effectiveness of existing security measures. Such testing, assessing and</w:t>
        <w:br/>
        <w:t>evaluating applies to both technical and organisational measures. Personal data breaches may</w:t>
        <w:br/>
        <w:t>cause significant harm to data subjects and, pursuant to Article 32(l)(d) GDPR, controllers</w:t>
        <w:br/>
        <w:t>must take the initiative to test, assess, and evaluate their organisational and technical security</w:t>
        <w:br/>
        <w:t>measures.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Six of the ten reported data breaches were as a result of staff not following the Banking</w:t>
        <w:br/>
        <w:t>Service Desk Procedures, of which one was as a result of not following the Business Operating</w:t>
        <w:br/>
        <w:t>Procedures, and one as a result of not following Customer Verification procedures and</w:t>
        <w:br/>
        <w:t>Customer Confidentiality Service Standards. However, the procedure extract</w:t>
      </w:r>
      <w:r>
        <w:rPr>
          <w:rStyle w:val="CharStyle6"/>
          <w:vertAlign w:val="superscript"/>
        </w:rPr>
        <w:footnoteReference w:id="46"/>
      </w:r>
      <w:r>
        <w:rPr>
          <w:rStyle w:val="CharStyle6"/>
        </w:rPr>
        <w:t xml:space="preserve"> submitted by</w:t>
        <w:br/>
        <w:t>BOI does not indicate if there are any additional alerts or controls to prevent human error or</w:t>
        <w:br/>
        <w:t>an incorrect account from being added.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720" w:right="0" w:hanging="720"/>
        <w:jc w:val="both"/>
      </w:pPr>
      <w:r>
        <w:rPr>
          <w:rStyle w:val="CharStyle6"/>
        </w:rPr>
        <w:t>BOI had a range of Data Protection Governance policies and procedures in place to ensure the</w:t>
        <w:br/>
        <w:t>integrity and security of customers' personal data. However, these policies and procedures</w:t>
        <w:br/>
        <w:t>did not include additional controls to minimise the possibility of human error occurring. While</w:t>
        <w:br/>
        <w:t>there were follow-ups on the part of BOI with regard to breaches caused by staff not following</w:t>
        <w:br/>
        <w:t>policies and procedures, I consider that the checks and enforcement measures in place were</w:t>
        <w:br/>
        <w:t>inadequate. Creating policies and procedures is essential to implementing an appropriate</w:t>
        <w:br/>
        <w:t>level of security. However, policies and procedures alone are not sufficient to mitigate the risk</w:t>
        <w:br/>
        <w:t>to data subjects. Where staff manually populate user fields to permit users to access their</w:t>
        <w:br/>
        <w:t>sensitive personal data, such as financial transactions, there is an obligation on a controller to</w:t>
        <w:br/>
        <w:t>regularly assess and evaluate the effectiveness of measures in place and therefore, there must</w:t>
        <w:br/>
        <w:t>be an ongoing and verifiable oversight of how the staff members give effect to the controller's</w:t>
        <w:br/>
        <w:t>policies and procedures. I have had regard to BOI's monthly call monitoring whereby Team</w:t>
        <w:br/>
        <w:t>leaders review a minimum of one call per agent, per month, and that any errors are addressed</w:t>
        <w:br/>
        <w:t>at a monthly coaching session. I find that this level of testing was not appropriate to the risk.</w:t>
        <w:br/>
        <w:t>Considering the importance of maintaining the security of customers' accounts and the high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700" w:right="0" w:firstLine="40"/>
        <w:jc w:val="both"/>
      </w:pPr>
      <w:r>
        <w:rPr>
          <w:rStyle w:val="CharStyle6"/>
        </w:rPr>
        <w:t>risks to the customer arising as a result of accounts being compromised, BOI ought to have</w:t>
        <w:br/>
        <w:t>implemented more robust testing measures. I therefore find BOI infringed Article 5(l)(f) and</w:t>
        <w:br/>
        <w:t>Article 32 GDPR by failing to implement more robust testing measures.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700"/>
        <w:jc w:val="both"/>
      </w:pPr>
      <w:r>
        <w:rPr>
          <w:rStyle w:val="CharStyle6"/>
          <w:i/>
          <w:iCs/>
        </w:rPr>
        <w:t xml:space="preserve">(b) </w:t>
      </w:r>
      <w:r>
        <w:rPr>
          <w:rStyle w:val="CharStyle6"/>
          <w:i/>
          <w:iCs/>
          <w:u w:val="single"/>
        </w:rPr>
        <w:t>Effectiveness of Training and Awareness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700" w:right="0" w:hanging="700"/>
        <w:jc w:val="both"/>
      </w:pPr>
      <w:r>
        <w:rPr>
          <w:rStyle w:val="CharStyle6"/>
        </w:rPr>
        <w:t>In general, training needs to be frequent, regular and appropriate to the activities being</w:t>
        <w:br/>
        <w:t>carried out. The sensitivity of the data processed by BOI, the detailed nature of its Service</w:t>
        <w:br/>
        <w:t>Contact Centre Procedures and the manual population of user fields by staff which permits</w:t>
        <w:br/>
        <w:t>users to access their sensitive personal data means that training should be provided to staff</w:t>
        <w:br/>
        <w:t>frequently and in great detail in order to reduce the likelihood of manual errors leading to</w:t>
        <w:br/>
        <w:t>loss of confidentiality of personal data, as occurred in six of the ten breaches.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700" w:right="0" w:hanging="700"/>
        <w:jc w:val="both"/>
      </w:pPr>
      <w:r>
        <w:rPr>
          <w:rStyle w:val="CharStyle6"/>
        </w:rPr>
        <w:t>Training should also be informed by the risks arising from the processing activities, as outlined</w:t>
        <w:br/>
        <w:t>in risk assessments and should be regularly updated as the risk landscape changes. The</w:t>
        <w:br/>
        <w:t>unintended merging of customer accounts was identified as a contributing factor in relation</w:t>
        <w:br/>
        <w:t>to the unauthorised disclosure of account information. This account merging issue was</w:t>
        <w:br/>
        <w:t>originally identified by BOI in 2019. However, the Risk Event Audio Training module in October</w:t>
        <w:br/>
        <w:t>2019, while it did cover data protection breaches and there was specific reference made to</w:t>
        <w:br/>
        <w:t>the merging of client data, the issue was not explained to staff in detail. I find that the level</w:t>
        <w:br/>
        <w:t>and frequency of staff training provided was not appropriate to the risk. Considering the</w:t>
        <w:br/>
        <w:t>importance of maintaining the security of customers' accounts and the high risks to the</w:t>
        <w:br/>
        <w:t>customer arising as a result of unauthorised disclosure, BOI ought to have implemented more</w:t>
        <w:br/>
        <w:t>frequent and detailed training provisions and I find BOI infringed Article 5(l)(f) and Article</w:t>
        <w:br/>
        <w:t>32(1) by failing to do so.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080" w:right="0" w:firstLine="0"/>
        <w:jc w:val="left"/>
      </w:pPr>
      <w:r>
        <w:rPr>
          <w:rStyle w:val="CharStyle6"/>
          <w:i/>
          <w:iCs/>
          <w:u w:val="single"/>
        </w:rPr>
        <w:t>Records Management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line="298" w:lineRule="auto"/>
        <w:ind w:left="700" w:right="0" w:hanging="700"/>
        <w:jc w:val="both"/>
      </w:pPr>
      <w:r>
        <w:rPr>
          <w:rStyle w:val="CharStyle6"/>
        </w:rPr>
        <w:t>BOI had a range of Data Protection Governance policies and procedures in place to ensure the</w:t>
        <w:br/>
        <w:t>integrity and security of customers' personal data. However, these policies and procedures</w:t>
        <w:br/>
        <w:t>did not include additional controls to prevent human error. While there were follow-ups on</w:t>
        <w:br/>
        <w:t>the part of BOI with regard to breaches caused by staff not following policies and procedures,</w:t>
        <w:br/>
        <w:t>I consider that the checks and enforcement measures in place were inadequate. Creating</w:t>
        <w:br/>
        <w:t>policies and procedures is essential to implementing an appropriate level of security.</w:t>
        <w:br/>
        <w:t>However, policies and procedures alone are not sufficient to mitigate the risk to data subjects.</w:t>
        <w:br/>
        <w:t>Where staff manually populate user fields to permit users to access their sensitive personal</w:t>
        <w:br/>
        <w:t>data, such as financial transactions, there is an obligation on a controller to regularly assess</w:t>
        <w:br/>
        <w:t>and evaluate the effectiveness of measures in place and therefore, there must be an ongoing</w:t>
        <w:br/>
        <w:t>and verifiable oversight of how the staff members give effect to the controller's policies and</w:t>
        <w:br/>
        <w:t>procedures. I have had regard to BOI's monthly call monitoring whereby Team leaders review</w:t>
        <w:br/>
        <w:t>a minimum of one call per agent, per month, and that any errors are addressed at a monthly</w:t>
        <w:br/>
        <w:t>coaching session. I find that this level of testing was not appropriate to the risk and that it</w:t>
        <w:br/>
        <w:t>infringed Article 5(l)(f) and Article 32(1) GDPR by failing to implement adequate testing.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700"/>
        <w:jc w:val="both"/>
      </w:pPr>
      <w:r>
        <w:rPr>
          <w:rStyle w:val="CharStyle6"/>
          <w:i/>
          <w:iCs/>
        </w:rPr>
        <w:t xml:space="preserve">(c) </w:t>
      </w:r>
      <w:r>
        <w:rPr>
          <w:rStyle w:val="CharStyle6"/>
          <w:i/>
          <w:iCs/>
          <w:u w:val="single"/>
        </w:rPr>
        <w:t>Technicgl Megsures</w:t>
      </w:r>
      <w:r>
        <w:br w:type="page"/>
      </w:r>
    </w:p>
    <w:p>
      <w:pPr>
        <w:pStyle w:val="Style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742" w:val="left"/>
        </w:tabs>
        <w:bidi w:val="0"/>
        <w:spacing w:before="0" w:after="240" w:line="240" w:lineRule="auto"/>
        <w:ind w:left="1080" w:right="0" w:firstLine="0"/>
        <w:jc w:val="both"/>
      </w:pPr>
      <w:r>
        <w:rPr>
          <w:rStyle w:val="CharStyle6"/>
          <w:i/>
          <w:iCs/>
          <w:u w:val="single"/>
        </w:rPr>
        <w:t>Testing Security of Personal Data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0"/>
        <w:ind w:left="720" w:right="0" w:hanging="720"/>
        <w:jc w:val="both"/>
      </w:pPr>
      <w:r>
        <w:rPr>
          <w:rStyle w:val="CharStyle6"/>
        </w:rPr>
        <w:t>Article 5(l)(f) GDPR provides for the principle of integrity and confidentiality. It requires that</w:t>
        <w:br/>
        <w:t xml:space="preserve">personal data shall be </w:t>
      </w:r>
      <w:r>
        <w:rPr>
          <w:rStyle w:val="CharStyle6"/>
          <w:i/>
          <w:iCs/>
        </w:rPr>
        <w:t>"processed in a manner that ensures appropriate security of the</w:t>
        <w:br/>
        <w:t>personal data."</w:t>
      </w:r>
      <w:r>
        <w:rPr>
          <w:rStyle w:val="CharStyle6"/>
        </w:rPr>
        <w:t xml:space="preserve"> An appropriate level of security includes </w:t>
      </w:r>
      <w:r>
        <w:rPr>
          <w:rStyle w:val="CharStyle6"/>
          <w:b/>
          <w:bCs/>
        </w:rPr>
        <w:t xml:space="preserve">technical measures </w:t>
      </w:r>
      <w:r>
        <w:rPr>
          <w:rStyle w:val="CharStyle6"/>
        </w:rPr>
        <w:t xml:space="preserve">that have, </w:t>
      </w:r>
      <w:r>
        <w:rPr>
          <w:rStyle w:val="CharStyle6"/>
          <w:i/>
          <w:iCs/>
        </w:rPr>
        <w:t>inter</w:t>
        <w:br/>
        <w:t>alia,</w:t>
      </w:r>
      <w:r>
        <w:rPr>
          <w:rStyle w:val="CharStyle6"/>
        </w:rPr>
        <w:t xml:space="preserve"> the ability to ensure the ongoing confidentiality, integrity, availability and resilience of</w:t>
        <w:br/>
        <w:t>processing systems and services, as Article 32(l)(b) provides. The issues with the CIS,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right"/>
      </w:pPr>
      <w:r>
        <w:rPr>
          <w:rStyle w:val="CharStyle6"/>
        </w:rPr>
        <w:t>introduced a risk of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720" w:right="0" w:firstLine="40"/>
        <w:jc w:val="both"/>
      </w:pPr>
      <w:r>
        <w:rPr>
          <w:rStyle w:val="CharStyle6"/>
        </w:rPr>
        <w:t>over-merging of customer accounts and thus, allowing unauthorised access to customers'</w:t>
        <w:br/>
        <w:t>financial data. BOI first identified the over merging issue in July 2019 and took steps to analyse</w:t>
        <w:br/>
        <w:t>potential invalidly merged accounts from March 2021 onwards, and where appropriate, to</w:t>
        <w:br/>
        <w:t>rectify them. This rectification could have been implemented in a more timely fashion in</w:t>
        <w:br/>
        <w:t>response to the risks first identified by BOI's internal GIA audit in July 2019, which is prior to</w:t>
        <w:br/>
        <w:t>the occurrence of the personal data breaches examined in this inquiry. There was a twenty</w:t>
        <w:br/>
        <w:t>one month gap between BOI identifying the over merging issue on the CIS, via its internal</w:t>
        <w:br/>
        <w:t>audit in 2019, and providing a final technical fix.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 w:line="305" w:lineRule="auto"/>
        <w:ind w:left="720" w:right="0" w:hanging="720"/>
        <w:jc w:val="both"/>
      </w:pPr>
      <w:r>
        <w:rPr>
          <w:rStyle w:val="CharStyle6"/>
        </w:rPr>
        <w:t>Upon becoming aware of the issue of account merging, BOI did not take immediate effective</w:t>
        <w:br/>
        <w:t>steps to prevent ongoing data breaches that arose from the same issue. BOI points out that it</w:t>
        <w:br/>
        <w:t>has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1400" w:right="0" w:firstLine="20"/>
        <w:jc w:val="both"/>
      </w:pPr>
      <w:r>
        <w:rPr>
          <w:rStyle w:val="CharStyle6"/>
          <w:i/>
          <w:iCs/>
        </w:rPr>
        <w:t>developed a systemic remediation process to prevent over-merging occurring in future.</w:t>
        <w:br/>
        <w:t>This process includes two "Day 2 reports", which have been deployed daily since July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1400" w:right="0" w:firstLine="0"/>
        <w:jc w:val="left"/>
      </w:pPr>
      <w:r>
        <w:rPr>
          <w:rStyle w:val="CharStyle6"/>
          <w:i/>
          <w:iCs/>
        </w:rPr>
        <w:t>2020.</w:t>
      </w:r>
      <w:r>
        <w:rPr>
          <w:rStyle w:val="CharStyle6"/>
          <w:i/>
          <w:iCs/>
          <w:vertAlign w:val="superscript"/>
        </w:rPr>
        <w:footnoteReference w:id="47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720" w:right="0" w:firstLine="40"/>
        <w:jc w:val="both"/>
      </w:pPr>
      <w:r>
        <w:rPr>
          <w:rStyle w:val="CharStyle6"/>
        </w:rPr>
        <w:t>However, the ten breaches occurred between February and May 2020. This represents a</w:t>
        <w:br/>
        <w:t>failure on BOI's part to implement appropriate organisational security measures to identify</w:t>
        <w:br/>
        <w:t>the security issues or to take more timely mitigation to remediate the identified issues. When</w:t>
        <w:br/>
        <w:t>the coding error was discovered, BOI ought to have had measures in place to ensure the error</w:t>
        <w:br/>
        <w:t>was rectified quickly. A twenty one month delay is an unacceptably long rectification time, in</w:t>
        <w:br/>
        <w:t>particular for a coding error of this gravity. Therefore, I consider that the technical security</w:t>
        <w:br/>
        <w:t>measures in place at the time of the breach did not meet the standard required by the GDPR.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/>
        <w:ind w:left="0" w:right="0" w:firstLine="0"/>
        <w:jc w:val="left"/>
      </w:pPr>
      <w:r>
        <w:rPr>
          <w:rStyle w:val="CharStyle6"/>
        </w:rPr>
        <w:t>BOI also failed to perform sufficient testing on merged accounts. BOI points out that it has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1400" w:right="0" w:firstLine="20"/>
        <w:jc w:val="both"/>
      </w:pPr>
      <w:r>
        <w:rPr>
          <w:rStyle w:val="CharStyle6"/>
          <w:i/>
          <w:iCs/>
        </w:rPr>
        <w:t>oversight controls in place with its centralised account opening team whereby all</w:t>
        <w:br/>
        <w:t>account openings (i.e. 100% of all accounts opened by customers with BOI) are</w:t>
        <w:br/>
        <w:t>reviewed by management.</w:t>
      </w:r>
      <w:r>
        <w:rPr>
          <w:rStyle w:val="CharStyle6"/>
          <w:i/>
          <w:iCs/>
          <w:vertAlign w:val="superscript"/>
        </w:rPr>
        <w:footnoteReference w:id="48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720" w:right="0" w:firstLine="40"/>
        <w:jc w:val="both"/>
        <w:sectPr>
          <w:footnotePr>
            <w:pos w:val="pageBottom"/>
            <w:numFmt w:val="decimal"/>
            <w:numStart w:val="9"/>
            <w:numRestart w:val="continuous"/>
            <w15:footnoteColumns w:val="1"/>
          </w:footnotePr>
          <w:pgSz w:w="12240" w:h="18720"/>
          <w:pgMar w:top="2369" w:right="1597" w:bottom="2182" w:left="1533" w:header="1941" w:footer="3" w:gutter="0"/>
          <w:cols w:space="720"/>
          <w:noEndnote/>
          <w:rtlGutter w:val="0"/>
          <w:docGrid w:linePitch="360"/>
        </w:sectPr>
      </w:pPr>
      <w:r>
        <w:rPr>
          <w:rStyle w:val="CharStyle6"/>
        </w:rPr>
        <w:t>However, this applies to account openings, not account merging. Meanwhile, BOI's QA</w:t>
        <w:br/>
        <w:t>Procedures (10% sampling of merge) states that only 10% of merges are checked by random</w:t>
        <w:br/>
        <w:t>sampling.</w:t>
      </w:r>
      <w:r>
        <w:rPr>
          <w:rStyle w:val="CharStyle6"/>
          <w:vertAlign w:val="superscript"/>
        </w:rPr>
        <w:footnoteReference w:id="49"/>
      </w:r>
      <w:r>
        <w:rPr>
          <w:rStyle w:val="CharStyle6"/>
        </w:rPr>
        <w:t>1 find this is an insufficiently low volume of testing considering the grave security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302" w:lineRule="auto"/>
        <w:ind w:left="740" w:right="0" w:firstLine="20"/>
        <w:jc w:val="both"/>
      </w:pPr>
      <w:r>
        <w:rPr>
          <w:rStyle w:val="CharStyle6"/>
        </w:rPr>
        <w:t>risks that can result from such merging such as an unauthorised person accessing an account.</w:t>
        <w:br/>
        <w:t>I find BOI infringed Article 5(l)(f) and Article 32(1) GDPR by failing to implement this testing.</w:t>
      </w:r>
    </w:p>
    <w:p>
      <w:pPr>
        <w:pStyle w:val="Style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790" w:val="left"/>
        </w:tabs>
        <w:bidi w:val="0"/>
        <w:spacing w:before="0"/>
        <w:ind w:left="1080" w:right="0" w:firstLine="0"/>
        <w:jc w:val="both"/>
      </w:pPr>
      <w:r>
        <w:rPr>
          <w:rStyle w:val="CharStyle6"/>
          <w:i/>
          <w:iCs/>
          <w:u w:val="single"/>
        </w:rPr>
        <w:t>Organisational Measures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740" w:right="0" w:hanging="740"/>
        <w:jc w:val="both"/>
      </w:pPr>
      <w:r>
        <w:rPr>
          <w:rStyle w:val="CharStyle6"/>
        </w:rPr>
        <w:t>BOI was aware of the issue of concern with the CIS as it was originally identified in 2019 by a</w:t>
        <w:br/>
        <w:t>Group Internal Audit. However, nine out of the ten data breaches were notified to BOI by</w:t>
        <w:br/>
        <w:t>either a data subject or a third party, rather than through follow up action to eliminate the</w:t>
        <w:br/>
        <w:t>impact identified in the BOI audit. This indicates that BOI was not carrying out appropriate</w:t>
        <w:br/>
        <w:t>testing or organisational measures as the breaches were reported by a data subject or a third</w:t>
        <w:br/>
        <w:t>party, as opposed to being identified by internal testing.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0" w:right="0" w:firstLine="0"/>
        <w:jc w:val="both"/>
      </w:pPr>
      <w:r>
        <w:rPr>
          <w:rStyle w:val="CharStyle6"/>
        </w:rPr>
        <w:t>BOI states that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440" w:right="0" w:firstLine="0"/>
        <w:jc w:val="both"/>
      </w:pPr>
      <w:r>
        <w:rPr>
          <w:rStyle w:val="CharStyle6"/>
          <w:i/>
          <w:iCs/>
        </w:rPr>
        <w:t>In October 2022, with a view to improving the effectiveness of measures in place and</w:t>
        <w:br/>
        <w:t>oversight, the teams for errors management assurance, data management and data</w:t>
        <w:br/>
        <w:t>remediation for the retail division were consolidated under single management within</w:t>
        <w:br/>
        <w:t>retail risk management partners.</w:t>
      </w:r>
      <w:r>
        <w:rPr>
          <w:rStyle w:val="CharStyle6"/>
          <w:i/>
          <w:iCs/>
          <w:vertAlign w:val="superscript"/>
        </w:rPr>
        <w:t>57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302" w:lineRule="auto"/>
        <w:ind w:left="740" w:right="0" w:firstLine="20"/>
        <w:jc w:val="both"/>
      </w:pPr>
      <w:r>
        <w:rPr>
          <w:rStyle w:val="CharStyle6"/>
        </w:rPr>
        <w:t>While the DPC welcomes this measure, it was not in place prior to, or at the time of the</w:t>
        <w:br/>
        <w:t>breaches, which are the subject of this inquiry.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line="298" w:lineRule="auto"/>
        <w:ind w:left="740" w:right="0" w:hanging="740"/>
        <w:jc w:val="both"/>
      </w:pPr>
      <w:r>
        <w:rPr>
          <w:rStyle w:val="CharStyle6"/>
        </w:rPr>
        <w:t>The sequence of breaches indicates a failure to act to adjust the effectiveness of ongoing</w:t>
        <w:br/>
        <w:t>technical and organisational measures on becoming aware of earlier breaches in order to</w:t>
        <w:br/>
        <w:t>adequately mitigate the risks. The Article 32(l)(d) GDPR requirement for regularly testing,</w:t>
        <w:br/>
        <w:t>assessing and evaluating the effectiveness ofthe measures must be matched to a requirement</w:t>
        <w:br/>
        <w:t>pursuant to Article 32(l)(b) to take new measures when the existing measures are shown to</w:t>
        <w:br/>
        <w:t>be ineffective. Therefore, the oversight measures demonstrated by BOI did not meet the</w:t>
        <w:br/>
        <w:t>standard required by the GDPR. I therefore find BOI infringed Article 5(l)(f) and Article 32(1)</w:t>
        <w:br/>
        <w:t>GDPR by failing to have adequate oversight measures in place.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18" w:name="bookmark18"/>
      <w:r>
        <w:rPr>
          <w:rStyle w:val="CharStyle19"/>
        </w:rPr>
        <w:t>H. Findings</w:t>
      </w:r>
      <w:bookmarkEnd w:id="18"/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0" w:right="0" w:firstLine="0"/>
        <w:jc w:val="both"/>
      </w:pPr>
      <w:r>
        <w:rPr>
          <w:rStyle w:val="CharStyle6"/>
        </w:rPr>
        <w:t>For the reasons set out above, I find that BOI</w:t>
      </w:r>
    </w:p>
    <w:p>
      <w:pPr>
        <w:pStyle w:val="Style5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465" w:val="left"/>
        </w:tabs>
        <w:bidi w:val="0"/>
        <w:spacing w:before="0" w:line="298" w:lineRule="auto"/>
        <w:ind w:left="1440" w:right="0" w:hanging="340"/>
        <w:jc w:val="both"/>
      </w:pPr>
      <w:r>
        <w:rPr>
          <w:rStyle w:val="CharStyle6"/>
        </w:rPr>
        <w:t>infringed the principle of integrity and confidentiality of Article 5(l)(f) GDPR by failing</w:t>
        <w:br/>
        <w:t>to ensure appropriate security of the personal data related to accounts of its</w:t>
        <w:br/>
        <w:t>customers using appropriate technical and organisational measures and</w:t>
      </w:r>
    </w:p>
    <w:p>
      <w:pPr>
        <w:pStyle w:val="Style5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465" w:val="left"/>
        </w:tabs>
        <w:bidi w:val="0"/>
        <w:spacing w:before="0" w:line="298" w:lineRule="auto"/>
        <w:ind w:left="1440" w:right="0" w:hanging="340"/>
        <w:jc w:val="both"/>
        <w:sectPr>
          <w:footerReference w:type="default" r:id="rId14"/>
          <w:footnotePr>
            <w:pos w:val="pageBottom"/>
            <w:numFmt w:val="decimal"/>
            <w:numStart w:val="9"/>
            <w:numRestart w:val="continuous"/>
            <w15:footnoteColumns w:val="1"/>
          </w:footnotePr>
          <w:pgSz w:w="12240" w:h="18720"/>
          <w:pgMar w:top="2369" w:right="1597" w:bottom="2182" w:left="1533" w:header="1941" w:footer="3" w:gutter="0"/>
          <w:cols w:space="720"/>
          <w:noEndnote/>
          <w:rtlGutter w:val="0"/>
          <w:docGrid w:linePitch="360"/>
        </w:sectPr>
      </w:pPr>
      <w:r>
        <w:rPr>
          <w:rStyle w:val="CharStyle6"/>
        </w:rPr>
        <w:t>infringed Article 32(1) GDPR by failing to implement appropriate technical and</w:t>
        <w:br/>
        <w:t>organisational measures to ensure a level of security appropriate to the risk</w:t>
        <w:br/>
        <w:t>presented by its processing of personal data within the BOI Banking 365 platform.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20" w:name="bookmark20"/>
      <w:r>
        <w:rPr>
          <w:rStyle w:val="CharStyle19"/>
        </w:rPr>
        <w:t>I. Decision on Corrective Powers</w:t>
      </w:r>
      <w:bookmarkEnd w:id="20"/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 w:line="298" w:lineRule="auto"/>
        <w:ind w:left="740" w:right="0" w:hanging="740"/>
        <w:jc w:val="both"/>
      </w:pPr>
      <w:r>
        <w:rPr>
          <w:rStyle w:val="CharStyle6"/>
          <w:color w:val="000000"/>
        </w:rPr>
        <w:t>I have set out above, pursuant to section lll(l)(a) of the 2018 Act, my decision to the effect</w:t>
        <w:br/>
        <w:t>that BOI has infringed Articles 5(l)(f) and 32(1) GDPR.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/>
        <w:ind w:left="740" w:right="0" w:hanging="740"/>
        <w:jc w:val="both"/>
      </w:pPr>
      <w:r>
        <w:rPr>
          <w:rStyle w:val="CharStyle6"/>
          <w:color w:val="000000"/>
        </w:rPr>
        <w:t>Under section 111(2) of the 2018 Act, where the DPC makes a decision (in accordance with</w:t>
        <w:br/>
        <w:t>section lll(l)(a), it must, in addition, make a decision as to whether a corrective power</w:t>
        <w:br/>
        <w:t>should be exercised in respect of the controller or processor concerned and, if so, the</w:t>
        <w:br/>
        <w:t>corrective power to be exercised. The remaining question for determination in this Decision</w:t>
        <w:br/>
        <w:t>is whether or not any of those infringements merit the exercise of any of the corrective</w:t>
        <w:br/>
        <w:t>powers set out in Article 58(2) GDPR and, if so, which corrective powers.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/>
        <w:ind w:left="740" w:right="0" w:hanging="740"/>
        <w:jc w:val="both"/>
      </w:pPr>
      <w:r>
        <w:rPr>
          <w:rStyle w:val="CharStyle6"/>
          <w:color w:val="000000"/>
        </w:rPr>
        <w:t>Article 58(2) GDPR sets out the corrective powers that supervisory authorities may exercise</w:t>
        <w:br/>
        <w:t>in respect of non-compliance by a controller or processor. In deciding whether to exercise</w:t>
        <w:br/>
        <w:t>those powers, Recital 129 provides guidance as follows: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302" w:lineRule="auto"/>
        <w:ind w:left="1140" w:right="0" w:firstLine="20"/>
        <w:jc w:val="both"/>
      </w:pPr>
      <w:r>
        <w:rPr>
          <w:rStyle w:val="CharStyle6"/>
          <w:i/>
          <w:iCs/>
          <w:color w:val="000000"/>
        </w:rPr>
        <w:t>...each measure should be appropriate, necessary and proportionate in view of ensuring</w:t>
        <w:br/>
        <w:t>compliance with this Regulation, taking into account the circumstances of each individual</w:t>
        <w:br/>
        <w:t>case...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/>
        <w:ind w:left="740" w:right="0" w:hanging="740"/>
        <w:jc w:val="both"/>
      </w:pPr>
      <w:r>
        <w:rPr>
          <w:rStyle w:val="CharStyle6"/>
          <w:color w:val="000000"/>
        </w:rPr>
        <w:t>Having carefully considered the infringements identified in this Decision, I have decided to</w:t>
        <w:br/>
        <w:t>exercise certain corrective powers in accordance with section 115 of the 2018 Act and Article</w:t>
        <w:br/>
        <w:t>58(2) GDPR. In summary, the corrective powers that I have decided are appropriate to address</w:t>
        <w:br/>
        <w:t>the infringements in the particular circumstances are:</w:t>
      </w:r>
    </w:p>
    <w:p>
      <w:pPr>
        <w:pStyle w:val="Style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382" w:val="left"/>
        </w:tabs>
        <w:bidi w:val="0"/>
        <w:spacing w:before="0" w:after="180" w:line="276" w:lineRule="auto"/>
        <w:ind w:left="1400" w:right="0" w:hanging="360"/>
        <w:jc w:val="both"/>
      </w:pPr>
      <w:r>
        <w:rPr>
          <w:rStyle w:val="CharStyle6"/>
          <w:color w:val="000000"/>
        </w:rPr>
        <w:t>An order pursuant to Article 58(2)(d) GDPR to BOI to bring its processing operations</w:t>
        <w:br/>
        <w:t>into compliance with the GDPR in the manner specified below;</w:t>
      </w:r>
    </w:p>
    <w:p>
      <w:pPr>
        <w:pStyle w:val="Style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382" w:val="left"/>
        </w:tabs>
        <w:bidi w:val="0"/>
        <w:spacing w:before="0" w:after="180"/>
        <w:ind w:left="1020" w:right="0" w:firstLine="0"/>
        <w:jc w:val="both"/>
      </w:pPr>
      <w:r>
        <w:rPr>
          <w:rStyle w:val="CharStyle6"/>
          <w:color w:val="000000"/>
        </w:rPr>
        <w:t>A reprimand to BOI pursuant to Article 58(2)(b) GDPR; and</w:t>
      </w:r>
    </w:p>
    <w:p>
      <w:pPr>
        <w:pStyle w:val="Style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382" w:val="left"/>
        </w:tabs>
        <w:bidi w:val="0"/>
        <w:spacing w:before="0" w:after="180"/>
        <w:ind w:left="1020" w:right="0" w:firstLine="0"/>
        <w:jc w:val="both"/>
      </w:pPr>
      <w:r>
        <w:rPr>
          <w:rStyle w:val="CharStyle6"/>
          <w:color w:val="000000"/>
        </w:rPr>
        <w:t>One administrative fine of €750,000 for infringement of Article 5(l)(f) GDPR.</w:t>
      </w:r>
      <w:r>
        <w:rPr>
          <w:rStyle w:val="CharStyle6"/>
          <w:color w:val="000000"/>
          <w:vertAlign w:val="superscript"/>
        </w:rPr>
        <w:footnoteReference w:id="50"/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220" w:line="298" w:lineRule="auto"/>
        <w:ind w:left="740" w:right="0" w:hanging="740"/>
        <w:jc w:val="both"/>
      </w:pPr>
      <w:r>
        <w:rPr>
          <w:rStyle w:val="CharStyle6"/>
          <w:color w:val="000000"/>
        </w:rPr>
        <w:t>I set out further detail below in respect of each of these corrective powers and the reasons</w:t>
        <w:br/>
        <w:t>why I have decided to exercise them.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2" w:name="bookmark22"/>
      <w:r>
        <w:rPr>
          <w:rStyle w:val="CharStyle19"/>
        </w:rPr>
        <w:t>j. Order to Bring Processing into Compliance</w:t>
      </w:r>
      <w:bookmarkEnd w:id="22"/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/>
        <w:ind w:left="0" w:right="0" w:firstLine="0"/>
        <w:jc w:val="both"/>
      </w:pPr>
      <w:r>
        <w:rPr>
          <w:rStyle w:val="CharStyle6"/>
          <w:color w:val="000000"/>
        </w:rPr>
        <w:t>Article 58(2)(d) GDPR provides that a supervisory authority shall have the power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1140" w:right="0" w:firstLine="20"/>
        <w:jc w:val="both"/>
      </w:pPr>
      <w:r>
        <w:rPr>
          <w:rStyle w:val="CharStyle6"/>
          <w:i/>
          <w:iCs/>
          <w:color w:val="000000"/>
        </w:rPr>
        <w:t>to order the controller or processor to bring processing operations into compliance with</w:t>
        <w:br/>
        <w:t>the provisions of this Regulation, where appropriate, in a specified manner and within a</w:t>
        <w:br/>
        <w:t>specified period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 w:after="180" w:line="298" w:lineRule="auto"/>
        <w:ind w:left="740" w:right="0" w:hanging="740"/>
        <w:jc w:val="left"/>
        <w:sectPr>
          <w:footerReference w:type="default" r:id="rId15"/>
          <w:footnotePr>
            <w:pos w:val="pageBottom"/>
            <w:numFmt w:val="decimal"/>
            <w:numStart w:val="10"/>
            <w:numRestart w:val="continuous"/>
            <w15:footnoteColumns w:val="1"/>
          </w:footnotePr>
          <w:pgSz w:w="12240" w:h="18720"/>
          <w:pgMar w:top="2516" w:right="1600" w:bottom="2204" w:left="1515" w:header="2088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color w:val="000000"/>
        </w:rPr>
        <w:t>In circumstances where I have found that the processing at issue was not in compliance with</w:t>
        <w:br/>
        <w:t>the GDPR, I make an order pursuant to Article 58(2)(d) GDPR. Therefore, I order BOI to bring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780" w:right="0" w:firstLine="0"/>
        <w:jc w:val="both"/>
      </w:pPr>
      <w:r>
        <w:rPr>
          <w:rStyle w:val="CharStyle6"/>
        </w:rPr>
        <w:t>the relevant processing into compliance with Articles 5(l)(f) and 32(1) GDPR in the terms set</w:t>
        <w:br/>
        <w:t>out in the table below through implementing appropriate technical and organisational</w:t>
        <w:br/>
        <w:t>measures to ensure a level of security appropriate to the risks.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730" w:val="left"/>
        </w:tabs>
        <w:bidi w:val="0"/>
        <w:spacing w:before="0"/>
        <w:ind w:left="780" w:right="0" w:hanging="780"/>
        <w:jc w:val="both"/>
      </w:pPr>
      <w:r>
        <w:rPr>
          <w:rStyle w:val="CharStyle6"/>
        </w:rPr>
        <w:t>It is my view that these orders are appropriate, necessary and proportionate in view of</w:t>
        <w:br/>
        <w:t>ensuring compliance with Articles 5(l)(f) and 32(1) GDPR. In this regard, I acknowledge BOI's</w:t>
        <w:br/>
        <w:t>on-going remedial actions, as outlined in submissions throughout the Inquiry.</w:t>
      </w:r>
    </w:p>
    <w:p>
      <w:pPr>
        <w:pStyle w:val="Style4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8" w:right="0" w:firstLine="0"/>
        <w:jc w:val="left"/>
      </w:pPr>
      <w:r>
        <w:rPr>
          <w:rStyle w:val="CharStyle46"/>
        </w:rPr>
        <w:t>89. The orders I am imposing are set out in the following table:</w:t>
      </w:r>
    </w:p>
    <w:tbl>
      <w:tblPr>
        <w:tblOverlap w:val="never"/>
        <w:jc w:val="center"/>
        <w:tblLayout w:type="fixed"/>
      </w:tblPr>
      <w:tblGrid>
        <w:gridCol w:w="1099"/>
        <w:gridCol w:w="5030"/>
        <w:gridCol w:w="2904"/>
      </w:tblGrid>
      <w:tr>
        <w:trPr>
          <w:trHeight w:val="29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48"/>
                <w:b/>
                <w:bCs/>
              </w:rPr>
              <w:t>Number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48"/>
                <w:b/>
                <w:bCs/>
              </w:rPr>
              <w:t>Infringement and Action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48"/>
                <w:b/>
                <w:bCs/>
              </w:rPr>
              <w:t>Timescale</w:t>
            </w:r>
          </w:p>
        </w:tc>
      </w:tr>
      <w:tr>
        <w:trPr>
          <w:trHeight w:val="40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48"/>
              </w:rPr>
              <w:t>1.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26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Articles 5(l)(f) and 32(1) GDPR</w:t>
              <w:br/>
              <w:t>Lack of robust validation procedures and quality</w:t>
              <w:br/>
              <w:t>assurance controls.</w:t>
            </w:r>
          </w:p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center"/>
            </w:pPr>
            <w:r>
              <w:rPr>
                <w:rStyle w:val="CharStyle48"/>
              </w:rPr>
              <w:t>1 order BOI to upgrade its validation controls in</w:t>
              <w:br/>
              <w:t>relation to data input by staff, as well as data in the</w:t>
              <w:br/>
              <w:t>CIS, in order to ensure the integrity, confidentiality</w:t>
              <w:br/>
              <w:t>and security of that data relating to BOI's obligations</w:t>
              <w:br/>
              <w:t>under Article 5(l)(f).</w:t>
            </w:r>
          </w:p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59" w:lineRule="auto"/>
              <w:ind w:left="0" w:right="0" w:firstLine="0"/>
              <w:jc w:val="center"/>
            </w:pPr>
            <w:r>
              <w:rPr>
                <w:rStyle w:val="CharStyle48"/>
              </w:rPr>
              <w:t>1 order BOI to implement quality assurance controls</w:t>
              <w:br/>
              <w:t>to ensure this upgraded procedure is followed</w:t>
              <w:br/>
              <w:t>relating to BOI's obligations under Article 32(1).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center"/>
            </w:pPr>
            <w:r>
              <w:rPr>
                <w:rStyle w:val="CharStyle48"/>
              </w:rPr>
              <w:t>BOI is required to confirm to</w:t>
              <w:br/>
              <w:t>the DPC within 90 days of</w:t>
              <w:br/>
              <w:t>receiving this Decision that</w:t>
              <w:br/>
              <w:t>this order has been complied</w:t>
              <w:br/>
              <w:t>with.</w:t>
            </w:r>
          </w:p>
        </w:tc>
      </w:tr>
      <w:tr>
        <w:trPr>
          <w:trHeight w:val="269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Style w:val="CharStyle48"/>
              </w:rPr>
              <w:t>2.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Articles 5(l)(f) and 32(1) GDPR</w:t>
            </w:r>
          </w:p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26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Lack of emphasis in training materials on the</w:t>
              <w:br/>
              <w:t>importance of regular data protection and awareness</w:t>
              <w:br/>
              <w:t>training to staff, as well as training related to merging</w:t>
              <w:br/>
              <w:t>client data and how to prevent manual errors</w:t>
              <w:br/>
              <w:t>relating to BOI's obligations under Article 5(l)(f)..</w:t>
            </w:r>
          </w:p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1 order BOI to implement relevant training for staff</w:t>
              <w:br/>
              <w:t>relating to BOI's obligations under Article 32(1) GDPR.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center"/>
            </w:pPr>
            <w:r>
              <w:rPr>
                <w:rStyle w:val="CharStyle48"/>
              </w:rPr>
              <w:t>BOI is required to confirm to</w:t>
              <w:br/>
              <w:t>the DPC within 90 days of</w:t>
              <w:br/>
              <w:t>receiving this Decision that</w:t>
              <w:br/>
              <w:t>this order has been complied</w:t>
              <w:br/>
              <w:t>with.</w:t>
            </w:r>
          </w:p>
        </w:tc>
      </w:tr>
      <w:tr>
        <w:trPr>
          <w:trHeight w:val="215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48"/>
              </w:rPr>
              <w:t>3.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26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Articles 5(l)(f) and 32(1) GDPR</w:t>
              <w:br/>
              <w:t>Lack of robust testing measures</w:t>
            </w:r>
          </w:p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1 order BOI to implement appropriate testing</w:t>
              <w:br/>
              <w:t>measures so as to reduce the risk of further coding</w:t>
              <w:br/>
              <w:t>errors occurring with the Banking 365 Service relating</w:t>
              <w:br/>
              <w:t>to BOI's obligations under Articles 5(l)(f) and 32(1)</w:t>
              <w:br/>
              <w:t>GDPR.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BOI is required to confirm to</w:t>
              <w:br/>
              <w:t>the DPC within 90 days of</w:t>
              <w:br/>
              <w:t>receiving this Decision that</w:t>
              <w:br/>
              <w:t>this order has been complied</w:t>
              <w:br/>
              <w:t>with.</w:t>
            </w:r>
          </w:p>
        </w:tc>
      </w:tr>
      <w:tr>
        <w:trPr>
          <w:trHeight w:val="190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Style w:val="CharStyle48"/>
              </w:rPr>
              <w:t>4.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26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Articles 5(l)(f) and 32(1) GDPR</w:t>
              <w:br/>
              <w:t>Lack of emphasis on remediating errors quickly</w:t>
            </w:r>
          </w:p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2" w:lineRule="auto"/>
              <w:ind w:left="0" w:right="0" w:firstLine="0"/>
              <w:jc w:val="center"/>
            </w:pPr>
            <w:r>
              <w:rPr>
                <w:rStyle w:val="CharStyle48"/>
              </w:rPr>
              <w:t>1 order BOI to implement a process which ensures</w:t>
              <w:br/>
              <w:t>that any coding errors discovered in relation to the</w:t>
              <w:br/>
              <w:t>Banking 365 Service which allow unauthorised access</w:t>
              <w:br/>
              <w:t>to customer accounts are remediated without delay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center"/>
            </w:pPr>
            <w:r>
              <w:rPr>
                <w:rStyle w:val="CharStyle48"/>
              </w:rPr>
              <w:t>BOI is required to confirm to</w:t>
              <w:br/>
              <w:t>the DPC within 90 days of</w:t>
              <w:br/>
              <w:t>receiving this Decision that</w:t>
              <w:br/>
              <w:t>this order has been complied</w:t>
              <w:br/>
              <w:t>with.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1080"/>
        <w:gridCol w:w="5035"/>
        <w:gridCol w:w="2890"/>
      </w:tblGrid>
      <w:tr>
        <w:trPr>
          <w:trHeight w:val="84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center"/>
            </w:pPr>
            <w:r>
              <w:rPr>
                <w:rStyle w:val="CharStyle48"/>
              </w:rPr>
              <w:t>relating to BOI's obligations under Articles 5(l)(f) and</w:t>
              <w:br/>
              <w:t>32(1) GDPR.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19" w:val="left"/>
        </w:tabs>
        <w:bidi w:val="0"/>
        <w:spacing w:before="0" w:line="298" w:lineRule="auto"/>
        <w:ind w:left="700" w:right="0" w:hanging="700"/>
        <w:jc w:val="both"/>
      </w:pPr>
      <w:r>
        <w:rPr>
          <w:rStyle w:val="CharStyle6"/>
        </w:rPr>
        <w:t>My decision to impose the orders is made to ensure that full effect is given to BOI's obligations</w:t>
        <w:br/>
        <w:t>under Articles 5(l)(f) and 32(1) GDPR. I consider that these orders are appropriate, necessary</w:t>
        <w:br/>
        <w:t>and proportionate in view of ensuring compliance with the GDPR.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19" w:val="left"/>
        </w:tabs>
        <w:bidi w:val="0"/>
        <w:spacing w:before="0"/>
        <w:ind w:left="700" w:right="0" w:hanging="700"/>
        <w:jc w:val="both"/>
      </w:pPr>
      <w:r>
        <w:rPr>
          <w:rStyle w:val="CharStyle6"/>
        </w:rPr>
        <w:t>I consider that these orders are necessary to ensure that full effect is given to BOI's obligations</w:t>
        <w:br/>
        <w:t>in relation to the data security infringements outlined above, having particular regard to the</w:t>
        <w:br/>
        <w:t>high quantity, highly sensitive personal data of data subjects processed by BOI via Banking365.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19" w:val="left"/>
        </w:tabs>
        <w:bidi w:val="0"/>
        <w:spacing w:before="0" w:after="0" w:line="298" w:lineRule="auto"/>
        <w:ind w:left="0" w:right="0" w:firstLine="0"/>
        <w:jc w:val="both"/>
      </w:pPr>
      <w:r>
        <w:rPr>
          <w:rStyle w:val="CharStyle6"/>
        </w:rPr>
        <w:t>The substance of these orders is the only way in which the defects pointed out in this Decision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98" w:lineRule="auto"/>
        <w:ind w:left="700" w:right="0" w:firstLine="40"/>
        <w:jc w:val="both"/>
      </w:pPr>
      <w:r>
        <w:rPr>
          <w:rStyle w:val="CharStyle6"/>
        </w:rPr>
        <w:t>can be rectified, which is essential to the protection ofthe rights of data subjects. It is on this</w:t>
        <w:br/>
        <w:t>basis that I am of the view that this power should be imposed.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19" w:val="left"/>
        </w:tabs>
        <w:bidi w:val="0"/>
        <w:spacing w:before="0"/>
        <w:ind w:left="700" w:right="0" w:hanging="700"/>
        <w:jc w:val="both"/>
      </w:pPr>
      <w:r>
        <w:rPr>
          <w:rStyle w:val="CharStyle6"/>
        </w:rPr>
        <w:t>Having regard to the non-compliance identified in this Decision, in my view, such orders are</w:t>
        <w:br/>
        <w:t>proportionate and are the minimum orders required in order to guarantee that compliance</w:t>
        <w:br/>
        <w:t>will take place in the future. I am satisfied that the orders are a necessary and proportionate</w:t>
        <w:br/>
        <w:t>action.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19" w:val="left"/>
        </w:tabs>
        <w:bidi w:val="0"/>
        <w:spacing w:before="0"/>
        <w:ind w:left="700" w:right="0" w:hanging="700"/>
        <w:jc w:val="both"/>
      </w:pPr>
      <w:r>
        <w:rPr>
          <w:rStyle w:val="CharStyle6"/>
        </w:rPr>
        <w:t>I therefore require BOI to comply with the above orders within the time specified from the</w:t>
        <w:br/>
        <w:t>date of notification of this decision. Further to this, I require BOI to submit a report to the DPC</w:t>
        <w:br/>
        <w:t>within a further month detailing the actions it has taken to comply with the orders.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24" w:name="bookmark24"/>
      <w:r>
        <w:rPr>
          <w:rStyle w:val="CharStyle19"/>
          <w:color w:val="9DB7C1"/>
        </w:rPr>
        <w:t>K. Reprimand</w:t>
      </w:r>
      <w:bookmarkEnd w:id="24"/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19" w:val="left"/>
        </w:tabs>
        <w:bidi w:val="0"/>
        <w:spacing w:before="0"/>
        <w:ind w:left="0" w:right="0" w:firstLine="0"/>
        <w:jc w:val="both"/>
      </w:pPr>
      <w:r>
        <w:rPr>
          <w:rStyle w:val="CharStyle6"/>
        </w:rPr>
        <w:t>Article 58(2)(b) GDPR provides that a supervisory authority shall have the power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302" w:lineRule="auto"/>
        <w:ind w:left="1120" w:right="0" w:firstLine="0"/>
        <w:jc w:val="both"/>
      </w:pPr>
      <w:r>
        <w:rPr>
          <w:rStyle w:val="CharStyle6"/>
          <w:i/>
          <w:iCs/>
        </w:rPr>
        <w:t>to issue reprimands to a controller or a processor where processing operations have</w:t>
        <w:br/>
        <w:t>infringed provisions of this Regulation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19" w:val="left"/>
        </w:tabs>
        <w:bidi w:val="0"/>
        <w:spacing w:before="0"/>
        <w:ind w:left="700" w:right="0" w:hanging="700"/>
        <w:jc w:val="both"/>
      </w:pPr>
      <w:r>
        <w:rPr>
          <w:rStyle w:val="CharStyle6"/>
        </w:rPr>
        <w:t>I issue BOI with a reprimand in respect of its infringements of Article 5(l)(f) and Article 32(1)</w:t>
        <w:br/>
        <w:t>GDPR identified in this Decision. The purpose ofthe reprimand is to dissuade non-compliance</w:t>
        <w:br/>
        <w:t>with the GDPR. The infringements contributed to a higher risk of fraud and financial loss in</w:t>
        <w:br/>
        <w:t>respect ofthe data subjects. Reprimands are appropriate in respect of such non-compliance</w:t>
        <w:br/>
        <w:t>in order to formally recognise the serious nature ofthe infringements and to dissuade such</w:t>
        <w:br/>
        <w:t>non-compliance. The reprimand is necessary and proportionate in addition to the order in</w:t>
        <w:br/>
        <w:t>Part I of this Decision. While the order would require specific remedial action on the part of</w:t>
        <w:br/>
        <w:t>BOI, the reprimand formally recognises the serious nature of these infringements. I consider</w:t>
        <w:br/>
        <w:t>that it is appropriate to formally recognise the serious nature of the infringements with a</w:t>
        <w:br/>
        <w:t>reprimand in order to deter future similar non-compliance by BOI and other controllers or</w:t>
        <w:br/>
        <w:t>processors carrying out similar processing operations. By formally recognising the serious</w:t>
        <w:br/>
        <w:t>nature of the infringements, the reprimand will contribute to ensuring that BOI and other</w:t>
        <w:br/>
        <w:t>controllers and processors take appropriate steps in relation to current and future processing</w:t>
        <w:br/>
        <w:t>operations in order to comply with their obligations with regard to the security of personal</w:t>
        <w:br/>
        <w:t>data.</w:t>
      </w:r>
      <w:r>
        <w:br w:type="page"/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26" w:name="bookmark26"/>
      <w:r>
        <w:rPr>
          <w:rStyle w:val="CharStyle19"/>
        </w:rPr>
        <w:t>L, Administrative Fines</w:t>
      </w:r>
      <w:bookmarkEnd w:id="26"/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 w:line="302" w:lineRule="auto"/>
        <w:ind w:left="0" w:right="0" w:firstLine="0"/>
        <w:jc w:val="left"/>
      </w:pPr>
      <w:r>
        <w:rPr>
          <w:rStyle w:val="CharStyle6"/>
        </w:rPr>
        <w:t>Article 58(2)(i) GDPR provides that a supervisory authority shall have the power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302" w:lineRule="auto"/>
        <w:ind w:left="1120" w:right="0" w:firstLine="20"/>
        <w:jc w:val="both"/>
      </w:pPr>
      <w:r>
        <w:rPr>
          <w:rStyle w:val="CharStyle6"/>
          <w:i/>
          <w:iCs/>
        </w:rPr>
        <w:t>to impose an administrative fine pursuant to Article 83, in addition to, or instead of</w:t>
        <w:br/>
        <w:t>measures referred to in this paragraph, depending on the circumstances of each individual</w:t>
        <w:br/>
        <w:t>case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/>
        <w:ind w:left="740" w:right="0" w:hanging="740"/>
        <w:jc w:val="both"/>
      </w:pPr>
      <w:r>
        <w:rPr>
          <w:rStyle w:val="CharStyle6"/>
        </w:rPr>
        <w:t>This makes clear that the DPC may impose administrative fines in addition to, or instead of,</w:t>
        <w:br/>
        <w:t>the order and reprimand also imposed in this Decision. Section 115 of the 2018 Act mirrors</w:t>
        <w:br/>
        <w:t>this by providing that the DPC may do either or both of imposing an administrative fine and</w:t>
        <w:br/>
        <w:t>exercising any other corrective power specified in Article 58(2) GDPR.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 w:line="302" w:lineRule="auto"/>
        <w:ind w:left="0" w:right="0" w:firstLine="0"/>
        <w:jc w:val="left"/>
      </w:pPr>
      <w:r>
        <w:rPr>
          <w:rStyle w:val="CharStyle6"/>
        </w:rPr>
        <w:t>Article 83(1) GDPR provides: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302" w:lineRule="auto"/>
        <w:ind w:left="1120" w:right="0" w:firstLine="20"/>
        <w:jc w:val="both"/>
      </w:pPr>
      <w:r>
        <w:rPr>
          <w:rStyle w:val="CharStyle6"/>
          <w:i/>
          <w:iCs/>
        </w:rPr>
        <w:t>Each supervisory authority shall ensure that the imposition of administrative fines</w:t>
        <w:br/>
        <w:t>pursuant to this Article in respect of infringements of this Regulation referred to in</w:t>
        <w:br/>
        <w:t>paragraphs 4, 5 and 6 shall in each individual case be effective, proportionate and</w:t>
        <w:br/>
        <w:t>dissuasive.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/>
        <w:ind w:left="740" w:right="0" w:hanging="740"/>
        <w:jc w:val="both"/>
      </w:pPr>
      <w:r>
        <w:rPr>
          <w:rStyle w:val="CharStyle6"/>
        </w:rPr>
        <w:t>Article 83(2) GDPR provides that when deciding whether to impose an administrative fine and</w:t>
        <w:br/>
        <w:t>deciding on the amount of the administrative fine in each individual case, due regard shall be</w:t>
        <w:br/>
        <w:t>given to the following: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512" w:val="left"/>
        </w:tabs>
        <w:bidi w:val="0"/>
        <w:spacing w:before="0" w:after="180"/>
        <w:ind w:left="1380" w:right="0" w:hanging="240"/>
        <w:jc w:val="left"/>
      </w:pPr>
      <w:r>
        <w:rPr>
          <w:rStyle w:val="CharStyle6"/>
          <w:i/>
          <w:iCs/>
        </w:rPr>
        <w:t>the nature, gravity and duration of the infringement taking into account the nature,</w:t>
        <w:br/>
        <w:t>scope or purpose of the processing concerned as well as the number of data subjects</w:t>
        <w:br/>
        <w:t>affected and the level of damage suffered by them;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487" w:val="left"/>
        </w:tabs>
        <w:bidi w:val="0"/>
        <w:spacing w:before="0" w:after="180" w:line="302" w:lineRule="auto"/>
        <w:ind w:left="1120" w:right="0" w:firstLine="0"/>
        <w:jc w:val="left"/>
      </w:pPr>
      <w:r>
        <w:rPr>
          <w:rStyle w:val="CharStyle6"/>
          <w:i/>
          <w:iCs/>
        </w:rPr>
        <w:t>the intentional or negligent character of the infringement;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488" w:val="left"/>
        </w:tabs>
        <w:bidi w:val="0"/>
        <w:spacing w:before="0" w:after="180" w:line="307" w:lineRule="auto"/>
        <w:ind w:left="1380" w:right="0" w:hanging="240"/>
        <w:jc w:val="left"/>
      </w:pPr>
      <w:r>
        <w:rPr>
          <w:rStyle w:val="CharStyle6"/>
          <w:i/>
          <w:iCs/>
        </w:rPr>
        <w:t>any action taken by the controller or processor to mitigate the damage suffered by</w:t>
        <w:br/>
        <w:t>data subjects;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512" w:val="left"/>
        </w:tabs>
        <w:bidi w:val="0"/>
        <w:spacing w:before="0" w:after="180"/>
        <w:ind w:left="1380" w:right="0" w:hanging="240"/>
        <w:jc w:val="left"/>
      </w:pPr>
      <w:r>
        <w:rPr>
          <w:rStyle w:val="CharStyle6"/>
          <w:i/>
          <w:iCs/>
        </w:rPr>
        <w:t>the degree of responsibility of the controller or processor taking into account</w:t>
        <w:br/>
        <w:t>technical and organisational measures implemented by them pursuant to Articles 25</w:t>
        <w:br/>
        <w:t>and 32;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483" w:val="left"/>
        </w:tabs>
        <w:bidi w:val="0"/>
        <w:spacing w:before="0" w:after="180" w:line="302" w:lineRule="auto"/>
        <w:ind w:left="1120" w:right="0" w:firstLine="0"/>
        <w:jc w:val="left"/>
      </w:pPr>
      <w:r>
        <w:rPr>
          <w:rStyle w:val="CharStyle6"/>
          <w:i/>
          <w:iCs/>
        </w:rPr>
        <w:t>any relevant previous infringements by the controller or processor;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464" w:val="left"/>
        </w:tabs>
        <w:bidi w:val="0"/>
        <w:spacing w:before="0" w:after="180" w:line="302" w:lineRule="auto"/>
        <w:ind w:left="1380" w:right="0" w:hanging="240"/>
        <w:jc w:val="left"/>
      </w:pPr>
      <w:r>
        <w:rPr>
          <w:rStyle w:val="CharStyle6"/>
          <w:i/>
          <w:iCs/>
        </w:rPr>
        <w:t>the degree of cooperation with the supervisory authority, in order to remedy the</w:t>
        <w:br/>
        <w:t>infringement and mitigate the possible adverse effects of the infringement;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492" w:val="left"/>
        </w:tabs>
        <w:bidi w:val="0"/>
        <w:spacing w:before="0" w:after="180" w:line="302" w:lineRule="auto"/>
        <w:ind w:left="1120" w:right="0" w:firstLine="0"/>
        <w:jc w:val="left"/>
      </w:pPr>
      <w:r>
        <w:rPr>
          <w:rStyle w:val="CharStyle6"/>
          <w:i/>
          <w:iCs/>
        </w:rPr>
        <w:t>the categories of personal data affected by the infringement;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512" w:val="left"/>
        </w:tabs>
        <w:bidi w:val="0"/>
        <w:spacing w:before="0" w:after="180" w:line="302" w:lineRule="auto"/>
        <w:ind w:left="1380" w:right="0" w:hanging="240"/>
        <w:jc w:val="left"/>
        <w:sectPr>
          <w:footnotePr>
            <w:pos w:val="pageBottom"/>
            <w:numFmt w:val="decimal"/>
            <w:numStart w:val="10"/>
            <w:numRestart w:val="continuous"/>
            <w15:footnoteColumns w:val="1"/>
          </w:footnotePr>
          <w:pgSz w:w="12240" w:h="18720"/>
          <w:pgMar w:top="2363" w:right="1590" w:bottom="2342" w:left="1549" w:header="1935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i/>
          <w:iCs/>
        </w:rPr>
        <w:t>the manner in which the infringement became known to the supervisory authority, in</w:t>
        <w:br/>
        <w:t>particular whether, and if so to what extent, the controller or processor notified the</w:t>
        <w:br/>
        <w:t>infringement;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478" w:val="left"/>
        </w:tabs>
        <w:bidi w:val="0"/>
        <w:spacing w:before="0" w:after="180" w:line="302" w:lineRule="auto"/>
        <w:ind w:left="1460" w:right="0" w:hanging="280"/>
        <w:jc w:val="left"/>
      </w:pPr>
      <w:r>
        <w:rPr>
          <w:rStyle w:val="CharStyle6"/>
          <w:i/>
          <w:iCs/>
        </w:rPr>
        <w:t>where measures referred to in Article 58(2) have previously been ordered against the</w:t>
        <w:br/>
        <w:t>controller or processor concerned with regard to the same subject-matter,</w:t>
        <w:br/>
        <w:t>compliance with those measures;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483" w:val="left"/>
        </w:tabs>
        <w:bidi w:val="0"/>
        <w:spacing w:before="0" w:after="180" w:line="302" w:lineRule="auto"/>
        <w:ind w:left="1460" w:right="0" w:hanging="280"/>
        <w:jc w:val="left"/>
      </w:pPr>
      <w:r>
        <w:rPr>
          <w:rStyle w:val="CharStyle6"/>
          <w:i/>
          <w:iCs/>
        </w:rPr>
        <w:t>adherence to approved codes of conduct pursuant to Article 40 or approved</w:t>
        <w:br/>
        <w:t>certification mechanisms pursuant to Article 42; and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531" w:val="left"/>
        </w:tabs>
        <w:bidi w:val="0"/>
        <w:spacing w:before="0" w:after="180" w:line="302" w:lineRule="auto"/>
        <w:ind w:left="1460" w:right="0" w:hanging="280"/>
        <w:jc w:val="left"/>
      </w:pPr>
      <w:r>
        <w:rPr>
          <w:rStyle w:val="CharStyle6"/>
          <w:i/>
          <w:iCs/>
        </w:rPr>
        <w:t>any other aggravating or mitigating factor applicable to the circumstances of the</w:t>
        <w:br/>
        <w:t>case, such as financial benefits gained, or losses avoided, directly or indirectly, from</w:t>
        <w:br/>
        <w:t>the infringement.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</w:rPr>
        <w:t>The decision as to whetherto impose an administrative fine in respect of an infringement is a</w:t>
        <w:br/>
        <w:t>cumulative decision which is taken having had regard to all of the factors as set out in Article</w:t>
        <w:br/>
        <w:t>83(2)(a) to (k) GDPR. Therefore, I will now proceed to consider each of these factors in turn in</w:t>
        <w:br/>
        <w:t>respect of each of the individual infringements identified in this Decision respectively.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</w:rPr>
        <w:t>In applying the Article 83(2)(a) to (k) GDPR factors to the infringements, I have set out below</w:t>
        <w:br/>
        <w:t>my analysis of the infringements collectively, where it is possible to do so. Regardless of</w:t>
        <w:br/>
        <w:t>whether the analysis below is individual or collective in respect of a particular factor or</w:t>
        <w:br/>
        <w:t>infringement, I have considered the infringement of Article 5(l)(f) GDPR and the infringement</w:t>
        <w:br/>
        <w:t>of Article 32(1) GDPR separately when deciding whether to impose an administrative fine in</w:t>
        <w:br/>
        <w:t>respect of each infringement. I have made a separate decision on each infringement, and I</w:t>
        <w:br/>
        <w:t>have made each decision without prejudice to any factors arising in respect of the other</w:t>
        <w:br/>
        <w:t>infringement. For the avoidance of doubt, my decision as to whether to impose an</w:t>
        <w:br/>
        <w:t>administrative fine in respect of each infringement, and the amount of that fine where</w:t>
        <w:br/>
        <w:t>applicable, is independent and specific to the circumstances of each particular infringement.</w:t>
        <w:br/>
        <w:t xml:space="preserve">In its submission, BOI wished it stated that </w:t>
      </w:r>
      <w:r>
        <w:rPr>
          <w:rStyle w:val="CharStyle6"/>
          <w:i/>
          <w:iCs/>
        </w:rPr>
        <w:t>"BOI has reserved its position in relation to Article</w:t>
        <w:br/>
        <w:t>83(3) GDPR."</w:t>
      </w:r>
      <w:r>
        <w:rPr>
          <w:rStyle w:val="CharStyle6"/>
          <w:i/>
          <w:iCs/>
          <w:vertAlign w:val="superscript"/>
        </w:rPr>
        <w:t>59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/>
        <w:ind w:left="560" w:right="0" w:firstLine="0"/>
        <w:jc w:val="left"/>
      </w:pPr>
      <w:r>
        <w:rPr>
          <w:rStyle w:val="CharStyle6"/>
          <w:b/>
          <w:bCs/>
          <w:u w:val="single"/>
        </w:rPr>
        <w:t>Article 83(2)(a) GDPR: the nature, gravity and duration of the infringement taking into</w:t>
        <w:br/>
        <w:t>account the nature scope or purpose of the processing concerned as well as the number of</w:t>
        <w:br/>
        <w:t>data subjects affected and the level of damage suffered by them;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/>
        <w:ind w:left="720" w:right="0" w:hanging="720"/>
        <w:jc w:val="both"/>
      </w:pPr>
      <w:r>
        <w:rPr>
          <w:rStyle w:val="CharStyle6"/>
        </w:rPr>
        <w:t>In considering the nature, gravity and duration of BOI's infringements, I have had regard to</w:t>
        <w:br/>
        <w:t>the analysis in Part F of this Decision concerning the nature, scope, context and purposes of</w:t>
        <w:br/>
        <w:t>the processing. Article 83(2)(a) GDPR requires that I have due regard to the nature, gravity</w:t>
        <w:br/>
        <w:t>and duration of the infringement. Article 83(2)(a) GDPR also requires me to have due regard</w:t>
        <w:br/>
        <w:t>to the number of data subjects affected by the infringement and the level of damage suffered</w:t>
        <w:br/>
        <w:t>by them.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 w:line="307" w:lineRule="auto"/>
        <w:ind w:left="720" w:right="0" w:hanging="720"/>
        <w:jc w:val="both"/>
      </w:pPr>
      <w:r>
        <w:rPr>
          <w:rStyle w:val="CharStyle6"/>
        </w:rPr>
        <w:t>Therefore, I will first consider these issues before proceeding to consider the nature, gravity</w:t>
        <w:br/>
        <w:t>and duration of the infringements.</w:t>
      </w:r>
    </w:p>
    <w:p>
      <w:pPr>
        <w:pStyle w:val="Style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730" w:val="left"/>
        </w:tabs>
        <w:bidi w:val="0"/>
        <w:spacing w:before="0" w:after="180" w:line="298" w:lineRule="auto"/>
        <w:ind w:left="720" w:right="0" w:hanging="720"/>
        <w:jc w:val="both"/>
        <w:sectPr>
          <w:footerReference w:type="default" r:id="rId16"/>
          <w:footnotePr>
            <w:pos w:val="pageBottom"/>
            <w:numFmt w:val="decimal"/>
            <w:numStart w:val="10"/>
            <w:numRestart w:val="continuous"/>
            <w15:footnoteColumns w:val="1"/>
          </w:footnotePr>
          <w:pgSz w:w="12240" w:h="18720"/>
          <w:pgMar w:top="2363" w:right="1590" w:bottom="2342" w:left="1549" w:header="1935" w:footer="3" w:gutter="0"/>
          <w:cols w:space="720"/>
          <w:noEndnote/>
          <w:rtlGutter w:val="0"/>
          <w:docGrid w:linePitch="360"/>
        </w:sectPr>
      </w:pPr>
      <w:r>
        <w:rPr>
          <w:rStyle w:val="CharStyle6"/>
        </w:rPr>
        <w:t>The key risk arising from this processing was that an unauthorised person could gain access</w:t>
        <w:br/>
        <w:t>to a customer's account and/or be able to use any or all of the elements of the service listed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t>18</w:t>
      </w:r>
      <w:r>
        <w:rPr>
          <w:rStyle w:val="CharStyle3"/>
          <w:color w:val="232824"/>
        </w:rPr>
        <w:t xml:space="preserve"> Appendix C.9.1 BOI Submission 21 Dec 2022, page 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t>23</w:t>
      </w:r>
      <w:r>
        <w:rPr>
          <w:rStyle w:val="CharStyle3"/>
          <w:color w:val="232824"/>
        </w:rPr>
        <w:t xml:space="preserve"> Appendix C.4.3 page 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36</w:t>
      </w:r>
      <w:r>
        <w:rPr>
          <w:rStyle w:val="CharStyle3"/>
        </w:rPr>
        <w:t xml:space="preserve"> Appendix C.4.2 page 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38</w:t>
      </w:r>
      <w:r>
        <w:rPr>
          <w:rStyle w:val="CharStyle3"/>
        </w:rPr>
        <w:t xml:space="preserve"> Appendix C.4.2 page 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42</w:t>
      </w:r>
      <w:r>
        <w:rPr>
          <w:rStyle w:val="CharStyle3"/>
        </w:rPr>
        <w:t xml:space="preserve"> Appendix C.4.2 page 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43</w:t>
      </w:r>
      <w:r>
        <w:rPr>
          <w:rStyle w:val="CharStyle3"/>
        </w:rPr>
        <w:t xml:space="preserve"> Appendix C.4.2 page 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44</w:t>
      </w:r>
      <w:r>
        <w:rPr>
          <w:rStyle w:val="CharStyle3"/>
        </w:rPr>
        <w:t xml:space="preserve"> Appendix C.4.2 page 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45</w:t>
      </w:r>
      <w:r>
        <w:rPr>
          <w:rStyle w:val="CharStyle3"/>
        </w:rPr>
        <w:t xml:space="preserve"> Appendix C.4.2 page 6</w:t>
      </w:r>
    </w:p>
    <w:sectPr>
      <w:footnotePr>
        <w:pos w:val="pageBottom"/>
        <w:numFmt w:val="decimal"/>
        <w:numStart w:val="10"/>
        <w:numRestart w:val="continuous"/>
        <w15:footnoteColumns w:val="1"/>
      </w:footnotePr>
      <w:type w:val="continuous"/>
      <w:pgSz w:w="12240" w:h="18720"/>
      <w:pgMar w:top="2363" w:right="1590" w:bottom="2342" w:left="1549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3769360</wp:posOffset>
              </wp:positionH>
              <wp:positionV relativeFrom="page">
                <wp:posOffset>10622915</wp:posOffset>
              </wp:positionV>
              <wp:extent cx="125095" cy="9461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5095" cy="946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9"/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6.80000000000001pt;margin-top:836.45000000000005pt;width:9.8499999999999996pt;height:7.4500000000000002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9"/>
                          <w:rFonts w:ascii="Calibri" w:eastAsia="Calibri" w:hAnsi="Calibri" w:cs="Calibri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988695</wp:posOffset>
              </wp:positionH>
              <wp:positionV relativeFrom="page">
                <wp:posOffset>10564495</wp:posOffset>
              </wp:positionV>
              <wp:extent cx="2502535" cy="118745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02535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9"/>
                              <w:rFonts w:ascii="Calibri" w:eastAsia="Calibri" w:hAnsi="Calibri" w:cs="Calibri"/>
                              <w:color w:val="232824"/>
                              <w:sz w:val="17"/>
                              <w:szCs w:val="17"/>
                              <w:vertAlign w:val="superscript"/>
                            </w:rPr>
                            <w:t>57</w:t>
                          </w:r>
                          <w:r>
                            <w:rPr>
                              <w:rStyle w:val="CharStyle9"/>
                              <w:rFonts w:ascii="Calibri" w:eastAsia="Calibri" w:hAnsi="Calibri" w:cs="Calibri"/>
                              <w:color w:val="232824"/>
                              <w:sz w:val="17"/>
                              <w:szCs w:val="17"/>
                            </w:rPr>
                            <w:t xml:space="preserve"> Appendix C.9.1 BOI Submission 21 Dec 2022, page 6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77.850000000000009pt;margin-top:831.85000000000002pt;width:197.05000000000001pt;height:9.3499999999999996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9"/>
                        <w:rFonts w:ascii="Calibri" w:eastAsia="Calibri" w:hAnsi="Calibri" w:cs="Calibri"/>
                        <w:color w:val="232824"/>
                        <w:sz w:val="17"/>
                        <w:szCs w:val="17"/>
                        <w:vertAlign w:val="superscript"/>
                      </w:rPr>
                      <w:t>57</w:t>
                    </w:r>
                    <w:r>
                      <w:rPr>
                        <w:rStyle w:val="CharStyle9"/>
                        <w:rFonts w:ascii="Calibri" w:eastAsia="Calibri" w:hAnsi="Calibri" w:cs="Calibri"/>
                        <w:color w:val="232824"/>
                        <w:sz w:val="17"/>
                        <w:szCs w:val="17"/>
                      </w:rPr>
                      <w:t xml:space="preserve"> Appendix C.9.1 BOI Submission 21 Dec 2022, page 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3774440</wp:posOffset>
              </wp:positionH>
              <wp:positionV relativeFrom="page">
                <wp:posOffset>10857230</wp:posOffset>
              </wp:positionV>
              <wp:extent cx="130810" cy="91440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081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9"/>
                                <w:rFonts w:ascii="Calibri" w:eastAsia="Calibri" w:hAnsi="Calibri" w:cs="Calibri"/>
                                <w:color w:val="232824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297.19999999999999pt;margin-top:854.89999999999998pt;width:10.300000000000001pt;height:7.2000000000000002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9"/>
                          <w:rFonts w:ascii="Calibri" w:eastAsia="Calibri" w:hAnsi="Calibri" w:cs="Calibri"/>
                          <w:color w:val="232824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3769360</wp:posOffset>
              </wp:positionH>
              <wp:positionV relativeFrom="page">
                <wp:posOffset>10622915</wp:posOffset>
              </wp:positionV>
              <wp:extent cx="125095" cy="94615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5095" cy="946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9"/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296.80000000000001pt;margin-top:836.45000000000005pt;width:9.8499999999999996pt;height:7.45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9"/>
                          <w:rFonts w:ascii="Calibri" w:eastAsia="Calibri" w:hAnsi="Calibri" w:cs="Calibri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989965</wp:posOffset>
              </wp:positionH>
              <wp:positionV relativeFrom="page">
                <wp:posOffset>10463530</wp:posOffset>
              </wp:positionV>
              <wp:extent cx="2557145" cy="118745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7145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9"/>
                              <w:rFonts w:ascii="Calibri" w:eastAsia="Calibri" w:hAnsi="Calibri" w:cs="Calibri"/>
                              <w:color w:val="232824"/>
                              <w:sz w:val="17"/>
                              <w:szCs w:val="17"/>
                              <w:vertAlign w:val="superscript"/>
                            </w:rPr>
                            <w:t>59</w:t>
                          </w:r>
                          <w:r>
                            <w:rPr>
                              <w:rStyle w:val="CharStyle9"/>
                              <w:rFonts w:ascii="Calibri" w:eastAsia="Calibri" w:hAnsi="Calibri" w:cs="Calibri"/>
                              <w:color w:val="232824"/>
                              <w:sz w:val="17"/>
                              <w:szCs w:val="17"/>
                            </w:rPr>
                            <w:t xml:space="preserve"> Appendix C.9.1 BOI Submission 21 Dec 2022, page 15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77.950000000000003pt;margin-top:823.89999999999998pt;width:201.34999999999999pt;height:9.3499999999999996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9"/>
                        <w:rFonts w:ascii="Calibri" w:eastAsia="Calibri" w:hAnsi="Calibri" w:cs="Calibri"/>
                        <w:color w:val="232824"/>
                        <w:sz w:val="17"/>
                        <w:szCs w:val="17"/>
                        <w:vertAlign w:val="superscript"/>
                      </w:rPr>
                      <w:t>59</w:t>
                    </w:r>
                    <w:r>
                      <w:rPr>
                        <w:rStyle w:val="CharStyle9"/>
                        <w:rFonts w:ascii="Calibri" w:eastAsia="Calibri" w:hAnsi="Calibri" w:cs="Calibri"/>
                        <w:color w:val="232824"/>
                        <w:sz w:val="17"/>
                        <w:szCs w:val="17"/>
                      </w:rPr>
                      <w:t xml:space="preserve"> Appendix C.9.1 BOI Submission 21 Dec 2022, page 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3775710</wp:posOffset>
              </wp:positionH>
              <wp:positionV relativeFrom="page">
                <wp:posOffset>10911205</wp:posOffset>
              </wp:positionV>
              <wp:extent cx="128270" cy="9144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9"/>
                                <w:rFonts w:ascii="Calibri" w:eastAsia="Calibri" w:hAnsi="Calibri" w:cs="Calibri"/>
                                <w:color w:val="232824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297.30000000000001pt;margin-top:859.14999999999998pt;width:10.1pt;height:7.2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9"/>
                          <w:rFonts w:ascii="Calibri" w:eastAsia="Calibri" w:hAnsi="Calibri" w:cs="Calibri"/>
                          <w:color w:val="232824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  <w:footnote w:id="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C.2 Breach Notifications With Correspondence</w:t>
      </w:r>
    </w:p>
  </w:footnote>
  <w:footnote w:id="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C.4.18 365 Online Terms and Conditions Section 1.1 "Definitions" page 1</w:t>
      </w:r>
    </w:p>
  </w:footnote>
  <w:footnote w:id="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C.4.2 pages 16-18</w:t>
      </w:r>
    </w:p>
  </w:footnote>
  <w:footnote w:id="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C.2 Breach Notifications With Correspondence</w:t>
      </w:r>
    </w:p>
  </w:footnote>
  <w:footnote w:id="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C.3 Commencement Letter</w:t>
      </w:r>
    </w:p>
  </w:footnote>
  <w:footnote w:id="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 Submissions 9 September 2020</w:t>
      </w:r>
    </w:p>
  </w:footnote>
  <w:footnote w:id="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C.5 Commission Queries 8 April 2021</w:t>
      </w:r>
    </w:p>
  </w:footnote>
  <w:footnote w:id="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C.6 Submissions 29 April 2021</w:t>
      </w:r>
    </w:p>
  </w:footnote>
  <w:footnote w:id="1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C.7 Issues Paper</w:t>
      </w:r>
    </w:p>
  </w:footnote>
  <w:footnote w:id="1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C.8 Submissions 17 August 2021</w:t>
      </w:r>
    </w:p>
  </w:footnote>
  <w:footnote w:id="1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C.9.1 BOI Submission 21 Dec 2022, page 5</w:t>
      </w:r>
    </w:p>
  </w:footnote>
  <w:footnote w:id="1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C.9.1 BOI Submission 21 Dec 2022, page 5</w:t>
      </w:r>
    </w:p>
  </w:footnote>
  <w:footnote w:id="1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 1</w:t>
      </w:r>
    </w:p>
  </w:footnote>
  <w:footnote w:id="1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 1</w:t>
      </w:r>
    </w:p>
  </w:footnote>
  <w:footnote w:id="1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C.4.18 at 1.37 page 3</w:t>
      </w:r>
    </w:p>
  </w:footnote>
  <w:footnote w:id="1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See Recital 75 GDPR</w:t>
      </w:r>
    </w:p>
  </w:footnote>
  <w:footnote w:id="1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C.8.2, page 1-2</w:t>
      </w:r>
    </w:p>
  </w:footnote>
  <w:footnote w:id="1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C.4.3</w:t>
      </w:r>
    </w:p>
  </w:footnote>
  <w:footnote w:id="2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C.6.2 page 7</w:t>
      </w:r>
    </w:p>
  </w:footnote>
  <w:footnote w:id="2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C.6.2 page 10</w:t>
      </w:r>
    </w:p>
  </w:footnote>
  <w:footnote w:id="2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C.6.2 page 10</w:t>
      </w:r>
    </w:p>
  </w:footnote>
  <w:footnote w:id="2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C.6.2 page 6</w:t>
      </w:r>
    </w:p>
  </w:footnote>
  <w:footnote w:id="2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C.6.2 page 8</w:t>
      </w:r>
    </w:p>
  </w:footnote>
  <w:footnote w:id="2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 8</w:t>
      </w:r>
    </w:p>
  </w:footnote>
  <w:footnote w:id="2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C.4.12 page 2</w:t>
      </w:r>
    </w:p>
  </w:footnote>
  <w:footnote w:id="2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C.4.7</w:t>
      </w:r>
    </w:p>
  </w:footnote>
  <w:footnote w:id="2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 2</w:t>
      </w:r>
    </w:p>
  </w:footnote>
  <w:footnote w:id="2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C.9.1 BOI Submission 21 Dec 2022, page 7</w:t>
      </w:r>
    </w:p>
  </w:footnote>
  <w:footnote w:id="3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C.9.1 page 6</w:t>
      </w:r>
    </w:p>
  </w:footnote>
  <w:footnote w:id="3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C.9.1 page 6</w:t>
      </w:r>
    </w:p>
  </w:footnote>
  <w:footnote w:id="3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C.4.2 pages 12-15</w:t>
      </w:r>
    </w:p>
  </w:footnote>
  <w:footnote w:id="3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C.8.2 page 3</w:t>
      </w:r>
    </w:p>
  </w:footnote>
  <w:footnote w:id="3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pages 12-15</w:t>
      </w:r>
    </w:p>
  </w:footnote>
  <w:footnote w:id="3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pages 12-15</w:t>
      </w:r>
    </w:p>
  </w:footnote>
  <w:footnote w:id="3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 3</w:t>
      </w:r>
    </w:p>
  </w:footnote>
  <w:footnote w:id="3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 3-4</w:t>
      </w:r>
    </w:p>
  </w:footnote>
  <w:footnote w:id="3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pages 16-18</w:t>
      </w:r>
    </w:p>
  </w:footnote>
  <w:footnote w:id="3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C.8.2 page 2</w:t>
      </w:r>
    </w:p>
  </w:footnote>
  <w:footnote w:id="4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C.8.2 page 2</w:t>
      </w:r>
    </w:p>
  </w:footnote>
  <w:footnote w:id="4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C.8.2. page 3</w:t>
      </w:r>
    </w:p>
  </w:footnote>
  <w:footnote w:id="4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C.6.2 page 3</w:t>
      </w:r>
    </w:p>
  </w:footnote>
  <w:footnote w:id="4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C.8.2 page 3</w:t>
      </w:r>
    </w:p>
  </w:footnote>
  <w:footnote w:id="4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Appendix C.4.2 page 13-14</w:t>
      </w:r>
    </w:p>
  </w:footnote>
  <w:footnote w:id="4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C.9.1 BOI Submission 21 Dec 2022, page 8</w:t>
      </w:r>
    </w:p>
  </w:footnote>
  <w:footnote w:id="4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C.4.3</w:t>
      </w:r>
    </w:p>
  </w:footnote>
  <w:footnote w:id="4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C.9.1 BOI Submission 21 Dec 2022, page 8</w:t>
      </w:r>
    </w:p>
  </w:footnote>
  <w:footnote w:id="4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C.9.1 BOI Submission 21 Dec 2022, page 8</w:t>
      </w:r>
    </w:p>
  </w:footnote>
  <w:footnote w:id="4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Appendix C.4.5</w:t>
      </w:r>
    </w:p>
  </w:footnote>
  <w:footnote w:id="5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2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BOI Group worldwide annual turnover 2021 was €2,855M (See Bank of Ireland Group plc Annual Report 2021). Net</w:t>
        <w:br/>
        <w:t>Interest Income €2,219M + Total Business Income €636M = Total: €2,855M. 2% of this figure amounts to €57.IM. 4% of</w:t>
        <w:br/>
        <w:t>this figure amounts to €114.2M.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upperLetter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1"/>
      <w:numFmt w:val="lowerRoman"/>
      <w:lvlText w:val="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1"/>
      <w:numFmt w:val="lowerLetter"/>
      <w:lvlText w:val="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9DB7C1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4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10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22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8">
    <w:multiLevelType w:val="multilevel"/>
    <w:lvl w:ilvl="0">
      <w:start w:val="1"/>
      <w:numFmt w:val="lowerLetter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0">
    <w:multiLevelType w:val="multilevel"/>
    <w:lvl w:ilvl="0">
      <w:start w:val="3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2">
    <w:multiLevelType w:val="multilevel"/>
    <w:lvl w:ilvl="0">
      <w:start w:val="1"/>
      <w:numFmt w:val="lowerLetter"/>
      <w:lvlText w:val="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4">
    <w:multiLevelType w:val="multilevel"/>
    <w:lvl w:ilvl="0">
      <w:start w:val="1"/>
      <w:numFmt w:val="bullet"/>
      <w:lvlText w:val="•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6">
    <w:multiLevelType w:val="multilevel"/>
    <w:lvl w:ilvl="0">
      <w:start w:val="47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8">
    <w:multiLevelType w:val="multilevel"/>
    <w:lvl w:ilvl="0">
      <w:start w:val="2"/>
      <w:numFmt w:val="lowerLetter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</w:abstractNum>
  <w:abstractNum w:abstractNumId="30">
    <w:multiLevelType w:val="multilevel"/>
    <w:lvl w:ilvl="0">
      <w:start w:val="49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2">
    <w:multiLevelType w:val="multilevel"/>
    <w:lvl w:ilvl="0">
      <w:start w:val="55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4">
    <w:multiLevelType w:val="multilevel"/>
    <w:lvl w:ilvl="0">
      <w:start w:val="1"/>
      <w:numFmt w:val="bullet"/>
      <w:lvlText w:val="•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6">
    <w:multiLevelType w:val="multilevel"/>
    <w:lvl w:ilvl="0">
      <w:start w:val="1"/>
      <w:numFmt w:val="bullet"/>
      <w:lvlText w:val="•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8">
    <w:multiLevelType w:val="multilevel"/>
    <w:lvl w:ilvl="0">
      <w:start w:val="1"/>
      <w:numFmt w:val="bullet"/>
      <w:lvlText w:val="•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0">
    <w:multiLevelType w:val="multilevel"/>
    <w:lvl w:ilvl="0">
      <w:start w:val="64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2">
    <w:multiLevelType w:val="multilevel"/>
    <w:lvl w:ilvl="0">
      <w:start w:val="1"/>
      <w:numFmt w:val="bullet"/>
      <w:lvlText w:val="•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4">
    <w:multiLevelType w:val="multilevel"/>
    <w:lvl w:ilvl="0">
      <w:start w:val="1"/>
      <w:numFmt w:val="decimal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</w:abstractNum>
  <w:abstractNum w:abstractNumId="46">
    <w:multiLevelType w:val="multilevel"/>
    <w:lvl w:ilvl="0">
      <w:start w:val="1"/>
      <w:numFmt w:val="decimal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8">
    <w:multiLevelType w:val="multilevel"/>
    <w:lvl w:ilvl="0">
      <w:start w:val="1"/>
      <w:numFmt w:val="bullet"/>
      <w:lvlText w:val="•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50">
    <w:multiLevelType w:val="multilevel"/>
    <w:lvl w:ilvl="0">
      <w:start w:val="1"/>
      <w:numFmt w:val="lowerLetter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52">
    <w:multiLevelType w:val="multilevel"/>
    <w:lvl w:ilvl="0">
      <w:start w:val="90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54">
    <w:multiLevelType w:val="multilevel"/>
    <w:lvl w:ilvl="0">
      <w:start w:val="1"/>
      <w:numFmt w:val="lowerLetter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JhengHei Light" w:eastAsia="Microsoft JhengHei Light" w:hAnsi="Microsoft JhengHei Light" w:cs="Microsoft JhengHei Light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Footnote_"/>
    <w:basedOn w:val="DefaultParagraphFont"/>
    <w:link w:val="Style2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6">
    <w:name w:val="Body text_"/>
    <w:basedOn w:val="DefaultParagraphFont"/>
    <w:link w:val="Style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20"/>
      <w:szCs w:val="20"/>
      <w:u w:val="none"/>
    </w:rPr>
  </w:style>
  <w:style w:type="character" w:customStyle="1" w:styleId="CharStyle9">
    <w:name w:val="Header or footer (2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2">
    <w:name w:val="Heading #1_"/>
    <w:basedOn w:val="DefaultParagraphFont"/>
    <w:link w:val="Style11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42"/>
      <w:szCs w:val="42"/>
      <w:u w:val="none"/>
    </w:rPr>
  </w:style>
  <w:style w:type="character" w:customStyle="1" w:styleId="CharStyle15">
    <w:name w:val="Body text (3)_"/>
    <w:basedOn w:val="DefaultParagraphFont"/>
    <w:link w:val="Style1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445650"/>
      <w:sz w:val="24"/>
      <w:szCs w:val="24"/>
      <w:u w:val="none"/>
    </w:rPr>
  </w:style>
  <w:style w:type="character" w:customStyle="1" w:styleId="CharStyle19">
    <w:name w:val="Heading #2_"/>
    <w:basedOn w:val="DefaultParagraphFont"/>
    <w:link w:val="Style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1C1"/>
      <w:sz w:val="32"/>
      <w:szCs w:val="32"/>
      <w:u w:val="none"/>
    </w:rPr>
  </w:style>
  <w:style w:type="character" w:customStyle="1" w:styleId="CharStyle21">
    <w:name w:val="Table of contents_"/>
    <w:basedOn w:val="DefaultParagraphFont"/>
    <w:link w:val="Style20"/>
    <w:rPr>
      <w:rFonts w:ascii="Calibri" w:eastAsia="Calibri" w:hAnsi="Calibri" w:cs="Calibri"/>
      <w:b/>
      <w:bCs/>
      <w:i w:val="0"/>
      <w:iCs w:val="0"/>
      <w:smallCaps w:val="0"/>
      <w:strike w:val="0"/>
      <w:color w:val="232824"/>
      <w:sz w:val="20"/>
      <w:szCs w:val="20"/>
      <w:u w:val="none"/>
    </w:rPr>
  </w:style>
  <w:style w:type="character" w:customStyle="1" w:styleId="CharStyle27">
    <w:name w:val="Body text (2)_"/>
    <w:basedOn w:val="DefaultParagraphFont"/>
    <w:link w:val="Style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1C1"/>
      <w:sz w:val="26"/>
      <w:szCs w:val="26"/>
      <w:u w:val="single"/>
    </w:rPr>
  </w:style>
  <w:style w:type="character" w:customStyle="1" w:styleId="CharStyle42">
    <w:name w:val="Picture caption_"/>
    <w:basedOn w:val="DefaultParagraphFont"/>
    <w:link w:val="Style41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46">
    <w:name w:val="Table caption_"/>
    <w:basedOn w:val="DefaultParagraphFont"/>
    <w:link w:val="Style4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20"/>
      <w:szCs w:val="20"/>
      <w:u w:val="none"/>
    </w:rPr>
  </w:style>
  <w:style w:type="character" w:customStyle="1" w:styleId="CharStyle48">
    <w:name w:val="Other_"/>
    <w:basedOn w:val="DefaultParagraphFont"/>
    <w:link w:val="Style47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20"/>
      <w:szCs w:val="20"/>
      <w:u w:val="none"/>
    </w:rPr>
  </w:style>
  <w:style w:type="paragraph" w:customStyle="1" w:styleId="Style2">
    <w:name w:val="Footnote"/>
    <w:basedOn w:val="Normal"/>
    <w:link w:val="CharStyle3"/>
    <w:pPr>
      <w:widowControl w:val="0"/>
      <w:shd w:val="clear" w:color="auto" w:fill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styleId="Style5">
    <w:name w:val="Body text"/>
    <w:basedOn w:val="Normal"/>
    <w:link w:val="CharStyle6"/>
    <w:qFormat/>
    <w:pPr>
      <w:widowControl w:val="0"/>
      <w:shd w:val="clear" w:color="auto" w:fill="auto"/>
      <w:spacing w:after="200" w:line="300" w:lineRule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20"/>
      <w:szCs w:val="20"/>
      <w:u w:val="none"/>
    </w:rPr>
  </w:style>
  <w:style w:type="paragraph" w:customStyle="1" w:styleId="Style8">
    <w:name w:val="Header or footer (2)"/>
    <w:basedOn w:val="Normal"/>
    <w:link w:val="CharStyle9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1">
    <w:name w:val="Heading #1"/>
    <w:basedOn w:val="Normal"/>
    <w:link w:val="CharStyle12"/>
    <w:pPr>
      <w:widowControl w:val="0"/>
      <w:shd w:val="clear" w:color="auto" w:fill="auto"/>
      <w:spacing w:after="1340"/>
      <w:jc w:val="center"/>
      <w:outlineLvl w:val="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42"/>
      <w:szCs w:val="42"/>
      <w:u w:val="none"/>
    </w:rPr>
  </w:style>
  <w:style w:type="paragraph" w:customStyle="1" w:styleId="Style14">
    <w:name w:val="Body text (3)"/>
    <w:basedOn w:val="Normal"/>
    <w:link w:val="CharStyle15"/>
    <w:pPr>
      <w:widowControl w:val="0"/>
      <w:shd w:val="clear" w:color="auto" w:fill="auto"/>
      <w:spacing w:after="280" w:line="173" w:lineRule="auto"/>
      <w:ind w:left="4060" w:firstLine="2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445650"/>
      <w:sz w:val="24"/>
      <w:szCs w:val="24"/>
      <w:u w:val="none"/>
    </w:rPr>
  </w:style>
  <w:style w:type="paragraph" w:customStyle="1" w:styleId="Style18">
    <w:name w:val="Heading #2"/>
    <w:basedOn w:val="Normal"/>
    <w:link w:val="CharStyle19"/>
    <w:pPr>
      <w:widowControl w:val="0"/>
      <w:shd w:val="clear" w:color="auto" w:fill="auto"/>
      <w:spacing w:after="300"/>
      <w:outlineLvl w:val="1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1C1"/>
      <w:sz w:val="32"/>
      <w:szCs w:val="32"/>
      <w:u w:val="none"/>
    </w:rPr>
  </w:style>
  <w:style w:type="paragraph" w:customStyle="1" w:styleId="Style20">
    <w:name w:val="Table of contents"/>
    <w:basedOn w:val="Normal"/>
    <w:link w:val="CharStyle21"/>
    <w:pPr>
      <w:widowControl w:val="0"/>
      <w:shd w:val="clear" w:color="auto" w:fill="auto"/>
      <w:spacing w:after="80" w:line="298" w:lineRule="auto"/>
      <w:ind w:firstLine="20"/>
    </w:pPr>
    <w:rPr>
      <w:rFonts w:ascii="Calibri" w:eastAsia="Calibri" w:hAnsi="Calibri" w:cs="Calibri"/>
      <w:b/>
      <w:bCs/>
      <w:i w:val="0"/>
      <w:iCs w:val="0"/>
      <w:smallCaps w:val="0"/>
      <w:strike w:val="0"/>
      <w:color w:val="232824"/>
      <w:sz w:val="20"/>
      <w:szCs w:val="20"/>
      <w:u w:val="none"/>
    </w:rPr>
  </w:style>
  <w:style w:type="paragraph" w:customStyle="1" w:styleId="Style26">
    <w:name w:val="Body text (2)"/>
    <w:basedOn w:val="Normal"/>
    <w:link w:val="CharStyle27"/>
    <w:pPr>
      <w:widowControl w:val="0"/>
      <w:shd w:val="clear" w:color="auto" w:fill="auto"/>
      <w:spacing w:after="300"/>
      <w:ind w:firstLine="41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1C1"/>
      <w:sz w:val="26"/>
      <w:szCs w:val="26"/>
      <w:u w:val="single"/>
    </w:rPr>
  </w:style>
  <w:style w:type="paragraph" w:customStyle="1" w:styleId="Style41">
    <w:name w:val="Picture caption"/>
    <w:basedOn w:val="Normal"/>
    <w:link w:val="CharStyle42"/>
    <w:pPr>
      <w:widowControl w:val="0"/>
      <w:shd w:val="clear" w:color="auto" w:fill="auto"/>
      <w:spacing w:line="293" w:lineRule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45">
    <w:name w:val="Table caption"/>
    <w:basedOn w:val="Normal"/>
    <w:link w:val="CharStyle46"/>
    <w:pPr>
      <w:widowControl w:val="0"/>
      <w:shd w:val="clear" w:color="auto" w:fill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20"/>
      <w:szCs w:val="20"/>
      <w:u w:val="none"/>
    </w:rPr>
  </w:style>
  <w:style w:type="paragraph" w:customStyle="1" w:styleId="Style47">
    <w:name w:val="Other"/>
    <w:basedOn w:val="Normal"/>
    <w:link w:val="CharStyle48"/>
    <w:pPr>
      <w:widowControl w:val="0"/>
      <w:shd w:val="clear" w:color="auto" w:fill="auto"/>
      <w:spacing w:after="200" w:line="300" w:lineRule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1.jpeg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2.jpeg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3.jpeg" TargetMode="External"/><Relationship Id="rId12" Type="http://schemas.openxmlformats.org/officeDocument/2006/relationships/image" Target="media/image4.jpeg"/><Relationship Id="rId13" Type="http://schemas.openxmlformats.org/officeDocument/2006/relationships/image" Target="media/image4.jpeg" TargetMode="Externa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