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r>
        <w:rPr>
          <w:rStyle w:val="CharStyle9"/>
        </w:rPr>
        <w:t>idpc.</w:t>
      </w:r>
      <w:bookmarkEnd w:id="0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60"/>
        <w:jc w:val="left"/>
      </w:pPr>
      <w:r>
        <w:rPr>
          <w:rStyle w:val="CharStyle15"/>
          <w:color w:val="1A3060"/>
        </w:rPr>
        <w:t xml:space="preserve">■ </w:t>
      </w:r>
      <w:r>
        <w:rPr>
          <w:rStyle w:val="CharStyle15"/>
        </w:rPr>
        <w:t>»~rrTAi TjUum# •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760"/>
        <w:jc w:val="left"/>
        <w:sectPr>
          <w:footerReference w:type="default" r:id="rId5"/>
          <w:footerReference w:type="even" r:id="rId6"/>
          <w:footnotePr>
            <w:pos w:val="pageBottom"/>
            <w:numFmt w:val="decimal"/>
            <w:numRestart w:val="continuous"/>
          </w:footnotePr>
          <w:pgSz w:w="12240" w:h="18720"/>
          <w:pgMar w:top="1859" w:right="6252" w:bottom="2468" w:left="1150" w:header="1431" w:footer="3" w:gutter="0"/>
          <w:pgNumType w:start="1"/>
          <w:cols w:space="720"/>
          <w:noEndnote/>
          <w:rtlGutter w:val="0"/>
          <w:docGrid w:linePitch="360"/>
        </w:sectPr>
      </w:pPr>
      <w:bookmarkStart w:id="2" w:name="bookmark2"/>
      <w:r>
        <w:rPr>
          <w:rStyle w:val="CharStyle18"/>
          <w:b/>
          <w:bCs/>
        </w:rPr>
        <w:t>Information and Data Protection Commissioner</w:t>
      </w:r>
      <w:bookmarkEnd w:id="2"/>
    </w:p>
    <w:p>
      <w:pPr>
        <w:widowControl w:val="0"/>
        <w:spacing w:before="109" w:after="10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1859" w:right="0" w:bottom="2227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7"/>
        <w:keepNext/>
        <w:keepLines/>
        <w:framePr w:w="1267" w:h="240" w:wrap="none" w:vAnchor="text" w:hAnchor="page" w:x="1799" w:y="300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4" w:name="bookmark4"/>
      <w:r>
        <w:rPr>
          <w:rStyle w:val="CharStyle18"/>
          <w:b/>
          <w:bCs/>
        </w:rPr>
        <w:t>COMPLAINT</w:t>
      </w:r>
      <w:bookmarkEnd w:id="4"/>
    </w:p>
    <w:p>
      <w:pPr>
        <w:pStyle w:val="Style19"/>
        <w:keepNext w:val="0"/>
        <w:keepLines w:val="0"/>
        <w:framePr w:w="1920" w:h="240" w:wrap="none" w:vAnchor="text" w:hAnchor="page" w:x="8423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0"/>
          <w:b/>
          <w:bCs/>
          <w:color w:val="000000"/>
        </w:rPr>
        <w:t>CDP/COMP/344/2022</w:t>
      </w:r>
    </w:p>
    <w:p>
      <w:pPr>
        <w:pStyle w:val="Style17"/>
        <w:keepNext/>
        <w:keepLines/>
        <w:framePr w:w="226" w:h="240" w:wrap="none" w:vAnchor="text" w:hAnchor="page" w:x="10122" w:y="171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18"/>
          <w:b/>
          <w:bCs/>
        </w:rPr>
        <w:t>vs</w:t>
      </w:r>
      <w:bookmarkEnd w:id="6"/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35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1859" w:right="1855" w:bottom="2227" w:left="115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98" w:lineRule="exact"/>
        <w:rPr>
          <w:sz w:val="8"/>
          <w:szCs w:val="8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1859" w:right="0" w:bottom="2327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righ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1367155</wp:posOffset>
                </wp:positionH>
                <wp:positionV relativeFrom="paragraph">
                  <wp:posOffset>12700</wp:posOffset>
                </wp:positionV>
                <wp:extent cx="1487170" cy="164465"/>
                <wp:wrapSquare wrapText="righ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8717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  <w:color w:val="000000"/>
                              </w:rPr>
                              <w:t>1. On the 25</w:t>
                            </w:r>
                            <w:r>
                              <w:rPr>
                                <w:rStyle w:val="CharStyle20"/>
                                <w:color w:val="000000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Style w:val="CharStyle20"/>
                                <w:color w:val="000000"/>
                              </w:rPr>
                              <w:t xml:space="preserve"> August 2022,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107.65000000000001pt;margin-top:1.pt;width:117.10000000000001pt;height:12.95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  <w:color w:val="000000"/>
                        </w:rPr>
                        <w:t>1. On the 25</w:t>
                      </w:r>
                      <w:r>
                        <w:rPr>
                          <w:rStyle w:val="CharStyle20"/>
                          <w:color w:val="000000"/>
                          <w:vertAlign w:val="superscript"/>
                        </w:rPr>
                        <w:t>th</w:t>
                      </w:r>
                      <w:r>
                        <w:rPr>
                          <w:rStyle w:val="CharStyle20"/>
                          <w:color w:val="000000"/>
                        </w:rPr>
                        <w:t xml:space="preserve"> August 2022,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0"/>
          <w:color w:val="000000"/>
        </w:rPr>
        <w:t xml:space="preserve">I' through her legal counsel (the </w:t>
      </w:r>
      <w:r>
        <w:rPr>
          <w:rStyle w:val="CharStyle20"/>
          <w:b/>
          <w:bCs/>
          <w:color w:val="000000"/>
        </w:rPr>
        <w:t xml:space="preserve">“complainant” </w:t>
      </w:r>
      <w:r>
        <w:rPr>
          <w:rStyle w:val="CharStyle20"/>
          <w:color w:val="000000"/>
        </w:rPr>
        <w:t>or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680"/>
        <w:jc w:val="both"/>
      </w:pPr>
      <w:r>
        <w:rPr>
          <w:rStyle w:val="CharStyle20"/>
          <w:b/>
          <w:bCs/>
          <w:color w:val="000000"/>
        </w:rPr>
        <w:t xml:space="preserve">“data subject”) </w:t>
      </w:r>
      <w:r>
        <w:rPr>
          <w:rStyle w:val="CharStyle20"/>
          <w:color w:val="000000"/>
        </w:rPr>
        <w:t>lodged a complaint with the Information and Data Protection Commissioner (the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680" w:right="0" w:firstLine="0"/>
        <w:jc w:val="both"/>
      </w:pPr>
      <w:r>
        <w:rPr>
          <w:rStyle w:val="CharStyle20"/>
          <w:b/>
          <w:bCs/>
          <w:color w:val="000000"/>
        </w:rPr>
        <w:t xml:space="preserve">“Commissioner”) </w:t>
      </w:r>
      <w:r>
        <w:rPr>
          <w:rStyle w:val="CharStyle20"/>
          <w:color w:val="000000"/>
        </w:rPr>
        <w:t>pursuant to article 77(1) of the General Data Protection Regulation</w:t>
      </w:r>
      <w:r>
        <w:rPr>
          <w:rStyle w:val="CharStyle20"/>
          <w:color w:val="000000"/>
          <w:vertAlign w:val="superscript"/>
        </w:rPr>
        <w:footnoteReference w:id="2"/>
      </w:r>
      <w:r>
        <w:rPr>
          <w:rStyle w:val="CharStyle20"/>
          <w:color w:val="000000"/>
        </w:rPr>
        <w:t xml:space="preserve"> (the</w:t>
        <w:br/>
      </w:r>
      <w:r>
        <w:rPr>
          <w:rStyle w:val="CharStyle20"/>
          <w:b/>
          <w:bCs/>
          <w:color w:val="000000"/>
        </w:rPr>
        <w:t xml:space="preserve">“Regulation” </w:t>
      </w:r>
      <w:r>
        <w:rPr>
          <w:rStyle w:val="CharStyle20"/>
          <w:color w:val="000000"/>
        </w:rPr>
        <w:t xml:space="preserve">or the </w:t>
      </w:r>
      <w:r>
        <w:rPr>
          <w:rStyle w:val="CharStyle20"/>
          <w:b/>
          <w:bCs/>
          <w:color w:val="000000"/>
        </w:rPr>
        <w:t xml:space="preserve">“GDPR”), </w:t>
      </w:r>
      <w:r>
        <w:rPr>
          <w:rStyle w:val="CharStyle20"/>
          <w:color w:val="000000"/>
        </w:rPr>
        <w:t>alleging that the^^^^^^^^^^^| (the ^^|)</w:t>
        <w:br/>
        <w:t xml:space="preserve">has multiple data protection shortcomings, which the complainant </w:t>
      </w:r>
      <w:r>
        <w:rPr>
          <w:rStyle w:val="CharStyle20"/>
          <w:i/>
          <w:iCs/>
          <w:color w:val="000000"/>
        </w:rPr>
        <w:t>"identified from the date on</w:t>
        <w:br/>
        <w:t>which</w:t>
      </w:r>
      <w:r>
        <w:rPr>
          <w:rStyle w:val="CharStyle20"/>
          <w:color w:val="000000"/>
        </w:rPr>
        <w:t xml:space="preserve"> ^^m)irst </w:t>
      </w:r>
      <w:r>
        <w:rPr>
          <w:rStyle w:val="CharStyle20"/>
          <w:i/>
          <w:iCs/>
          <w:color w:val="000000"/>
        </w:rPr>
        <w:t>requested access to her son's filefrom the^^^^this being on 24 May 2022,</w:t>
        <w:br/>
        <w:t>till the day of collection, this being 30 June 2022”.</w:t>
      </w:r>
      <w:r>
        <w:rPr>
          <w:rStyle w:val="CharStyle20"/>
          <w:color w:val="000000"/>
        </w:rPr>
        <w:t xml:space="preserve"> Therefore, the complainant considered that the</w:t>
        <w:br/>
        <w:t>| infringed the data protection rights of her minor son.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</w:pPr>
      <w:bookmarkStart w:id="8" w:name="bookmark8"/>
      <w:r>
        <w:rPr>
          <w:rStyle w:val="CharStyle18"/>
          <w:b/>
          <w:bCs/>
        </w:rPr>
        <w:t>FACTS OF THE CASE</w:t>
      </w:r>
      <w:bookmarkEnd w:id="8"/>
    </w:p>
    <w:p>
      <w:pPr>
        <w:pStyle w:val="Style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681" w:val="left"/>
        </w:tabs>
        <w:bidi w:val="0"/>
        <w:spacing w:before="0" w:line="379" w:lineRule="auto"/>
        <w:ind w:left="680" w:right="0" w:hanging="340"/>
        <w:jc w:val="both"/>
      </w:pPr>
      <w:r>
        <w:rPr>
          <w:rStyle w:val="CharStyle20"/>
          <w:color w:val="000000"/>
        </w:rPr>
        <w:t>For the purpose of this complaint, the Commissioner assessed the relevant facts surrounding the</w:t>
        <w:br/>
        <w:t>complaint: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9" w:lineRule="auto"/>
        <w:ind w:left="0" w:right="0" w:firstLine="680"/>
        <w:jc w:val="left"/>
      </w:pPr>
      <w:r>
        <w:rPr>
          <w:rStyle w:val="CharStyle20"/>
          <w:color w:val="000000"/>
          <w:u w:val="single"/>
        </w:rPr>
        <w:t>Summary of Events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1200" w:right="0" w:hanging="300"/>
        <w:jc w:val="both"/>
      </w:pPr>
      <w:r>
        <w:rPr>
          <w:rStyle w:val="CharStyle20"/>
          <w:color w:val="000000"/>
        </w:rPr>
        <w:t>a. that the complainant alleged that the data protection rights of her minor son, including her</w:t>
        <w:br/>
        <w:t>rights as a parent, have been infringed by the controller when she submitted a request with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1200" w:right="0" w:firstLine="0"/>
        <w:jc w:val="left"/>
      </w:pPr>
      <w:r>
        <w:rPr>
          <w:rStyle w:val="CharStyle20"/>
          <w:color w:val="000000"/>
        </w:rPr>
        <w:t>the|^| to access the personal data of her minor son;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1600" w:right="0" w:hanging="40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2240" w:h="18720"/>
          <w:pgMar w:top="1859" w:right="1855" w:bottom="2327" w:left="1779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0" distL="0" distR="0" simplePos="0" relativeHeight="125829380" behindDoc="0" locked="0" layoutInCell="1" allowOverlap="1">
                <wp:simplePos x="0" y="0"/>
                <wp:positionH relativeFrom="page">
                  <wp:posOffset>4503420</wp:posOffset>
                </wp:positionH>
                <wp:positionV relativeFrom="paragraph">
                  <wp:posOffset>228600</wp:posOffset>
                </wp:positionV>
                <wp:extent cx="2075815" cy="158750"/>
                <wp:wrapSquare wrapText="lef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75815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  <w:color w:val="000000"/>
                              </w:rPr>
                              <w:t>provides its services through therapists,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354.60000000000002pt;margin-top:18.pt;width:163.45000000000002pt;height:12.5pt;z-index:-12582937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  <w:color w:val="000000"/>
                        </w:rPr>
                        <w:t>provides its services through therapists,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20"/>
          <w:color w:val="000000"/>
        </w:rPr>
        <w:t>that the complainant’s son used to attend school at</w:t>
        <w:br/>
        <w:t>H (“^M”) in Pembroke where the ■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10" w:name="bookmark10"/>
      <w:r>
        <w:rPr>
          <w:rStyle w:val="CharStyle9"/>
        </w:rPr>
        <w:t>idpc</w:t>
      </w:r>
      <w:bookmarkEnd w:id="10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640"/>
        <w:jc w:val="left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>-XXT--W-WX-XOTt*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1820" w:right="0" w:firstLine="20"/>
        <w:jc w:val="both"/>
      </w:pPr>
      <w:r>
        <w:rPr>
          <w:rStyle w:val="CharStyle20"/>
        </w:rPr>
        <w:t>including speech therapists and occupational therapists, to aid the children’s better</w:t>
        <w:br/>
        <w:t>development and progress;</w:t>
      </w:r>
    </w:p>
    <w:p>
      <w:pPr>
        <w:pStyle w:val="Style19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32" w:val="left"/>
        </w:tabs>
        <w:bidi w:val="0"/>
        <w:spacing w:before="0" w:after="0"/>
        <w:ind w:left="1820" w:right="0" w:hanging="300"/>
        <w:jc w:val="both"/>
      </w:pPr>
      <w:r>
        <w:rPr>
          <w:rStyle w:val="CharStyle20"/>
        </w:rPr>
        <w:t>that as part of the curriculum, the therapists conduct an assessment at the beginning of each</w:t>
        <w:br/>
        <w:t>scholastic year where they assess every child and set individual goals for the year ahead and</w:t>
        <w:br/>
        <w:t>subsequently, the therapists continue seeing the children at throughout the scholastic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1820" w:right="0" w:firstLine="0"/>
        <w:jc w:val="left"/>
      </w:pPr>
      <w:r>
        <w:rPr>
          <w:rStyle w:val="CharStyle20"/>
        </w:rPr>
        <w:t>year;</w:t>
      </w:r>
    </w:p>
    <w:p>
      <w:pPr>
        <w:pStyle w:val="Style19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32" w:val="left"/>
        </w:tabs>
        <w:bidi w:val="0"/>
        <w:spacing w:before="0" w:after="240"/>
        <w:ind w:left="1820" w:right="0" w:hanging="300"/>
        <w:jc w:val="both"/>
      </w:pPr>
      <w:r>
        <w:rPr>
          <w:rStyle w:val="CharStyle20"/>
        </w:rPr>
        <w:t>that at the end of each scholastic year, the goals set at the beginning of the year are reviewed</w:t>
        <w:br/>
        <w:t>and the children are assessed again to determine which goals have been reached and which</w:t>
        <w:br/>
        <w:t>haven’t, following which the therapists proceed to collect their conclusions in a report. The</w:t>
        <w:br/>
        <w:t>complainant explained that such assessments and report would then be placed in the child’s</w:t>
        <w:br/>
        <w:t>file;</w:t>
      </w:r>
    </w:p>
    <w:p>
      <w:pPr>
        <w:pStyle w:val="Style19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32" w:val="left"/>
        </w:tabs>
        <w:bidi w:val="0"/>
        <w:spacing w:before="0" w:after="320" w:line="374" w:lineRule="auto"/>
        <w:ind w:left="1820" w:right="0" w:hanging="300"/>
        <w:jc w:val="both"/>
      </w:pPr>
      <w:r>
        <w:rPr>
          <w:rStyle w:val="CharStyle20"/>
        </w:rPr>
        <w:t>that,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2022, the complainant submitted a request by means of an email to the</w:t>
        <w:br/>
        <w:t>occupational therapist and the speech therapist who both work at the and are the</w:t>
        <w:br/>
        <w:t>specialists who followed the complainant’s son for the past scholastic year at</w:t>
      </w:r>
    </w:p>
    <w:p>
      <w:pPr>
        <w:pStyle w:val="Style19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32" w:val="left"/>
        </w:tabs>
        <w:bidi w:val="0"/>
        <w:spacing w:before="0" w:after="240"/>
        <w:ind w:left="1820" w:right="0" w:hanging="300"/>
        <w:jc w:val="both"/>
      </w:pPr>
      <w:r>
        <w:rPr>
          <w:rStyle w:val="CharStyle20"/>
        </w:rPr>
        <w:t>that by means of an email dated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2022, the complainant requested access to her</w:t>
        <w:br/>
        <w:t xml:space="preserve">son’s file, and more specifically </w:t>
      </w:r>
      <w:r>
        <w:rPr>
          <w:rStyle w:val="CharStyle20"/>
          <w:i/>
          <w:iCs/>
        </w:rPr>
        <w:t>"a copy of all the information in</w:t>
      </w:r>
      <w:r>
        <w:rPr>
          <w:rStyle w:val="CharStyle20"/>
          <w:rFonts w:ascii="Arial" w:eastAsia="Arial" w:hAnsi="Arial" w:cs="Arial"/>
          <w:sz w:val="20"/>
          <w:szCs w:val="20"/>
        </w:rPr>
        <w:t xml:space="preserve"> ^H'S </w:t>
      </w:r>
      <w:r>
        <w:rPr>
          <w:rStyle w:val="CharStyle20"/>
          <w:i/>
          <w:iCs/>
        </w:rPr>
        <w:t>file regarding OT</w:t>
        <w:br/>
        <w:t>and speech</w:t>
      </w:r>
      <w:r>
        <w:rPr>
          <w:rStyle w:val="CharStyle20"/>
        </w:rPr>
        <w:t xml:space="preserve"> ”, however the complainant argued that such request seemed to be completely</w:t>
        <w:br/>
        <w:t>ignored by the therapists as neither a reply on this point, nor any direction whatsoever as to</w:t>
        <w:br/>
        <w:t>what the procedure for the obtainment of such file involves, was ever received;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80"/>
        <w:ind w:left="1820" w:right="0" w:firstLine="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927" w:right="1805" w:bottom="2292" w:left="1215" w:header="1499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that in view of such lack of provision of information, on the 10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the complainant</w:t>
        <w:br/>
        <w:t>then sent an email to the Director, to enquire when will she be provided with the</w:t>
        <w:br/>
        <w:t>requested file. The Director replied back three (3) days later, on the 13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wherein</w:t>
        <w:br/>
        <w:t>she informed the complainant that she will be preparing a copy of the file for her to pick up.</w:t>
        <w:br/>
        <w:t>When the complainant emailed Director again on the 15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 to request the file</w:t>
        <w:br/>
        <w:t>in anticipation of a meeting concerning the child which was due to happen the following day,</w:t>
        <w:br/>
        <w:t xml:space="preserve">the Director replied back saying that her request was being </w:t>
      </w:r>
      <w:r>
        <w:rPr>
          <w:rStyle w:val="CharStyle20"/>
          <w:i/>
          <w:iCs/>
        </w:rPr>
        <w:t>“processed according to</w:t>
        <w:br/>
        <w:t>GDPR procedures ”,</w:t>
      </w:r>
      <w:r>
        <w:rPr>
          <w:rStyle w:val="CharStyle20"/>
        </w:rPr>
        <w:t xml:space="preserve"> but no information whatsoever was provided as to what such procedures</w:t>
        <w:br/>
        <w:t>entailed nor as to when the complainant should expect to have her son’s file in hand as per</w:t>
        <w:br/>
        <w:t>her request. The complainant and the father of the minor, being unaware of what such</w:t>
        <w:br/>
        <w:t>procedures were supposed to consist of, kept pressing the Director for the provision of</w:t>
        <w:br/>
        <w:t>such requested file. The^^^Directorreplied via email on the 17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 and informed</w:t>
        <w:br/>
        <w:t xml:space="preserve">the parents that they </w:t>
      </w:r>
      <w:r>
        <w:rPr>
          <w:rStyle w:val="CharStyle20"/>
          <w:i/>
          <w:iCs/>
        </w:rPr>
        <w:t>"may wish to direct your queries on the matter to our data protection</w:t>
        <w:br/>
        <w:t>officer”;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1048385" cy="542290"/>
            <wp:docPr id="9" name="Picut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048385" cy="54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02" w:val="left"/>
        </w:tabs>
        <w:bidi w:val="0"/>
        <w:spacing w:before="0"/>
        <w:ind w:left="1800" w:right="0" w:hanging="320"/>
        <w:jc w:val="both"/>
      </w:pPr>
      <w:r>
        <w:rPr>
          <w:rStyle w:val="CharStyle20"/>
          <w:color w:val="000000"/>
        </w:rPr>
        <w:t>that on the 23</w:t>
      </w:r>
      <w:r>
        <w:rPr>
          <w:rStyle w:val="CharStyle20"/>
          <w:color w:val="000000"/>
          <w:vertAlign w:val="superscript"/>
        </w:rPr>
        <w:t>rd</w:t>
      </w:r>
      <w:r>
        <w:rPr>
          <w:rStyle w:val="CharStyle20"/>
          <w:color w:val="000000"/>
        </w:rPr>
        <w:t xml:space="preserve"> June 2022, the ^■Director got in touch again by means of an email where</w:t>
        <w:br/>
        <w:t>she informed the complainant that she may view and collect the minor’s file on the 27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</w:t>
        <w:br/>
        <w:t>2022 at 1pm from her office. Such appointment was then postponed by the Director</w:t>
        <w:br/>
        <w:t>by thirty (30) minutes at which new time the complainant was unavailable due to school runs.</w:t>
        <w:br/>
        <w:t>Instead, the complainant offered to pass by the |^| Director’s office the following day.</w:t>
        <w:br/>
        <w:t>The Director replied that she will be unavailable on that day and further postponed the</w:t>
        <w:br/>
        <w:t>meeting to the 4</w:t>
      </w:r>
      <w:r>
        <w:rPr>
          <w:rStyle w:val="CharStyle20"/>
          <w:color w:val="000000"/>
          <w:vertAlign w:val="superscript"/>
        </w:rPr>
        <w:t>lh</w:t>
      </w:r>
      <w:r>
        <w:rPr>
          <w:rStyle w:val="CharStyle20"/>
          <w:color w:val="000000"/>
        </w:rPr>
        <w:t xml:space="preserve"> July 2022 at 12.30pm. The complainant in view of the stretch of time which</w:t>
        <w:br/>
        <w:t>had already passed since her original request on the 24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May 2022, and in view of requiring</w:t>
        <w:br/>
        <w:t>such files for meetings which she had scheduled with representatives from the minor’s new</w:t>
        <w:br/>
        <w:t>school at which he will be attending from the next scholastic year, requested that she picks</w:t>
        <w:br/>
        <w:t>up her son’s file on the 30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2022. To this, the ^^^Director replied that the request for</w:t>
        <w:br/>
        <w:t>access was formally placed on the 10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2022. She further informed the complainant that</w:t>
        <w:br/>
        <w:t xml:space="preserve">she is the </w:t>
      </w:r>
      <w:r>
        <w:rPr>
          <w:rStyle w:val="CharStyle20"/>
          <w:i/>
          <w:iCs/>
          <w:color w:val="000000"/>
        </w:rPr>
        <w:t>“data controller for^^^and requests had to be received directly from yourself</w:t>
        <w:br/>
        <w:t>in writing and directly to me and not through any other route ”;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02" w:val="left"/>
        </w:tabs>
        <w:bidi w:val="0"/>
        <w:spacing w:before="0" w:after="240"/>
        <w:ind w:left="1800" w:right="0" w:hanging="320"/>
        <w:jc w:val="both"/>
      </w:pPr>
      <w:r>
        <w:rPr>
          <w:rStyle w:val="CharStyle20"/>
          <w:color w:val="000000"/>
        </w:rPr>
        <w:t>that a week prior to collecting the file from theDirector’s office on the 30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</w:t>
        <w:br/>
        <w:t xml:space="preserve">the complainant received a call from the Data Protection Officer (the </w:t>
      </w:r>
      <w:r>
        <w:rPr>
          <w:rStyle w:val="CharStyle20"/>
          <w:b/>
          <w:bCs/>
          <w:color w:val="000000"/>
        </w:rPr>
        <w:t xml:space="preserve">“DPO”) </w:t>
      </w:r>
      <w:r>
        <w:rPr>
          <w:rStyle w:val="CharStyle20"/>
          <w:color w:val="000000"/>
        </w:rPr>
        <w:t>of the |</w:t>
        <w:br/>
        <w:t>The DPO asked the complainant what it was that she required, and she explained that she had</w:t>
        <w:br/>
        <w:t>sent an email on the 24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May 2022 requesting visibility and access to her son’s file. The DPO</w:t>
        <w:br/>
        <w:t>explained that there are certain data protection procedures which must be adhered to</w:t>
        <w:br/>
        <w:t>internally by the before releasing such information. More specifically, the DPO</w:t>
        <w:br/>
        <w:t>mentioned that the go ahead for the release of such infonmation following an access request</w:t>
        <w:br/>
        <w:t>rested solely in the DPO’s hands. During such call, the DPO also mentioned that, in general,</w:t>
        <w:br/>
        <w:t>following the receipt of an access request, them had to revert within thirty (30) days and</w:t>
        <w:br/>
        <w:t>if this is not possible, detailed reasons for such delay must be given;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1300" w:right="0" w:firstLine="0"/>
        <w:jc w:val="left"/>
      </w:pPr>
      <w:r>
        <w:rPr>
          <w:rStyle w:val="CharStyle20"/>
          <w:color w:val="000000"/>
          <w:u w:val="single"/>
        </w:rPr>
        <w:t>Privacy Notice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02" w:val="left"/>
        </w:tabs>
        <w:bidi w:val="0"/>
        <w:spacing w:before="0" w:line="379" w:lineRule="auto"/>
        <w:ind w:left="1800" w:right="0" w:hanging="320"/>
        <w:jc w:val="both"/>
      </w:pPr>
      <w:r>
        <w:rPr>
          <w:rStyle w:val="CharStyle20"/>
          <w:color w:val="000000"/>
        </w:rPr>
        <w:t>that the complainant has taken into account all the data protection shortcomings which she</w:t>
        <w:br/>
        <w:t>has identified from the date on which the first request for access to her son’s file was made</w:t>
        <w:br/>
        <w:t>(24"' May 2022) till the day of collection (30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2022);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02" w:val="left"/>
        </w:tabs>
        <w:bidi w:val="0"/>
        <w:spacing w:before="0" w:line="379" w:lineRule="auto"/>
        <w:ind w:left="1800" w:right="0" w:hanging="3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993" w:right="1822" w:bottom="2323" w:left="1196" w:header="1565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color w:val="000000"/>
        </w:rPr>
        <w:t>that throughout her contact and exchanges with the^M’s representatives and employees,</w:t>
        <w:br/>
        <w:t>the complainant was never given, nor directed to, a privacy notice. When the complainant</w:t>
        <w:br/>
        <w:t>approached her legal counsel, her lawyer started looking for the^|’s privacy notice,</w:t>
        <w:br/>
        <w:t xml:space="preserve">however, this proved to be very difficult to locate even for </w:t>
      </w:r>
      <w:r>
        <w:rPr>
          <w:rStyle w:val="CharStyle20"/>
          <w:i/>
          <w:iCs/>
          <w:color w:val="000000"/>
        </w:rPr>
        <w:t>‘'legal professionals holding</w:t>
        <w:br/>
        <w:t>qualifications in data protection”</w:t>
      </w:r>
      <w:r>
        <w:rPr>
          <w:rStyle w:val="CharStyle20"/>
          <w:color w:val="000000"/>
        </w:rPr>
        <w:t xml:space="preserve"> let alone for a data subject;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12" w:name="bookmark12"/>
      <w:r>
        <w:rPr>
          <w:rStyle w:val="CharStyle9"/>
        </w:rPr>
        <w:t>idpc.</w:t>
      </w:r>
      <w:bookmarkEnd w:id="12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>••CT * ■ MWV^ • »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84" w:val="left"/>
        </w:tabs>
        <w:bidi w:val="0"/>
        <w:spacing w:before="0" w:after="0"/>
        <w:ind w:left="2460" w:right="0" w:hanging="920"/>
        <w:jc w:val="left"/>
      </w:pPr>
      <w:r>
        <w:rPr>
          <w:rStyle w:val="CharStyle20"/>
        </w:rPr>
        <w:t>that to locate the^^B privacy notice, the legal counsel first went onto the |</w:t>
        <w:br/>
        <w:t>|’s website</w:t>
      </w:r>
      <w:r>
        <w:rPr>
          <w:rStyle w:val="CharStyle20"/>
          <w:vertAlign w:val="superscript"/>
        </w:rPr>
        <w:footnoteReference w:id="3"/>
      </w:r>
      <w:r>
        <w:rPr>
          <w:rStyle w:val="CharStyle20"/>
        </w:rPr>
        <w:t>, but there was no privacy policy available on the website’s home page.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/>
        <w:ind w:left="1840" w:right="0" w:firstLine="20"/>
        <w:jc w:val="both"/>
      </w:pPr>
      <w:r>
        <w:rPr>
          <w:rStyle w:val="CharStyle20"/>
        </w:rPr>
        <w:t>The complainant’s legal counsel clicked on the drop-down menu under ^^^ ’, selected</w:t>
        <w:br/>
        <w:t>H, which led to a page about the^^^, providing general</w:t>
        <w:br/>
        <w:t>information, yet reference to the^|' privacy notice was nowhere to be found. When</w:t>
        <w:br/>
        <w:t xml:space="preserve">attempting to do a general search on Google for </w:t>
      </w:r>
      <w:r>
        <w:rPr>
          <w:rStyle w:val="CharStyle20"/>
          <w:i/>
          <w:iCs/>
        </w:rPr>
        <w:t>^^^Malta ’</w:t>
      </w:r>
      <w:r>
        <w:rPr>
          <w:rStyle w:val="CharStyle20"/>
        </w:rPr>
        <w:t xml:space="preserve"> and clicking on the second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right"/>
      </w:pPr>
      <w:r>
        <mc:AlternateContent>
          <mc:Choice Requires="wps">
            <w:drawing>
              <wp:anchor distT="0" distB="0" distL="114300" distR="114300" simplePos="0" relativeHeight="125829382" behindDoc="0" locked="0" layoutInCell="1" allowOverlap="1">
                <wp:simplePos x="0" y="0"/>
                <wp:positionH relativeFrom="page">
                  <wp:posOffset>1932940</wp:posOffset>
                </wp:positionH>
                <wp:positionV relativeFrom="paragraph">
                  <wp:posOffset>12700</wp:posOffset>
                </wp:positionV>
                <wp:extent cx="448310" cy="164465"/>
                <wp:wrapSquare wrapText="right"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4831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option j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position:absolute;margin-left:152.20000000000002pt;margin-top:1.pt;width:35.300000000000004pt;height:12.950000000000001pt;z-index:-12582937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option j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0"/>
        </w:rPr>
        <w:t>I- ’, this led the lawyer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1840" w:right="0" w:firstLine="0"/>
        <w:jc w:val="both"/>
      </w:pPr>
      <w:r>
        <w:rPr>
          <w:rStyle w:val="CharStyle20"/>
        </w:rPr>
        <w:t xml:space="preserve">to a page with a notice marked in bold capital font in red reading: </w:t>
      </w:r>
      <w:r>
        <w:rPr>
          <w:rStyle w:val="CharStyle20"/>
          <w:i/>
          <w:iCs/>
        </w:rPr>
        <w:t>‘PAGE IS CURRENTLY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1840" w:right="0" w:firstLine="0"/>
        <w:jc w:val="both"/>
      </w:pPr>
      <w:r>
        <w:rPr>
          <w:rStyle w:val="CharStyle20"/>
          <w:i/>
          <w:iCs/>
        </w:rPr>
        <w:t>UNDER CONSTRUCTION!'.</w:t>
      </w:r>
      <w:r>
        <w:rPr>
          <w:rStyle w:val="CharStyle20"/>
        </w:rPr>
        <w:t xml:space="preserve"> Following this, the complainant’s counsel did another general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right"/>
      </w:pPr>
      <w:r>
        <mc:AlternateContent>
          <mc:Choice Requires="wps">
            <w:drawing>
              <wp:anchor distT="0" distB="0" distL="114300" distR="114300" simplePos="0" relativeHeight="125829384" behindDoc="0" locked="0" layoutInCell="1" allowOverlap="1">
                <wp:simplePos x="0" y="0"/>
                <wp:positionH relativeFrom="page">
                  <wp:posOffset>1932940</wp:posOffset>
                </wp:positionH>
                <wp:positionV relativeFrom="paragraph">
                  <wp:posOffset>12700</wp:posOffset>
                </wp:positionV>
                <wp:extent cx="1560830" cy="158750"/>
                <wp:wrapSquare wrapText="right"/>
                <wp:docPr id="12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6083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Google search where we typed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margin-left:152.20000000000002pt;margin-top:1.pt;width:122.90000000000001pt;height:12.5pt;z-index:-12582936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Google search where we typed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0"/>
          <w:i/>
          <w:iCs/>
        </w:rPr>
        <w:t>data protection notice Malta ’</w:t>
      </w:r>
      <w:r>
        <w:rPr>
          <w:rStyle w:val="CharStyle20"/>
        </w:rPr>
        <w:t xml:space="preserve"> and the first result which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840" w:right="0" w:firstLine="0"/>
        <w:jc w:val="both"/>
      </w:pPr>
      <w:r>
        <w:rPr>
          <w:rStyle w:val="CharStyle20"/>
        </w:rPr>
        <w:t xml:space="preserve">came up was the </w:t>
      </w:r>
      <w:r>
        <w:rPr>
          <w:rStyle w:val="CharStyle20"/>
          <w:i/>
          <w:iCs/>
        </w:rPr>
        <w:t>‘Data Protection Policy</w:t>
      </w:r>
      <w:r>
        <w:rPr>
          <w:rStyle w:val="CharStyle20"/>
        </w:rPr>
        <w:t xml:space="preserve"> ’ of the ^|;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86" w:val="left"/>
        </w:tabs>
        <w:bidi w:val="0"/>
        <w:spacing w:before="0" w:after="240" w:line="374" w:lineRule="auto"/>
        <w:ind w:left="1840" w:right="0" w:hanging="300"/>
        <w:jc w:val="both"/>
      </w:pPr>
      <w:r>
        <w:rPr>
          <w:rStyle w:val="CharStyle20"/>
        </w:rPr>
        <w:t xml:space="preserve">that after reading through the ^|’s </w:t>
      </w:r>
      <w:r>
        <w:rPr>
          <w:rStyle w:val="CharStyle20"/>
          <w:i/>
          <w:iCs/>
        </w:rPr>
        <w:t>‘Data Protection Policy',</w:t>
      </w:r>
      <w:r>
        <w:rPr>
          <w:rStyle w:val="CharStyle20"/>
        </w:rPr>
        <w:t xml:space="preserve"> a number of shortcomings</w:t>
        <w:br/>
        <w:t>were identified and which unfortunately, leave the data subject unclear as to the main</w:t>
        <w:br/>
        <w:t>information that a privacy notice should provide transparency on, and this as outlined in</w:t>
        <w:br/>
        <w:t>article 13, article 14 and article 15 of the Regulation;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84" w:val="left"/>
        </w:tabs>
        <w:bidi w:val="0"/>
        <w:spacing w:before="0" w:after="440"/>
        <w:ind w:left="1840" w:right="0" w:hanging="300"/>
        <w:jc w:val="both"/>
      </w:pPr>
      <w:r>
        <w:rPr>
          <w:rStyle w:val="CharStyle20"/>
        </w:rPr>
        <w:t xml:space="preserve">that from the H^’s </w:t>
      </w:r>
      <w:r>
        <w:rPr>
          <w:rStyle w:val="CharStyle20"/>
          <w:i/>
          <w:iCs/>
        </w:rPr>
        <w:t>‘Data Protection Policy',</w:t>
      </w:r>
      <w:r>
        <w:rPr>
          <w:rStyle w:val="CharStyle20"/>
        </w:rPr>
        <w:t xml:space="preserve"> the complainant outlined various</w:t>
        <w:br/>
        <w:t>shortcomings that have been identified as being in breach of the requirements under the</w:t>
        <w:br/>
        <w:t>Regulation as well as of the standards established by the European Authorities, including the</w:t>
        <w:br/>
        <w:t xml:space="preserve">European Data Protection Board </w:t>
      </w:r>
      <w:r>
        <w:rPr>
          <w:rStyle w:val="CharStyle20"/>
          <w:b/>
          <w:bCs/>
        </w:rPr>
        <w:t xml:space="preserve">(“EDBP”) </w:t>
      </w:r>
      <w:r>
        <w:rPr>
          <w:rStyle w:val="CharStyle20"/>
        </w:rPr>
        <w:t>in its numerous guidelines issued since the</w:t>
        <w:br/>
        <w:t xml:space="preserve">coming into force of the Regulation in 2018, in particular </w:t>
      </w:r>
      <w:r>
        <w:rPr>
          <w:rStyle w:val="CharStyle20"/>
          <w:i/>
          <w:iCs/>
        </w:rPr>
        <w:t>‘Guidelines 4/2019 on Article 25</w:t>
        <w:br/>
        <w:t>Data Protection by Design and by Default’</w:t>
      </w:r>
      <w:r>
        <w:rPr>
          <w:rStyle w:val="CharStyle20"/>
          <w:i/>
          <w:iCs/>
          <w:vertAlign w:val="superscript"/>
        </w:rPr>
        <w:footnoteReference w:id="4"/>
      </w:r>
      <w:r>
        <w:rPr>
          <w:rStyle w:val="CharStyle20"/>
          <w:b/>
          <w:bCs/>
        </w:rPr>
        <w:t xml:space="preserve"> (“Guidelines 4/2019”);</w:t>
      </w:r>
    </w:p>
    <w:p>
      <w:pPr>
        <w:pStyle w:val="Style1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2080" w:val="left"/>
        </w:tabs>
        <w:bidi w:val="0"/>
        <w:spacing w:before="0"/>
        <w:ind w:left="1840" w:right="0" w:firstLine="0"/>
        <w:jc w:val="both"/>
      </w:pPr>
      <w:r>
        <w:rPr>
          <w:rStyle w:val="CharStyle20"/>
          <w:u w:val="single"/>
        </w:rPr>
        <w:t>Confusion as to the identity of the Controller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84" w:val="left"/>
        </w:tabs>
        <w:bidi w:val="0"/>
        <w:spacing w:before="0"/>
        <w:ind w:left="1840" w:right="0" w:hanging="300"/>
        <w:jc w:val="both"/>
      </w:pPr>
      <w:r>
        <w:rPr>
          <w:rStyle w:val="CharStyle20"/>
        </w:rPr>
        <w:t xml:space="preserve">that the </w:t>
      </w:r>
      <w:r>
        <w:rPr>
          <w:rStyle w:val="CharStyle20"/>
          <w:i/>
          <w:iCs/>
        </w:rPr>
        <w:t>‘Data Protection Policy' appears</w:t>
      </w:r>
      <w:r>
        <w:rPr>
          <w:rStyle w:val="CharStyle20"/>
        </w:rPr>
        <w:t xml:space="preserve"> to list the^^J Director, as the </w:t>
      </w:r>
      <w:r>
        <w:rPr>
          <w:rStyle w:val="CharStyle20"/>
          <w:i/>
          <w:iCs/>
        </w:rPr>
        <w:t>‘Data Controller’</w:t>
        <w:br/>
      </w:r>
      <w:r>
        <w:rPr>
          <w:rStyle w:val="CharStyle20"/>
        </w:rPr>
        <w:t>which seems to be an incorrect designation of the identity of the data controller here. In the</w:t>
        <w:br/>
        <w:t>complainant’s view, the Director is simply an employee within the ^|. and it is the •</w:t>
        <w:br/>
        <w:t xml:space="preserve">which controls the children’s personal data and which, from the same </w:t>
      </w:r>
      <w:r>
        <w:rPr>
          <w:rStyle w:val="CharStyle20"/>
          <w:i/>
          <w:iCs/>
        </w:rPr>
        <w:t>‘Data Protection</w:t>
        <w:br/>
        <w:t>Policy</w:t>
      </w:r>
      <w:r>
        <w:rPr>
          <w:rStyle w:val="CharStyle20"/>
        </w:rPr>
        <w:t xml:space="preserve"> ’, seems to determine the purposes and the means of the processing of such data;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84" w:val="left"/>
        </w:tabs>
        <w:bidi w:val="0"/>
        <w:spacing w:before="0" w:after="300" w:line="379" w:lineRule="auto"/>
        <w:ind w:left="1840" w:right="0" w:hanging="30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927" w:right="1809" w:bottom="2301" w:left="1191" w:header="1499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 xml:space="preserve">that in addition to the above,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makes reference the Processing of</w:t>
        <w:br/>
        <w:t xml:space="preserve">Personal Data (Education Sector) Regulations, </w:t>
      </w:r>
      <w:r>
        <w:rPr>
          <w:rStyle w:val="CharStyle20"/>
          <w:b/>
          <w:bCs/>
        </w:rPr>
        <w:t xml:space="preserve">(“Subsidiary Legislation 586.07”), </w:t>
      </w:r>
      <w:r>
        <w:rPr>
          <w:rStyle w:val="CharStyle20"/>
        </w:rPr>
        <w:t>wherein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14" w:name="bookmark14"/>
      <w:r>
        <w:rPr>
          <w:rStyle w:val="CharStyle9"/>
        </w:rPr>
        <w:t>idpc.</w:t>
      </w:r>
      <w:bookmarkEnd w:id="14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Style w:val="CharStyle26"/>
          <w:b/>
          <w:bCs/>
          <w:color w:val="1A3060"/>
        </w:rPr>
        <w:t xml:space="preserve">| </w:t>
      </w:r>
      <w:r>
        <w:rPr>
          <w:rStyle w:val="CharStyle26"/>
          <w:b/>
          <w:bCs/>
          <w:color w:val="000000"/>
        </w:rPr>
        <w:t>M nauxM*tM&amp;'.i*rj.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line="187" w:lineRule="auto"/>
        <w:ind w:left="0" w:right="0"/>
        <w:jc w:val="left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  <w:color w:val="000000"/>
        </w:rPr>
        <w:t>'K’ftttiaiX.jiJiiKaoiCs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1840" w:right="0" w:firstLine="20"/>
        <w:jc w:val="both"/>
      </w:pPr>
      <w:r>
        <w:rPr>
          <w:rStyle w:val="CharStyle20"/>
          <w:color w:val="000000"/>
        </w:rPr>
        <w:t xml:space="preserve">a controller is defined as </w:t>
      </w:r>
      <w:r>
        <w:rPr>
          <w:rStyle w:val="CharStyle20"/>
          <w:i/>
          <w:iCs/>
          <w:color w:val="000000"/>
        </w:rPr>
        <w:t>‘education authorities, education institutions, examination bodies</w:t>
        <w:br/>
        <w:t>and the Corporation ’.</w:t>
      </w:r>
      <w:r>
        <w:rPr>
          <w:rStyle w:val="CharStyle20"/>
          <w:color w:val="000000"/>
        </w:rPr>
        <w:t xml:space="preserve"> When referring to the definition of </w:t>
      </w:r>
      <w:r>
        <w:rPr>
          <w:rStyle w:val="CharStyle20"/>
          <w:i/>
          <w:iCs/>
          <w:color w:val="000000"/>
        </w:rPr>
        <w:t>‘education authorities'</w:t>
      </w:r>
      <w:r>
        <w:rPr>
          <w:rStyle w:val="CharStyle20"/>
          <w:color w:val="000000"/>
        </w:rPr>
        <w:t xml:space="preserve"> in the same</w:t>
        <w:br/>
        <w:t>Subsidiary Legislation 586.07, these regulations cross-refer to Part II of the Education Act,</w:t>
        <w:br/>
        <w:t>which Part II, however, seems to have been repealed by Legal Notice 373 of 2021. This,</w:t>
        <w:br/>
        <w:t xml:space="preserve">therefore, leaves a lacuna in the law and no proper definition as to what the </w:t>
      </w:r>
      <w:r>
        <w:rPr>
          <w:rStyle w:val="CharStyle20"/>
          <w:i/>
          <w:iCs/>
          <w:color w:val="000000"/>
        </w:rPr>
        <w:t>‘education</w:t>
        <w:br/>
        <w:t>authorities</w:t>
      </w:r>
      <w:r>
        <w:rPr>
          <w:rStyle w:val="CharStyle20"/>
          <w:i/>
          <w:iCs/>
          <w:color w:val="000000"/>
          <w:vertAlign w:val="superscript"/>
        </w:rPr>
        <w:t>1</w:t>
      </w:r>
      <w:r>
        <w:rPr>
          <w:rStyle w:val="CharStyle20"/>
          <w:color w:val="000000"/>
        </w:rPr>
        <w:t xml:space="preserve"> referred to in SL 586.07 actually consist of;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62" w:val="left"/>
        </w:tabs>
        <w:bidi w:val="0"/>
        <w:spacing w:before="0"/>
        <w:ind w:left="1840" w:right="0" w:hanging="300"/>
        <w:jc w:val="both"/>
      </w:pPr>
      <w:r>
        <w:rPr>
          <w:rStyle w:val="CharStyle20"/>
          <w:color w:val="000000"/>
        </w:rPr>
        <w:t xml:space="preserve">that the^J^may possibly be identified as an </w:t>
      </w:r>
      <w:r>
        <w:rPr>
          <w:rStyle w:val="CharStyle20"/>
          <w:i/>
          <w:iCs/>
          <w:color w:val="000000"/>
        </w:rPr>
        <w:t>‘education institution</w:t>
      </w:r>
      <w:r>
        <w:rPr>
          <w:rStyle w:val="CharStyle20"/>
          <w:color w:val="000000"/>
        </w:rPr>
        <w:t>' within the meaning of</w:t>
        <w:br/>
        <w:t xml:space="preserve">Subsidiary Legislation 586.07, since it offers </w:t>
      </w:r>
      <w:r>
        <w:rPr>
          <w:rStyle w:val="CharStyle20"/>
          <w:i/>
          <w:iCs/>
          <w:color w:val="000000"/>
        </w:rPr>
        <w:t>'Educational Psycho-social Sendees</w:t>
      </w:r>
      <w:r>
        <w:rPr>
          <w:rStyle w:val="CharStyle20"/>
          <w:color w:val="000000"/>
        </w:rPr>
        <w:t xml:space="preserve"> ’ as well</w:t>
        <w:br/>
        <w:t xml:space="preserve">as </w:t>
      </w:r>
      <w:r>
        <w:rPr>
          <w:rStyle w:val="CharStyle20"/>
          <w:i/>
          <w:iCs/>
          <w:color w:val="000000"/>
        </w:rPr>
        <w:t>‘Inclusive Education Support</w:t>
      </w:r>
      <w:r>
        <w:rPr>
          <w:rStyle w:val="CharStyle20"/>
          <w:color w:val="000000"/>
        </w:rPr>
        <w:t xml:space="preserve"> ^, and therefore would fall within the definition of a data</w:t>
        <w:br/>
        <w:t>controller within the meaning of Subsidiary Legislation 586.07.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62" w:val="left"/>
        </w:tabs>
        <w:bidi w:val="0"/>
        <w:spacing w:before="0" w:after="260" w:line="374" w:lineRule="auto"/>
        <w:ind w:left="1840" w:right="0" w:hanging="300"/>
        <w:jc w:val="both"/>
      </w:pPr>
      <w:r>
        <w:rPr>
          <w:rStyle w:val="CharStyle20"/>
          <w:color w:val="000000"/>
        </w:rPr>
        <w:t>that in line with the above considerations, the complainant believes that the^|should be</w:t>
        <w:br/>
        <w:t>considered as the controller, and this to the exclusion of any other individual or employee</w:t>
        <w:br/>
        <w:t xml:space="preserve">within the same organisation. In this sense, the </w:t>
      </w:r>
      <w:r>
        <w:rPr>
          <w:rStyle w:val="CharStyle20"/>
          <w:i/>
          <w:iCs/>
          <w:color w:val="000000"/>
        </w:rPr>
        <w:t>Data Protection Policy',</w:t>
      </w:r>
      <w:r>
        <w:rPr>
          <w:rStyle w:val="CharStyle20"/>
          <w:color w:val="000000"/>
        </w:rPr>
        <w:t xml:space="preserve"> as well as the</w:t>
        <w:br/>
        <w:t>information being handed out by the ^H about itself and the identity of the controller,</w:t>
        <w:br/>
        <w:t>appear to be incorrect and misleading;</w:t>
      </w:r>
    </w:p>
    <w:p>
      <w:pPr>
        <w:pStyle w:val="Style19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2114" w:val="left"/>
        </w:tabs>
        <w:bidi w:val="0"/>
        <w:spacing w:before="0" w:after="100" w:line="240" w:lineRule="auto"/>
        <w:ind w:left="1840" w:right="0" w:firstLine="0"/>
        <w:jc w:val="both"/>
      </w:pPr>
      <w:r>
        <w:rPr>
          <w:rStyle w:val="CharStyle20"/>
          <w:color w:val="000000"/>
          <w:u w:val="single"/>
        </w:rPr>
        <w:t>Lack of clarity on the categories of personal data concerned and the identity of the data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1840" w:right="0" w:firstLine="0"/>
        <w:jc w:val="left"/>
      </w:pPr>
      <w:r>
        <w:rPr>
          <w:rStyle w:val="CharStyle20"/>
          <w:color w:val="000000"/>
          <w:u w:val="single"/>
        </w:rPr>
        <w:t>subjects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62" w:val="left"/>
        </w:tabs>
        <w:bidi w:val="0"/>
        <w:spacing w:before="0"/>
        <w:ind w:left="1840" w:right="0" w:hanging="300"/>
        <w:jc w:val="both"/>
      </w:pPr>
      <w:r>
        <w:rPr>
          <w:rStyle w:val="CharStyle20"/>
          <w:color w:val="000000"/>
        </w:rPr>
        <w:t xml:space="preserve">that the </w:t>
      </w:r>
      <w:r>
        <w:rPr>
          <w:rStyle w:val="CharStyle20"/>
          <w:i/>
          <w:iCs/>
          <w:color w:val="000000"/>
        </w:rPr>
        <w:t>'Data Protection Policy</w:t>
      </w:r>
      <w:r>
        <w:rPr>
          <w:rStyle w:val="CharStyle20"/>
          <w:color w:val="000000"/>
        </w:rPr>
        <w:t>' does not list the categories of data collected by thej</w:t>
        <w:br/>
        <w:t>The complainant further added that it also does not mention whether any special category</w:t>
        <w:br/>
        <w:t>data is collected and, or processed, nor does it outline any lawful bases under article 6 of the</w:t>
        <w:br/>
        <w:t>Regulation or conditions for processing under article 9 of the Regulation. However, it may</w:t>
        <w:br/>
        <w:t>be inferred that the does in fact collect and, or process special category data,</w:t>
        <w:br/>
        <w:t>particularly, but possibly not solely, health data of the children to whom it provides support</w:t>
        <w:br/>
        <w:t>services, which children generally suffer from special conditions, such as down syndrome.</w:t>
        <w:br/>
        <w:t xml:space="preserve">As a result, the </w:t>
      </w:r>
      <w:r>
        <w:rPr>
          <w:rStyle w:val="CharStyle20"/>
          <w:i/>
          <w:iCs/>
          <w:color w:val="000000"/>
        </w:rPr>
        <w:t>‘Data Protection Policy</w:t>
      </w:r>
      <w:r>
        <w:rPr>
          <w:rStyle w:val="CharStyle20"/>
          <w:color w:val="000000"/>
        </w:rPr>
        <w:t xml:space="preserve"> ’ fails to provide the specific, explicit and legitimate</w:t>
        <w:br/>
        <w:t>purposes as to why such data is being collected;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62" w:val="left"/>
        </w:tabs>
        <w:bidi w:val="0"/>
        <w:spacing w:before="0"/>
        <w:ind w:left="1840" w:right="0" w:hanging="300"/>
        <w:jc w:val="both"/>
        <w:sectPr>
          <w:footerReference w:type="default" r:id="rId9"/>
          <w:footerReference w:type="even" r:id="rId10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876" w:right="1839" w:bottom="2334" w:left="1160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color w:val="000000"/>
        </w:rPr>
        <w:t xml:space="preserve">that the </w:t>
      </w:r>
      <w:r>
        <w:rPr>
          <w:rStyle w:val="CharStyle20"/>
          <w:i/>
          <w:iCs/>
          <w:color w:val="000000"/>
        </w:rPr>
        <w:t>‘Data Protection Policy’</w:t>
      </w:r>
      <w:r>
        <w:rPr>
          <w:rStyle w:val="CharStyle20"/>
          <w:color w:val="000000"/>
        </w:rPr>
        <w:t xml:space="preserve"> ’ does not provide any indication on how data is collected</w:t>
        <w:br/>
        <w:t>and from whom. There is also no indication as to the identity of the data subjects, except</w:t>
        <w:br/>
        <w:t xml:space="preserve">reference to children who are still not identified as </w:t>
      </w:r>
      <w:r>
        <w:rPr>
          <w:rStyle w:val="CharStyle20"/>
          <w:i/>
          <w:iCs/>
          <w:color w:val="000000"/>
        </w:rPr>
        <w:t>‘data subjects ’.</w:t>
      </w:r>
      <w:r>
        <w:rPr>
          <w:rStyle w:val="CharStyle20"/>
          <w:color w:val="000000"/>
        </w:rPr>
        <w:t xml:space="preserve"> It is also unclear whether</w:t>
        <w:br/>
        <w:t>the children’s guardians, are or may be the data subjects of the The complainant</w:t>
        <w:br/>
        <w:t>questions how individuals can know what rights they have vis-a-vis the ^| if there is no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520" w:after="0" w:line="240" w:lineRule="auto"/>
        <w:ind w:left="0" w:right="0" w:firstLine="0"/>
        <w:jc w:val="left"/>
      </w:pPr>
      <w:bookmarkStart w:id="16" w:name="bookmark16"/>
      <w:r>
        <w:rPr>
          <w:rStyle w:val="CharStyle9"/>
        </w:rPr>
        <w:t>idpc.</w:t>
      </w:r>
      <w:bookmarkEnd w:id="16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/>
        <w:jc w:val="both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>wet*v&lt;«'3Mw.W'(»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/>
        <w:ind w:left="1860" w:right="0" w:firstLine="20"/>
        <w:jc w:val="both"/>
      </w:pPr>
      <w:r>
        <w:rPr>
          <w:rStyle w:val="CharStyle20"/>
        </w:rPr>
        <w:t>certainty whether such person is in fact a data subject of the same organisation. There is also</w:t>
        <w:br/>
        <w:t>no mention as to the interplay between children and their guardians in the sense that it is</w:t>
        <w:br/>
        <w:t xml:space="preserve">unclear from the </w:t>
      </w:r>
      <w:r>
        <w:rPr>
          <w:rStyle w:val="CharStyle20"/>
          <w:i/>
          <w:iCs/>
        </w:rPr>
        <w:t>Data Protection Policy’</w:t>
      </w:r>
      <w:r>
        <w:rPr>
          <w:rStyle w:val="CharStyle20"/>
        </w:rPr>
        <w:t xml:space="preserve"> whether the guardians of such children may</w:t>
        <w:br/>
        <w:t>exercise rights on behalf of their minor children and if so, to what extent and in what manner.</w:t>
        <w:br/>
        <w:t xml:space="preserve">Unfortunately, this lack of transparency is reflected throughout all sections within the </w:t>
      </w:r>
      <w:r>
        <w:rPr>
          <w:rStyle w:val="CharStyle20"/>
          <w:i/>
          <w:iCs/>
        </w:rPr>
        <w:t>‘Data</w:t>
        <w:br/>
        <w:t>Protection Policy ’;</w:t>
      </w:r>
    </w:p>
    <w:p>
      <w:pPr>
        <w:pStyle w:val="Style1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2192" w:val="left"/>
        </w:tabs>
        <w:bidi w:val="0"/>
        <w:spacing w:before="0" w:after="320" w:line="374" w:lineRule="auto"/>
        <w:ind w:left="1860" w:right="0" w:firstLine="20"/>
        <w:jc w:val="both"/>
      </w:pPr>
      <w:r>
        <w:rPr>
          <w:rStyle w:val="CharStyle20"/>
          <w:u w:val="single"/>
        </w:rPr>
        <w:t>Lack of clarity on the purposes of data collection and processing, and legal bases for the</w:t>
        <w:br/>
        <w:t>same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62" w:val="left"/>
        </w:tabs>
        <w:bidi w:val="0"/>
        <w:spacing w:before="0" w:after="320"/>
        <w:ind w:left="1860" w:right="0" w:hanging="320"/>
        <w:jc w:val="both"/>
      </w:pPr>
      <w:r>
        <w:rPr>
          <w:rStyle w:val="CharStyle20"/>
        </w:rPr>
        <w:t xml:space="preserve">that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includes a vague one-liner stating that, </w:t>
      </w:r>
      <w:r>
        <w:rPr>
          <w:rStyle w:val="CharStyle20"/>
          <w:i/>
          <w:iCs/>
        </w:rPr>
        <w:t>“[t]he ^^^collects</w:t>
        <w:br/>
        <w:t>and processes information to carry out its obligations in accordance with present</w:t>
        <w:br/>
        <w:t>legislation</w:t>
      </w:r>
      <w:r>
        <w:rPr>
          <w:rStyle w:val="CharStyle20"/>
        </w:rPr>
        <w:t xml:space="preserve"> ”. The complainant argued that this is not sufficient and not in compliance with</w:t>
        <w:br/>
        <w:t>the Regulation since it lacks transparency and clarity about the purpose/s why the data are</w:t>
        <w:br/>
        <w:t>collected and processed by the</w:t>
      </w:r>
    </w:p>
    <w:p>
      <w:pPr>
        <w:pStyle w:val="Style19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862" w:val="left"/>
        </w:tabs>
        <w:bidi w:val="0"/>
        <w:spacing w:before="0" w:after="320"/>
        <w:ind w:left="1860" w:right="0" w:hanging="320"/>
        <w:jc w:val="both"/>
      </w:pPr>
      <w:r>
        <w:rPr>
          <w:rStyle w:val="CharStyle20"/>
        </w:rPr>
        <w:t>that with reference to the legal bases for processing, there is no proper explanation of the</w:t>
        <w:br/>
        <w:t>obligations to which the is referring and using as a basis for the collection and</w:t>
        <w:br/>
        <w:t>processing of children’s personal data. The complainant noted that reference is made to</w:t>
        <w:br/>
      </w:r>
      <w:r>
        <w:rPr>
          <w:rStyle w:val="CharStyle20"/>
          <w:i/>
          <w:iCs/>
        </w:rPr>
        <w:t>‘present legislation</w:t>
      </w:r>
      <w:r>
        <w:rPr>
          <w:rStyle w:val="CharStyle20"/>
        </w:rPr>
        <w:t xml:space="preserve"> ’, without any context whatsoever, and therefore she believes that this is</w:t>
        <w:br/>
        <w:t>also vague and certainly, insufficient;</w:t>
      </w:r>
    </w:p>
    <w:p>
      <w:pPr>
        <w:pStyle w:val="Style19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2182" w:val="left"/>
        </w:tabs>
        <w:bidi w:val="0"/>
        <w:spacing w:before="0" w:after="320"/>
        <w:ind w:left="1860" w:right="0" w:firstLine="0"/>
        <w:jc w:val="both"/>
      </w:pPr>
      <w:r>
        <w:rPr>
          <w:rStyle w:val="CharStyle20"/>
          <w:u w:val="single"/>
        </w:rPr>
        <w:t>Lack of clarity on who the recipients/categories of recipients of the personal data are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20"/>
        <w:ind w:left="1860" w:right="0" w:hanging="320"/>
        <w:jc w:val="both"/>
      </w:pPr>
      <w:r>
        <w:rPr>
          <w:rStyle w:val="CharStyle20"/>
        </w:rPr>
        <w:t xml:space="preserve">w. that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does not specify the recipients or categories of recipients of</w:t>
        <w:br/>
        <w:t>the personal data being processed. It simply provides, in a very general manner, that</w:t>
        <w:br/>
      </w:r>
      <w:r>
        <w:rPr>
          <w:rStyle w:val="CharStyle20"/>
          <w:i/>
          <w:iCs/>
        </w:rPr>
        <w:t>" [p]ersonal data will be disclosed to a number of data processors who provide the various</w:t>
        <w:br/>
        <w:t>services on behalf of the and any relevant Health Authorities ”,</w:t>
      </w:r>
      <w:r>
        <w:rPr>
          <w:rStyle w:val="CharStyle20"/>
        </w:rPr>
        <w:t xml:space="preserve"> as well as to </w:t>
      </w:r>
      <w:r>
        <w:rPr>
          <w:rStyle w:val="CharStyle20"/>
          <w:i/>
          <w:iCs/>
        </w:rPr>
        <w:t>“third</w:t>
        <w:br/>
        <w:t>parties but only as authorised by law</w:t>
      </w:r>
      <w:r>
        <w:rPr>
          <w:rStyle w:val="CharStyle20"/>
        </w:rPr>
        <w:t xml:space="preserve"> ”.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falls short of providing</w:t>
        <w:br/>
        <w:t xml:space="preserve">a clear and direct indication of whom these </w:t>
      </w:r>
      <w:r>
        <w:rPr>
          <w:rStyle w:val="CharStyle20"/>
          <w:i/>
          <w:iCs/>
        </w:rPr>
        <w:t>‘data processors ’,</w:t>
      </w:r>
      <w:r>
        <w:rPr>
          <w:rStyle w:val="CharStyle20"/>
        </w:rPr>
        <w:t xml:space="preserve"> including the relevant </w:t>
      </w:r>
      <w:r>
        <w:rPr>
          <w:rStyle w:val="CharStyle20"/>
          <w:i/>
          <w:iCs/>
        </w:rPr>
        <w:t>Health</w:t>
        <w:br/>
        <w:t>Authorities ’</w:t>
      </w:r>
      <w:r>
        <w:rPr>
          <w:rStyle w:val="CharStyle20"/>
        </w:rPr>
        <w:t xml:space="preserve"> and other </w:t>
      </w:r>
      <w:r>
        <w:rPr>
          <w:rStyle w:val="CharStyle20"/>
          <w:i/>
          <w:iCs/>
        </w:rPr>
        <w:t>'thirdparties ’</w:t>
      </w:r>
      <w:r>
        <w:rPr>
          <w:rStyle w:val="CharStyle20"/>
        </w:rPr>
        <w:t xml:space="preserve"> are. As outlined in Guidelines 4/2019</w:t>
      </w:r>
      <w:r>
        <w:rPr>
          <w:rStyle w:val="CharStyle20"/>
          <w:vertAlign w:val="superscript"/>
        </w:rPr>
        <w:t>5</w:t>
      </w:r>
      <w:r>
        <w:rPr>
          <w:rStyle w:val="CharStyle20"/>
        </w:rPr>
        <w:t xml:space="preserve">, </w:t>
      </w:r>
      <w:r>
        <w:rPr>
          <w:rStyle w:val="CharStyle20"/>
          <w:i/>
          <w:iCs/>
        </w:rPr>
        <w:t>“[t]he controller</w:t>
        <w:br/>
        <w:t>must be clear and open with the data subject about how they will collect, use and share</w:t>
        <w:br/>
        <w:t>personal data. Transparency is about enabling data subjects to understand, and if necessary,</w:t>
        <w:br/>
        <w:t>make use of their rights in Articles 15 to 22</w:t>
      </w:r>
      <w:r>
        <w:rPr>
          <w:rStyle w:val="CharStyle20"/>
        </w:rPr>
        <w:t xml:space="preserve"> ”. The result of all this lack of clarity and lack of</w:t>
        <w:br/>
        <w:t>transparency is that the data subject, or as in this case, the persons acting on behalf of the</w:t>
        <w:br/>
        <w:t>minor, is left pondering as to the reasons why personal data are collected, processed and</w:t>
      </w:r>
      <w:r>
        <w:br w:type="page"/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1160" w:right="0" w:firstLine="0"/>
        <w:jc w:val="both"/>
      </w:pPr>
      <w:r>
        <w:drawing>
          <wp:anchor distT="0" distB="190500" distL="114300" distR="114300" simplePos="0" relativeHeight="125829386" behindDoc="0" locked="0" layoutInCell="1" allowOverlap="1">
            <wp:simplePos x="0" y="0"/>
            <wp:positionH relativeFrom="page">
              <wp:posOffset>710565</wp:posOffset>
            </wp:positionH>
            <wp:positionV relativeFrom="margin">
              <wp:posOffset>53340</wp:posOffset>
            </wp:positionV>
            <wp:extent cx="999490" cy="502920"/>
            <wp:wrapTopAndBottom/>
            <wp:docPr id="20" name="Shap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box 2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999490" cy="50292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2700" distB="5447665" distL="12700" distR="61595" simplePos="0" relativeHeight="125829387" behindDoc="0" locked="0" layoutInCell="1" allowOverlap="1">
                <wp:simplePos x="0" y="0"/>
                <wp:positionH relativeFrom="page">
                  <wp:posOffset>1640205</wp:posOffset>
                </wp:positionH>
                <wp:positionV relativeFrom="margin">
                  <wp:posOffset>1875790</wp:posOffset>
                </wp:positionV>
                <wp:extent cx="118745" cy="115570"/>
                <wp:wrapSquare wrapText="right"/>
                <wp:docPr id="22" name="Shape 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745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4"/>
                                <w:b/>
                                <w:bCs/>
                              </w:rPr>
                              <w:t>X.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position:absolute;margin-left:129.15000000000001pt;margin-top:147.70000000000002pt;width:9.3499999999999996pt;height:9.0999999999999996pt;z-index:-125829366;mso-wrap-distance-left:1.pt;mso-wrap-distance-top:1.pt;mso-wrap-distance-right:4.8500000000000005pt;mso-wrap-distance-bottom:428.94999999999999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3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4"/>
                          <w:b/>
                          <w:bCs/>
                        </w:rPr>
                        <w:t>X.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1091565" distB="4331970" distL="12700" distR="61595" simplePos="0" relativeHeight="125829389" behindDoc="0" locked="0" layoutInCell="1" allowOverlap="1">
                <wp:simplePos x="0" y="0"/>
                <wp:positionH relativeFrom="page">
                  <wp:posOffset>1640205</wp:posOffset>
                </wp:positionH>
                <wp:positionV relativeFrom="margin">
                  <wp:posOffset>2954655</wp:posOffset>
                </wp:positionV>
                <wp:extent cx="118745" cy="152400"/>
                <wp:wrapSquare wrapText="right"/>
                <wp:docPr id="24" name="Shape 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745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y-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position:absolute;margin-left:129.15000000000001pt;margin-top:232.65000000000001pt;width:9.3499999999999996pt;height:12.pt;z-index:-125829364;mso-wrap-distance-left:1.pt;mso-wrap-distance-top:85.950000000000003pt;mso-wrap-distance-right:4.8500000000000005pt;mso-wrap-distance-bottom:341.1000000000000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y-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3450590" distB="1972945" distL="12700" distR="67310" simplePos="0" relativeHeight="125829391" behindDoc="0" locked="0" layoutInCell="1" allowOverlap="1">
                <wp:simplePos x="0" y="0"/>
                <wp:positionH relativeFrom="page">
                  <wp:posOffset>1640205</wp:posOffset>
                </wp:positionH>
                <wp:positionV relativeFrom="margin">
                  <wp:posOffset>5313680</wp:posOffset>
                </wp:positionV>
                <wp:extent cx="113030" cy="152400"/>
                <wp:wrapSquare wrapText="right"/>
                <wp:docPr id="26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303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z.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position:absolute;margin-left:129.15000000000001pt;margin-top:418.40000000000003pt;width:8.9000000000000004pt;height:12.pt;z-index:-125829362;mso-wrap-distance-left:1.pt;mso-wrap-distance-top:271.69999999999999pt;mso-wrap-distance-right:5.2999999999999998pt;mso-wrap-distance-bottom:155.34999999999999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z.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5410835" distB="12700" distL="12700" distR="12700" simplePos="0" relativeHeight="125829393" behindDoc="0" locked="0" layoutInCell="1" allowOverlap="1">
                <wp:simplePos x="0" y="0"/>
                <wp:positionH relativeFrom="page">
                  <wp:posOffset>1640205</wp:posOffset>
                </wp:positionH>
                <wp:positionV relativeFrom="margin">
                  <wp:posOffset>7273925</wp:posOffset>
                </wp:positionV>
                <wp:extent cx="167640" cy="152400"/>
                <wp:wrapSquare wrapText="right"/>
                <wp:docPr id="28" name="Shape 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764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aa.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4" type="#_x0000_t202" style="position:absolute;margin-left:129.15000000000001pt;margin-top:572.75pt;width:13.200000000000001pt;height:12.pt;z-index:-125829360;mso-wrap-distance-left:1.pt;mso-wrap-distance-top:426.05000000000001pt;mso-wrap-distance-right:1.pt;mso-wrap-distance-bottom:1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aa.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w:rPr>
          <w:rStyle w:val="CharStyle20"/>
        </w:rPr>
        <w:t>shared by the organisation, and this makes it even more difficult for the data subject to</w:t>
        <w:br/>
        <w:t>exercise his or her rights in terms of the Regulation;</w:t>
      </w:r>
    </w:p>
    <w:p>
      <w:pPr>
        <w:pStyle w:val="Style19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30" w:val="left"/>
        </w:tabs>
        <w:bidi w:val="0"/>
        <w:spacing w:before="0" w:after="260" w:line="374" w:lineRule="auto"/>
        <w:ind w:left="1160" w:right="0" w:firstLine="0"/>
        <w:jc w:val="left"/>
      </w:pPr>
      <w:r>
        <w:rPr>
          <w:rStyle w:val="CharStyle20"/>
          <w:u w:val="single"/>
        </w:rPr>
        <w:t>Lack of clarity on Data Subjects’ Rights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9" w:lineRule="auto"/>
        <w:ind w:left="0" w:right="0" w:firstLine="0"/>
        <w:jc w:val="both"/>
      </w:pPr>
      <w:r>
        <w:rPr>
          <w:rStyle w:val="CharStyle20"/>
        </w:rPr>
        <w:t>that in line with the above observations, in particular, and with reference to the right of access,</w:t>
        <w:br/>
        <w:t xml:space="preserve">the </w:t>
      </w:r>
      <w:r>
        <w:rPr>
          <w:rStyle w:val="CharStyle20"/>
          <w:i/>
          <w:iCs/>
        </w:rPr>
        <w:t>‘Data Protection Policy'</w:t>
      </w:r>
      <w:r>
        <w:rPr>
          <w:rStyle w:val="CharStyle20"/>
        </w:rPr>
        <w:t xml:space="preserve"> provides that access requests are to be sent directly </w:t>
      </w:r>
      <w:r>
        <w:rPr>
          <w:rStyle w:val="CharStyle20"/>
          <w:i/>
          <w:iCs/>
        </w:rPr>
        <w:t>“to the</w:t>
        <w:br/>
        <w:t>Director of the</w:t>
      </w:r>
      <w:r>
        <w:rPr>
          <w:rStyle w:val="CharStyle20"/>
          <w:rFonts w:ascii="Arial" w:eastAsia="Arial" w:hAnsi="Arial" w:cs="Arial"/>
          <w:sz w:val="20"/>
          <w:szCs w:val="20"/>
        </w:rPr>
        <w:t xml:space="preserve"> ^H", </w:t>
      </w:r>
      <w:r>
        <w:rPr>
          <w:rStyle w:val="CharStyle20"/>
        </w:rPr>
        <w:t>and the complainant believes that since the organisation has a DPO,</w:t>
        <w:br/>
        <w:t>such requests should be sent to the ^|'s DPO, and not to its Director;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0" w:right="0" w:firstLine="0"/>
        <w:jc w:val="both"/>
      </w:pPr>
      <w:r>
        <w:rPr>
          <w:rStyle w:val="CharStyle20"/>
        </w:rPr>
        <w:t xml:space="preserve">that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does not provide substantive information on the other rights</w:t>
        <w:br/>
        <w:t xml:space="preserve">pertaining to the data subjects </w:t>
      </w:r>
      <w:r>
        <w:rPr>
          <w:rStyle w:val="CharStyle20"/>
          <w:i/>
          <w:iCs/>
        </w:rPr>
        <w:t>“rectification, erasure, restriction, objection, and data</w:t>
        <w:br/>
        <w:t>portability</w:t>
      </w:r>
      <w:r>
        <w:rPr>
          <w:rStyle w:val="CharStyle20"/>
        </w:rPr>
        <w:t xml:space="preserve"> ” in relation to the use of their personal data by the It also does not provide</w:t>
        <w:br/>
        <w:t>information as to how the data subjects are to exercise any of such other rights. In addition</w:t>
        <w:br/>
        <w:t>to all this, the complainant noted that whilst personal data may be collected on the basis of</w:t>
        <w:br/>
        <w:t xml:space="preserve">consent, nowhere in the </w:t>
      </w:r>
      <w:r>
        <w:rPr>
          <w:rStyle w:val="CharStyle20"/>
          <w:i/>
          <w:iCs/>
        </w:rPr>
        <w:t>Data Protection Policy’</w:t>
      </w:r>
      <w:r>
        <w:rPr>
          <w:rStyle w:val="CharStyle20"/>
        </w:rPr>
        <w:t xml:space="preserve"> or in the provided consent form, is</w:t>
        <w:br/>
        <w:t>explained that the data subjects shall have the right to withdraw their consent at any time or</w:t>
        <w:br/>
        <w:t>how they may do this;</w:t>
      </w:r>
    </w:p>
    <w:p>
      <w:pPr>
        <w:pStyle w:val="Style19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322" w:val="left"/>
        </w:tabs>
        <w:bidi w:val="0"/>
        <w:spacing w:before="0" w:line="374" w:lineRule="auto"/>
        <w:ind w:left="0" w:right="0" w:firstLine="0"/>
        <w:jc w:val="both"/>
      </w:pPr>
      <w:r>
        <w:rPr>
          <w:rStyle w:val="CharStyle20"/>
          <w:u w:val="single"/>
        </w:rPr>
        <w:t>No access to data retention policy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0" w:right="0" w:firstLine="0"/>
        <w:jc w:val="both"/>
      </w:pPr>
      <w:r>
        <w:rPr>
          <w:rStyle w:val="CharStyle20"/>
        </w:rPr>
        <w:t xml:space="preserve">that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generally provides that </w:t>
      </w:r>
      <w:r>
        <w:rPr>
          <w:rStyle w:val="CharStyle20"/>
          <w:i/>
          <w:iCs/>
        </w:rPr>
        <w:t>“retention requirements for the data</w:t>
        <w:br/>
        <w:t>processed within the^^^ are outlined in the specific retention policies</w:t>
      </w:r>
      <w:r>
        <w:rPr>
          <w:rStyle w:val="CharStyle20"/>
        </w:rPr>
        <w:t xml:space="preserve"> ” and that data </w:t>
      </w:r>
      <w:r>
        <w:rPr>
          <w:rStyle w:val="CharStyle20"/>
          <w:i/>
          <w:iCs/>
        </w:rPr>
        <w:t>“that</w:t>
        <w:br/>
        <w:t>needs to be destroyed after the noted timeframes will be disposed of in an efficient manner”.</w:t>
        <w:br/>
      </w:r>
      <w:r>
        <w:rPr>
          <w:rStyle w:val="CharStyle20"/>
        </w:rPr>
        <w:t xml:space="preserve">However,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contains no link or links as to what these retention</w:t>
        <w:br/>
        <w:t>policies are or from where these can be accessed by the data subjects. There is also no</w:t>
        <w:br/>
        <w:t xml:space="preserve">indication as to the criteria used to determine any such </w:t>
      </w:r>
      <w:r>
        <w:rPr>
          <w:rStyle w:val="CharStyle20"/>
          <w:i/>
          <w:iCs/>
        </w:rPr>
        <w:t>‘noted timeframes</w:t>
      </w:r>
      <w:r>
        <w:rPr>
          <w:rStyle w:val="CharStyle20"/>
        </w:rPr>
        <w:t xml:space="preserve"> ’ of the data being</w:t>
        <w:br/>
        <w:t xml:space="preserve">processed. The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does not provide any information whatsoever as to</w:t>
        <w:br/>
        <w:t>the duration of the storage of personal data;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758" w:right="1598" w:bottom="2603" w:left="1402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that all this further contributes to the lack of transparency regarding the gathering and use of</w:t>
        <w:br/>
        <w:t>personal data of data subjects, the majority of whom are vulnerable individuals, children with</w:t>
        <w:br/>
        <w:t>special needs requiring the educational support services provided by the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hanging="660"/>
        <w:jc w:val="both"/>
      </w:pPr>
      <w:bookmarkStart w:id="18" w:name="bookmark18"/>
      <w:r>
        <w:rPr>
          <w:rStyle w:val="CharStyle9"/>
        </w:rPr>
        <w:t>idpc</w:t>
      </w:r>
      <w:bookmarkEnd w:id="18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>•••;--.« vw/o.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660"/>
        <w:jc w:val="both"/>
      </w:pPr>
      <w:r>
        <w:rPr>
          <w:rStyle w:val="CharStyle20"/>
          <w:u w:val="single"/>
        </w:rPr>
        <w:t>No internal data protection procedures &amp; no reason or justification provided for delay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1160" w:right="0" w:hanging="280"/>
        <w:jc w:val="both"/>
      </w:pPr>
      <w:r>
        <w:rPr>
          <w:rStyle w:val="CharStyle20"/>
        </w:rPr>
        <w:t xml:space="preserve">bb. that whilst both the Director as well as the^^H’s DPO mentioned </w:t>
      </w:r>
      <w:r>
        <w:rPr>
          <w:rStyle w:val="CharStyle20"/>
          <w:i/>
          <w:iCs/>
        </w:rPr>
        <w:t>‘GDPR procedures’</w:t>
        <w:br/>
      </w:r>
      <w:r>
        <w:rPr>
          <w:rStyle w:val="CharStyle20"/>
        </w:rPr>
        <w:t>which need to be adhered to prior to documentation being provided following an access</w:t>
        <w:br/>
        <w:t>request, no proper explanation was ever given to the complainant as to what such GDPR</w:t>
        <w:br/>
        <w:t>procedures entailed. Neither was she contacted by the ^^ after submitting her request with</w:t>
        <w:br/>
        <w:t>the therapists employed by the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2022, and thus, it is clear that the</w:t>
        <w:br/>
        <w:t>complainant’s request was initially mishandled and ignored;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1160" w:right="0" w:hanging="280"/>
        <w:jc w:val="both"/>
      </w:pPr>
      <w:r>
        <w:rPr>
          <w:rStyle w:val="CharStyle20"/>
        </w:rPr>
        <w:t>cc. that the complainant was left in the dark and this until she contacted the ^| Director,</w:t>
        <w:br/>
        <w:t>directly on the 10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 from when, not only such GDPR procedures were still never</w:t>
        <w:br/>
        <w:t>not explained to her, but her request continued being delayed without justification or reasons</w:t>
        <w:br/>
        <w:t>given. The ^| Director’s email of the 30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wherein she stated that the</w:t>
        <w:br/>
        <w:t xml:space="preserve">complainant’s request was </w:t>
      </w:r>
      <w:r>
        <w:rPr>
          <w:rStyle w:val="CharStyle20"/>
          <w:i/>
          <w:iCs/>
        </w:rPr>
        <w:t>‘formally’ made</w:t>
      </w:r>
      <w:r>
        <w:rPr>
          <w:rStyle w:val="CharStyle20"/>
        </w:rPr>
        <w:t xml:space="preserve"> on the 10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 with her as the controller,</w:t>
        <w:br/>
        <w:t>could most certainly not be considered as a justification for such delay. This is also since the</w:t>
        <w:br/>
        <w:t>complainant’s access request was actually, and formally, made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 with</w:t>
        <w:br/>
        <w:t>the ^| therapists. It was then up to such employees to be informed and aware of the</w:t>
        <w:br/>
        <w:t>internal procedures within the^^H which are to be adhered to when receiving a data subject</w:t>
        <w:br/>
        <w:t>access request, including how to handle such request and whom to direct it to. In this regard,</w:t>
        <w:br/>
        <w:t xml:space="preserve">the complainant referred to the </w:t>
      </w:r>
      <w:r>
        <w:rPr>
          <w:rStyle w:val="CharStyle20"/>
          <w:i/>
          <w:iCs/>
        </w:rPr>
        <w:t>‘Guidelines 01/2022 on data subject rights - Right of access *</w:t>
        <w:br/>
      </w:r>
      <w:r>
        <w:rPr>
          <w:rStyle w:val="CharStyle20"/>
          <w:b/>
          <w:bCs/>
        </w:rPr>
        <w:t xml:space="preserve">(the “Guidelines 01/2022”), </w:t>
      </w:r>
      <w:r>
        <w:rPr>
          <w:rStyle w:val="CharStyle20"/>
        </w:rPr>
        <w:t xml:space="preserve">which provide that, </w:t>
      </w:r>
      <w:r>
        <w:rPr>
          <w:rStyle w:val="CharStyle20"/>
          <w:i/>
          <w:iCs/>
        </w:rPr>
        <w:t>“[tjhere are no specific requirements on the</w:t>
        <w:br/>
        <w:t>format of a request. The controller should provide appropriate and user-friendly</w:t>
        <w:br/>
        <w:t>communication channels that can easily be used by the data subject. However, the data</w:t>
        <w:br/>
        <w:t>subject is not required to use these specific channels and may instead send the request to an</w:t>
        <w:br/>
        <w:t>ojficial contact point of the controller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40" w:line="379" w:lineRule="auto"/>
        <w:ind w:left="1160" w:right="0" w:hanging="280"/>
        <w:jc w:val="both"/>
      </w:pPr>
      <w:r>
        <w:rPr>
          <w:rStyle w:val="CharStyle20"/>
        </w:rPr>
        <w:t>dd. that more than thirty (30) days passed from when the complainant submitted her request with</w:t>
        <w:br/>
        <w:t>the ^|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2022, until she collected her son’s file on the 30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and</w:t>
        <w:br/>
        <w:t>no reasons or explanations were ever given to her for such delay and this even though such</w:t>
        <w:br/>
        <w:t>request was most certainly not ‘complex’ within the meaning of the Regulation;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9" w:lineRule="auto"/>
        <w:ind w:left="860" w:right="0" w:firstLine="20"/>
        <w:jc w:val="both"/>
      </w:pPr>
      <w:r>
        <w:rPr>
          <w:rStyle w:val="CharStyle20"/>
        </w:rPr>
        <w:t>ee. that the inconsistencies with which the complainant was faced when communicating with the</w:t>
        <w:br/>
        <w:t>I representatives lead one to think that, in reality, no such formal GDPR procedures</w:t>
        <w:br/>
        <w:t>actually exist within the HI. This is, in particular, being stated as the DPO had told the</w:t>
        <w:br/>
        <w:t>complainant that it was she who gave the go ahead for the release of personal data following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erReference w:type="default" r:id="rId13"/>
          <w:footerReference w:type="even" r:id="rId14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758" w:right="1598" w:bottom="2603" w:left="1402" w:header="1330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vertAlign w:val="superscript"/>
        </w:rPr>
        <w:t>6</w:t>
      </w:r>
      <w:r>
        <w:rPr>
          <w:rStyle w:val="CharStyle20"/>
        </w:rPr>
        <w:t xml:space="preserve"> European Data Protection Board, </w:t>
      </w:r>
      <w:r>
        <w:rPr>
          <w:rStyle w:val="CharStyle20"/>
          <w:i/>
          <w:iCs/>
        </w:rPr>
        <w:t>'Guidelines 01/2022 on data subject rights - Right of access ’,</w:t>
      </w:r>
      <w:r>
        <w:rPr>
          <w:rStyle w:val="CharStyle20"/>
        </w:rPr>
        <w:t xml:space="preserve"> Version 1.0,</w:t>
        <w:br/>
        <w:t>adopted on the 28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March 2023.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051560" cy="542290"/>
            <wp:docPr id="34" name="Picut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051560" cy="54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59" w:line="1" w:lineRule="exact"/>
      </w:pP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140" w:right="0" w:firstLine="0"/>
        <w:jc w:val="both"/>
      </w:pPr>
      <w:r>
        <w:rPr>
          <w:rStyle w:val="CharStyle20"/>
          <w:color w:val="000000"/>
        </w:rPr>
        <w:t>an access request, the ■■ Director had given a completely opposite impression when, in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374" w:lineRule="auto"/>
        <w:ind w:left="1140" w:right="0" w:firstLine="0"/>
        <w:jc w:val="both"/>
      </w:pPr>
      <w:r>
        <w:rPr>
          <w:rStyle w:val="CharStyle20"/>
          <w:color w:val="000000"/>
        </w:rPr>
        <w:t>her email dated the 30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 she had specifically informed the complainant that access</w:t>
        <w:br/>
        <w:t xml:space="preserve">requests had to be directed directly to her and </w:t>
      </w:r>
      <w:r>
        <w:rPr>
          <w:rStyle w:val="CharStyle20"/>
          <w:i/>
          <w:iCs/>
          <w:color w:val="000000"/>
        </w:rPr>
        <w:t>‘not through any other route ’;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820"/>
        <w:jc w:val="both"/>
      </w:pPr>
      <w:r>
        <w:rPr>
          <w:rStyle w:val="CharStyle20"/>
          <w:color w:val="000000"/>
        </w:rPr>
        <w:t>ff. that the way in which the complainant’s access request was handled, provides a clear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140" w:right="0" w:firstLine="0"/>
        <w:jc w:val="both"/>
      </w:pPr>
      <w:r>
        <w:rPr>
          <w:rStyle w:val="CharStyle20"/>
          <w:color w:val="000000"/>
        </w:rPr>
        <w:t>indication that there is a lack of internal awareness across the board within the^^ as to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1140" w:right="0" w:firstLine="0"/>
        <w:jc w:val="left"/>
      </w:pPr>
      <w:r>
        <w:rPr>
          <w:rStyle w:val="CharStyle20"/>
          <w:color w:val="000000"/>
        </w:rPr>
        <w:t>the GDPR obligations applying to the^| as the controller.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620"/>
        <w:jc w:val="both"/>
      </w:pPr>
      <w:r>
        <w:rPr>
          <w:rStyle w:val="CharStyle20"/>
          <w:color w:val="000000"/>
          <w:u w:val="single"/>
        </w:rPr>
        <w:t>Access was not facilitated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60" w:line="374" w:lineRule="auto"/>
        <w:ind w:left="1140" w:right="0" w:hanging="320"/>
        <w:jc w:val="both"/>
      </w:pPr>
      <w:r>
        <w:rPr>
          <w:rStyle w:val="CharStyle20"/>
          <w:color w:val="000000"/>
        </w:rPr>
        <w:t xml:space="preserve">gg. that the lack of clarity and transparency on data subjects’ rights under the </w:t>
      </w:r>
      <w:r>
        <w:rPr>
          <w:rStyle w:val="CharStyle20"/>
          <w:i/>
          <w:iCs/>
          <w:color w:val="000000"/>
        </w:rPr>
        <w:t>'Data Protection</w:t>
        <w:br/>
        <w:t>Policy ’,</w:t>
      </w:r>
      <w:r>
        <w:rPr>
          <w:rStyle w:val="CharStyle20"/>
          <w:color w:val="000000"/>
        </w:rPr>
        <w:t xml:space="preserve"> as explained further above, as well as the manner in which the complainant made the</w:t>
        <w:br/>
        <w:t>request via email but was requested to go pick up the file in person, certainly did not facilitate</w:t>
        <w:br/>
        <w:t>access to the personal data of her son. This also contrary to article 12 of the Regulation where</w:t>
        <w:br/>
        <w:t xml:space="preserve">it is specifically provided that if </w:t>
      </w:r>
      <w:r>
        <w:rPr>
          <w:rStyle w:val="CharStyle20"/>
          <w:i/>
          <w:iCs/>
          <w:color w:val="000000"/>
        </w:rPr>
        <w:t>“the data subject makes the request by electronic form</w:t>
        <w:br/>
        <w:t>means, the information shall be provided by electronic means where possible, unless</w:t>
        <w:br/>
        <w:t>otherwise requested by the data subject”.</w:t>
      </w:r>
      <w:r>
        <w:rPr>
          <w:rStyle w:val="CharStyle20"/>
          <w:color w:val="000000"/>
        </w:rPr>
        <w:t xml:space="preserve"> It may, therefore, be clearly inferred that the ■</w:t>
        <w:br/>
        <w:t>does not employ any safe encrypted transmission methods, or if it does employ them, they</w:t>
        <w:br/>
        <w:t>were, for some reason or another, not resorted to in this case;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372" w:lineRule="auto"/>
        <w:ind w:left="1140" w:right="0" w:hanging="320"/>
        <w:jc w:val="both"/>
      </w:pPr>
      <w:r>
        <w:rPr>
          <w:rStyle w:val="CharStyle20"/>
          <w:color w:val="000000"/>
        </w:rPr>
        <w:t>hh. that the ^■Director further delayed pick up of the requested file by two (2) days, and if it</w:t>
        <w:br/>
        <w:t>were not for the complainant’s insistence, ^^would have further delayed pick up till the</w:t>
        <w:br/>
        <w:t>4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July 2022;</w:t>
      </w:r>
    </w:p>
    <w:p>
      <w:pPr>
        <w:pStyle w:val="Style19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137" w:val="left"/>
        </w:tabs>
        <w:bidi w:val="0"/>
        <w:spacing w:before="0" w:after="260" w:line="372" w:lineRule="auto"/>
        <w:ind w:left="1140" w:right="0" w:hanging="320"/>
        <w:jc w:val="both"/>
      </w:pPr>
      <w:r>
        <w:rPr>
          <w:rStyle w:val="CharStyle20"/>
          <w:color w:val="000000"/>
        </w:rPr>
        <w:t>that contrary to the controller’s obligation under the Regulation to facilitate the exercise of</w:t>
        <w:br/>
        <w:t>the data subjects’ rights, in this case, exercise of the right of access, or of any other right</w:t>
        <w:br/>
        <w:t>granted under the Regulation for that matter, is not at all rendered easy for the data subject.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rStyle w:val="CharStyle20"/>
          <w:b/>
          <w:bCs/>
          <w:color w:val="000000"/>
        </w:rPr>
        <w:t>INVESTIGATION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bookmarkStart w:id="20" w:name="bookmark20"/>
      <w:r>
        <w:rPr>
          <w:rStyle w:val="CharStyle18"/>
          <w:b/>
          <w:bCs/>
        </w:rPr>
        <w:t>Request for submissions</w:t>
      </w:r>
      <w:bookmarkEnd w:id="20"/>
    </w:p>
    <w:p>
      <w:pPr>
        <w:pStyle w:val="Style19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616" w:val="left"/>
        </w:tabs>
        <w:bidi w:val="0"/>
        <w:spacing w:before="0" w:after="300"/>
        <w:ind w:left="620" w:right="0" w:hanging="34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969" w:right="1857" w:bottom="2351" w:left="1843" w:header="1541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color w:val="000000"/>
        </w:rPr>
        <w:t>Pursuant to article 58(l)(a) of the Regulation, the Commissioner provided thewith a copy of</w:t>
        <w:br/>
        <w:t>the complaint, including the documentation attached thereto, and requested it to put forward its</w:t>
        <w:br/>
        <w:t>submissions in order to defend itself against the allegations raised by the complainant. By means of</w:t>
        <w:br/>
        <w:t>an email dated the 3</w:t>
      </w:r>
      <w:r>
        <w:rPr>
          <w:rStyle w:val="CharStyle20"/>
          <w:color w:val="000000"/>
          <w:vertAlign w:val="superscript"/>
        </w:rPr>
        <w:t>rd</w:t>
      </w:r>
      <w:r>
        <w:rPr>
          <w:rStyle w:val="CharStyle20"/>
          <w:color w:val="000000"/>
        </w:rPr>
        <w:t xml:space="preserve"> October 2022, the (■submitted the following principal arguments for the</w:t>
        <w:br/>
        <w:t>Commissioner to consider in the legal analysis of the case: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04" behindDoc="1" locked="0" layoutInCell="1" allowOverlap="1">
            <wp:simplePos x="0" y="0"/>
            <wp:positionH relativeFrom="page">
              <wp:posOffset>789940</wp:posOffset>
            </wp:positionH>
            <wp:positionV relativeFrom="margin">
              <wp:posOffset>0</wp:posOffset>
            </wp:positionV>
            <wp:extent cx="926465" cy="499745"/>
            <wp:wrapNone/>
            <wp:docPr id="35" name="Shap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box 36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926465" cy="4997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after="426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071" w:right="1858" w:bottom="2197" w:left="1244" w:header="1643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4" w:lineRule="exact"/>
        <w:rPr>
          <w:sz w:val="2"/>
          <w:szCs w:val="2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2240" w:h="18720"/>
          <w:pgMar w:top="2071" w:right="0" w:bottom="2749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9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312" w:val="left"/>
        </w:tabs>
        <w:bidi w:val="0"/>
        <w:spacing w:before="0"/>
        <w:ind w:left="0" w:right="0" w:firstLine="0"/>
        <w:jc w:val="both"/>
      </w:pPr>
      <w:r>
        <w:rPr>
          <w:rStyle w:val="CharStyle20"/>
        </w:rPr>
        <w:t>that the ^H therapists keep seeing the children at ^| throughout the scholastic year</w:t>
        <w:br/>
        <w:t>according to their individual needs, whilst all assessments, reports and observations are</w:t>
        <w:br/>
        <w:t>placed in each child's file. The^| noted that it is a fact, and it is unjust that the complainant</w:t>
        <w:br/>
        <w:t xml:space="preserve">seems to imply that the assessments and reports are </w:t>
      </w:r>
      <w:r>
        <w:rPr>
          <w:rStyle w:val="CharStyle20"/>
          <w:i/>
          <w:iCs/>
        </w:rPr>
        <w:t>‘supposedly</w:t>
      </w:r>
      <w:r>
        <w:rPr>
          <w:rStyle w:val="CharStyle20"/>
        </w:rPr>
        <w:t xml:space="preserve"> ’ placed in the child's file.</w:t>
        <w:br/>
        <w:t>Furthermore, it was alleged that the right of access request was submitted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</w:t>
        <w:br/>
        <w:t>2022 by means of an email sent to the occupational therapist and the speech therapist. The</w:t>
        <w:br/>
        <w:t>| argued that this is not entirely correct, as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2022, the complainant sent</w:t>
        <w:br/>
        <w:t>the email to the ^|’s Head of School and not to the occupational therapist and the speech</w:t>
        <w:br/>
        <w:t>therapist, and it was then that the Head of School who forwarded the email to the occupational</w:t>
        <w:br/>
        <w:t>therapist and the speech therapist, and copied in the complainant;</w:t>
      </w:r>
    </w:p>
    <w:p>
      <w:pPr>
        <w:pStyle w:val="Style19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312" w:val="left"/>
        </w:tabs>
        <w:bidi w:val="0"/>
        <w:spacing w:before="0" w:after="0"/>
        <w:ind w:left="300" w:right="0" w:hanging="300"/>
        <w:jc w:val="both"/>
      </w:pPr>
      <w:r>
        <w:rPr>
          <w:rStyle w:val="CharStyle20"/>
        </w:rPr>
        <w:t>that unlike the allegation put forward by the complainant, the complainant's requests were</w:t>
        <w:br/>
        <w:t>definitely not ignored. Both therapists were replying to her emails and invited her to attend</w:t>
        <w:br/>
        <w:t>the professionals’ meeting scheduled for the 16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of June 2022 at ^^^ Offices in Hamrun.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Style w:val="CharStyle20"/>
        </w:rPr>
        <w:t>During this meeting there would have been a professionals’ handover between the therapists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2240" w:h="18720"/>
          <w:pgMar w:top="2071" w:right="1857" w:bottom="2749" w:left="2717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6350" distL="0" distR="0" simplePos="0" relativeHeight="125829395" behindDoc="0" locked="0" layoutInCell="1" allowOverlap="1">
                <wp:simplePos x="0" y="0"/>
                <wp:positionH relativeFrom="page">
                  <wp:posOffset>1929765</wp:posOffset>
                </wp:positionH>
                <wp:positionV relativeFrom="paragraph">
                  <wp:posOffset>0</wp:posOffset>
                </wp:positionV>
                <wp:extent cx="152400" cy="152400"/>
                <wp:wrapTopAndBottom/>
                <wp:docPr id="37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240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of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margin-left:151.95000000000002pt;margin-top:0;width:12.pt;height:12.pt;z-index:-125829358;mso-wrap-distance-left:0;mso-wrap-distance-right:0;mso-wrap-distance-bottom:0.5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of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6350" distL="0" distR="0" simplePos="0" relativeHeight="125829397" behindDoc="0" locked="0" layoutInCell="1" allowOverlap="1">
                <wp:simplePos x="0" y="0"/>
                <wp:positionH relativeFrom="page">
                  <wp:posOffset>2469515</wp:posOffset>
                </wp:positionH>
                <wp:positionV relativeFrom="paragraph">
                  <wp:posOffset>0</wp:posOffset>
                </wp:positionV>
                <wp:extent cx="213360" cy="152400"/>
                <wp:wrapTopAndBottom/>
                <wp:docPr id="39" name="Shape 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336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and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position:absolute;margin-left:194.45000000000002pt;margin-top:0;width:16.800000000000001pt;height:12.pt;z-index:-125829356;mso-wrap-distance-left:0;mso-wrap-distance-right:0;mso-wrap-distance-bottom:0.5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5829399" behindDoc="0" locked="0" layoutInCell="1" allowOverlap="1">
                <wp:simplePos x="0" y="0"/>
                <wp:positionH relativeFrom="page">
                  <wp:posOffset>5702935</wp:posOffset>
                </wp:positionH>
                <wp:positionV relativeFrom="paragraph">
                  <wp:posOffset>0</wp:posOffset>
                </wp:positionV>
                <wp:extent cx="875030" cy="158750"/>
                <wp:wrapTopAndBottom/>
                <wp:docPr id="41" name="Shape 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7503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, and the reports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position:absolute;margin-left:449.05000000000001pt;margin-top:0;width:68.900000000000006pt;height:12.5pt;z-index:-125829354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, and the reports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372" w:lineRule="auto"/>
        <w:ind w:left="300" w:right="0" w:firstLine="20"/>
        <w:jc w:val="both"/>
      </w:pPr>
      <w:r>
        <mc:AlternateContent>
          <mc:Choice Requires="wps">
            <w:drawing>
              <wp:anchor distT="0" distB="0" distL="76200" distR="76200" simplePos="0" relativeHeight="125829401" behindDoc="0" locked="0" layoutInCell="1" allowOverlap="1">
                <wp:simplePos x="0" y="0"/>
                <wp:positionH relativeFrom="page">
                  <wp:posOffset>1731645</wp:posOffset>
                </wp:positionH>
                <wp:positionV relativeFrom="paragraph">
                  <wp:posOffset>1028700</wp:posOffset>
                </wp:positionV>
                <wp:extent cx="109855" cy="152400"/>
                <wp:wrapSquare wrapText="bothSides"/>
                <wp:docPr id="43" name="Shape 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9855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c.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position:absolute;margin-left:136.34999999999999pt;margin-top:81.pt;width:8.6500000000000004pt;height:12.pt;z-index:-125829352;mso-wrap-distance-left:6.pt;mso-wrap-distance-right:6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c.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Style w:val="CharStyle20"/>
        </w:rPr>
        <w:t>contained in the minor’s file would have been discussed and explained in detail to the</w:t>
        <w:br/>
        <w:t>complainant. Normally, the only persons attending these handover meetings are the therapists</w:t>
        <w:br/>
        <w:t>from both schools, however the had no objections for the complainant to attend this</w:t>
        <w:br/>
        <w:t>meeting, in line with her own request;</w:t>
      </w:r>
    </w:p>
    <w:p>
      <w:pPr>
        <w:pStyle w:val="Style19"/>
        <w:keepNext w:val="0"/>
        <w:keepLines w:val="0"/>
        <w:widowControl w:val="0"/>
        <w:shd w:val="clear" w:color="auto" w:fill="auto"/>
        <w:tabs>
          <w:tab w:pos="4181" w:val="left"/>
          <w:tab w:pos="6184" w:val="left"/>
        </w:tabs>
        <w:bidi w:val="0"/>
        <w:spacing w:before="0" w:after="0" w:line="379" w:lineRule="auto"/>
        <w:ind w:left="300" w:right="0" w:hanging="300"/>
        <w:jc w:val="left"/>
      </w:pPr>
      <w:r>
        <w:rPr>
          <w:rStyle w:val="CharStyle20"/>
        </w:rPr>
        <w:t>that, on the 9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of June 2022, the complainant demanded that other practitioners (from</w:t>
        <w:br/>
        <w:t>to</w:t>
        <w:tab/>
        <w:t>within</w:t>
        <w:tab/>
        <w:t>and therefore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9" w:lineRule="auto"/>
        <w:ind w:left="300" w:right="0" w:firstLine="20"/>
        <w:jc w:val="both"/>
      </w:pPr>
      <w:r>
        <w:rPr>
          <w:rStyle w:val="CharStyle20"/>
        </w:rPr>
        <w:t>not would be present for the professionals’ handover meeting, and such a demand is</w:t>
        <w:br/>
        <w:t>not in line with the scope of this meeting since the practitioners were neither nor</w:t>
        <w:br/>
        <w:t>| therapists nor even employees. Due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300" w:right="0" w:firstLine="20"/>
        <w:jc w:val="both"/>
      </w:pPr>
      <w:r>
        <w:rPr>
          <w:rStyle w:val="CharStyle20"/>
        </w:rPr>
        <w:t>to this and also due to the fact that a similar meeting with the same practitioners was</w:t>
      </w:r>
    </w:p>
    <w:p>
      <w:pPr>
        <w:pStyle w:val="Style19"/>
        <w:keepNext w:val="0"/>
        <w:keepLines w:val="0"/>
        <w:widowControl w:val="0"/>
        <w:shd w:val="clear" w:color="auto" w:fill="auto"/>
        <w:tabs>
          <w:tab w:pos="6164" w:val="left"/>
        </w:tabs>
        <w:bidi w:val="0"/>
        <w:spacing w:before="0" w:after="0" w:line="374" w:lineRule="auto"/>
        <w:ind w:left="300" w:right="0" w:firstLine="20"/>
        <w:jc w:val="both"/>
      </w:pPr>
      <w:r>
        <w:rPr>
          <w:rStyle w:val="CharStyle20"/>
        </w:rPr>
        <w:t>scheduled at the</w:t>
        <w:tab/>
        <w:t>the same day (16</w:t>
      </w:r>
      <w:r>
        <w:rPr>
          <w:rStyle w:val="CharStyle20"/>
          <w:vertAlign w:val="superscript"/>
        </w:rPr>
        <w:t>th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300" w:right="0" w:firstLine="20"/>
        <w:jc w:val="both"/>
      </w:pPr>
      <w:r>
        <w:rPr>
          <w:rStyle w:val="CharStyle20"/>
        </w:rPr>
        <w:t>June 2022) for which both the complainant and the same ^|| practitioners of her choice</w:t>
        <w:br/>
        <w:t>were going to be present, on the 9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of June 2022, the^^^j Director sent an email to her to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300"/>
        <w:jc w:val="both"/>
      </w:pPr>
      <w:r>
        <w:rPr>
          <w:rStyle w:val="CharStyle20"/>
        </w:rPr>
        <w:t>inform her that former professionals’ handover meeting was being cancelled;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312" w:val="left"/>
        </w:tabs>
        <w:bidi w:val="0"/>
        <w:spacing w:before="0" w:after="100" w:line="240" w:lineRule="auto"/>
        <w:ind w:left="0" w:right="0" w:firstLine="0"/>
        <w:jc w:val="both"/>
      </w:pPr>
      <w:r>
        <w:rPr>
          <w:rStyle w:val="CharStyle20"/>
        </w:rPr>
        <w:t>that the^BODirector’s reply to the complainant, three (3) days after receiving the email, is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right"/>
      </w:pPr>
      <w:r>
        <mc:AlternateContent>
          <mc:Choice Requires="wps">
            <w:drawing>
              <wp:anchor distT="0" distB="0" distL="114300" distR="114300" simplePos="0" relativeHeight="125829403" behindDoc="0" locked="0" layoutInCell="1" allowOverlap="1">
                <wp:simplePos x="0" y="0"/>
                <wp:positionH relativeFrom="page">
                  <wp:posOffset>1932940</wp:posOffset>
                </wp:positionH>
                <wp:positionV relativeFrom="paragraph">
                  <wp:posOffset>12700</wp:posOffset>
                </wp:positionV>
                <wp:extent cx="631190" cy="152400"/>
                <wp:wrapSquare wrapText="right"/>
                <wp:docPr id="45" name="Shape 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3119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</w:rPr>
                              <w:t>in line with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position:absolute;margin-left:152.20000000000002pt;margin-top:1.pt;width:49.700000000000003pt;height:12.pt;z-index:-125829350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</w:rPr>
                        <w:t>in line with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0"/>
        </w:rPr>
        <w:t>and on the 10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/>
        <w:ind w:left="300" w:right="0" w:firstLine="20"/>
        <w:jc w:val="both"/>
      </w:pPr>
      <w:r>
        <w:rPr>
          <w:rStyle w:val="CharStyle20"/>
        </w:rPr>
        <w:t>complainant requested only the speech therapy file and then further requested the</w:t>
        <w:br/>
        <w:t>occupational therapy file on the 13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of June 2022. Therefore, on the 13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of June 2022,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6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2240" w:h="18720"/>
          <w:pgMar w:top="2071" w:right="1857" w:bottom="2297" w:left="2727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■ Director replied that she will be providing both files as requested;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12" w:val="left"/>
        </w:tabs>
        <w:bidi w:val="0"/>
        <w:spacing w:before="0" w:line="240" w:lineRule="auto"/>
        <w:ind w:left="0" w:right="0" w:firstLine="500"/>
        <w:jc w:val="both"/>
      </w:pPr>
      <w:r>
        <w:rPr>
          <w:rStyle w:val="CharStyle20"/>
          <w:color w:val="000000"/>
        </w:rPr>
        <w:t>that during such transition meetings, parents never have their child's file in hand;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12" w:val="left"/>
          <w:tab w:pos="7700" w:val="left"/>
        </w:tabs>
        <w:bidi w:val="0"/>
        <w:spacing w:before="0" w:after="0"/>
        <w:ind w:left="800" w:right="0" w:hanging="300"/>
        <w:jc w:val="both"/>
      </w:pPr>
      <w:r>
        <w:rPr>
          <w:rStyle w:val="CharStyle20"/>
          <w:color w:val="000000"/>
        </w:rPr>
        <w:t>that following the ■■ Director’s reply to the complainant dated the 13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 where</w:t>
        <w:br/>
        <w:t>she clearly stated that she would be preparing the requested files, and the subsequent reply</w:t>
        <w:br/>
        <w:t>from the ^^H|Director to the complainant dated the 15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 informing her that such</w:t>
        <w:br/>
        <w:t>requests have to be processed according to the GDPR procedures and that her request was</w:t>
        <w:br/>
        <w:t>being processed, both the complainant and her partner argued that as parents of the minor,</w:t>
        <w:br/>
        <w:t>they did not need to go through GDPR procedures to access such files leading the |^</w:t>
        <w:br/>
        <w:t>Director to understand that they were both aware of such GDPR procedures even because at</w:t>
        <w:br/>
        <w:t>no point did they question her to explain what such procedures consist of. However, following</w:t>
        <w:br/>
        <w:t>this exchange, in an email dated the 17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 theDirector rightly directed them</w:t>
        <w:br/>
        <w:t>to</w:t>
        <w:tab/>
        <w:t>DPO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800" w:right="0" w:firstLine="20"/>
        <w:jc w:val="both"/>
      </w:pPr>
      <w:r>
        <w:rPr>
          <w:rStyle w:val="CharStyle20"/>
          <w:color w:val="000000"/>
        </w:rPr>
        <w:t>who could explain in detail such procedures. In the same email, the^H Director offered</w:t>
        <w:br/>
      </w:r>
      <w:r>
        <w:rPr>
          <w:rStyle w:val="CharStyle20"/>
          <w:b/>
          <w:bCs/>
          <w:color w:val="000000"/>
        </w:rPr>
        <w:t xml:space="preserve">the minor’s </w:t>
      </w:r>
      <w:r>
        <w:rPr>
          <w:rStyle w:val="CharStyle20"/>
          <w:color w:val="000000"/>
        </w:rPr>
        <w:t>parents to schedule a meeting where they could view the original copies of the</w:t>
        <w:br/>
        <w:t>file (following their allegations that the requested files did not really exist);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12" w:val="left"/>
        </w:tabs>
        <w:bidi w:val="0"/>
        <w:spacing w:before="0"/>
        <w:ind w:left="800" w:right="0" w:hanging="300"/>
        <w:jc w:val="both"/>
      </w:pPr>
      <w:r>
        <w:rPr>
          <w:rStyle w:val="CharStyle20"/>
          <w:color w:val="000000"/>
        </w:rPr>
        <w:t>that the complainant never replied to the email to confirm the appointment given by the^B</w:t>
        <w:br/>
        <w:t>Director on the 27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 at 1pm, to collect the files. However, on the 26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</w:t>
        <w:br/>
        <w:t>the ^B Director informed the complainant that the appointment had to be postponed by</w:t>
        <w:br/>
        <w:t>just thirty (30) minutes due to unforeseen circumstances. It was only on the 27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</w:t>
        <w:br/>
        <w:t>that the complainant informed the ^■Director that she is always available to pick up the</w:t>
        <w:br/>
        <w:t>files until 11:30am latest. This means that prior to this communication, the ^^■could have</w:t>
        <w:br/>
        <w:t>never been in a position to provide her with an appointment which suited the complainant’s</w:t>
        <w:br/>
        <w:t>needs since she was not aware of these time constraints. Furthermore, up to this point, the</w:t>
        <w:br/>
        <w:t>agreement between the B^H Director and the complainant was that the files are personally</w:t>
        <w:br/>
        <w:t>handed by the ^^ Director during an appointment where she would go through the files</w:t>
        <w:br/>
        <w:t>and explain any technicalities (in line with the controller’s obligation to not simply hand the</w:t>
        <w:br/>
        <w:t>data but explain it to the data subject as and where necessary). By means of an email dated</w:t>
        <w:br/>
        <w:t>27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 the complainant informed the ^H Director to leave the files with the</w:t>
        <w:br/>
        <w:t>receptionist in a sealed envelope, meaning that she no longer requested to be given any</w:t>
        <w:br/>
        <w:t>explanation of technicalities and was only interested in obtaining a copy of the files;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12" w:val="left"/>
        </w:tabs>
        <w:bidi w:val="0"/>
        <w:spacing w:before="0"/>
        <w:ind w:left="800" w:right="0" w:hanging="30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3183" w:right="1838" w:bottom="2391" w:left="2160" w:header="2755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color w:val="000000"/>
        </w:rPr>
        <w:t>that none of the minor’s parents ever sent the DPO an email. On the 17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 the DPO</w:t>
        <w:br/>
        <w:t>had received instructions from the |^|H^^| to call the complainant. The DPO</w:t>
        <w:br/>
        <w:t>called her immediately on the next business and during this phone call, the DPO asked the</w:t>
        <w:br/>
        <w:t>complainant to explain to her the issue. Thus, the DPO explained to her that as per the</w:t>
        <w:br/>
        <w:t>Regulation, she indeed has the right to access all the personal data that the keeps and</w:t>
        <w:br/>
        <w:t>processes about her son;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52" w:val="left"/>
        </w:tabs>
        <w:bidi w:val="0"/>
        <w:spacing w:before="0" w:after="260" w:line="374" w:lineRule="auto"/>
        <w:ind w:left="840" w:right="0" w:hanging="300"/>
        <w:jc w:val="both"/>
      </w:pPr>
      <w:r>
        <w:rPr>
          <w:rStyle w:val="CharStyle20"/>
        </w:rPr>
        <w:t>that it is untrue that the complainant encountered inconsistencies between the ^■Director</w:t>
        <w:br/>
        <w:t>and the DPO. The^^noted that at no point in time did the DPO tell the complainant that</w:t>
        <w:br/>
        <w:t>it is the DPO’s role to give the go ahead to a controller to give the information requested to</w:t>
        <w:br/>
        <w:t>the data subject;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52" w:val="left"/>
        </w:tabs>
        <w:bidi w:val="0"/>
        <w:spacing w:before="0" w:after="360" w:line="374" w:lineRule="auto"/>
        <w:ind w:left="840" w:right="0" w:hanging="300"/>
        <w:jc w:val="both"/>
      </w:pPr>
      <w:r>
        <w:rPr>
          <w:rStyle w:val="CharStyle20"/>
        </w:rPr>
        <w:t>that the original request made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 was amended on various instances where</w:t>
        <w:br/>
        <w:t>she kept asking for more files and reports. Thus, the actual material given to her on the 30</w:t>
      </w:r>
      <w:r>
        <w:rPr>
          <w:rStyle w:val="CharStyle20"/>
          <w:vertAlign w:val="superscript"/>
        </w:rPr>
        <w:t>th</w:t>
        <w:br/>
      </w:r>
      <w:r>
        <w:rPr>
          <w:rStyle w:val="CharStyle20"/>
        </w:rPr>
        <w:t>June 2022 was even more than what she originally requested on the 24"’May 2022;</w:t>
      </w:r>
    </w:p>
    <w:p>
      <w:pPr>
        <w:pStyle w:val="Style19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852" w:val="left"/>
        </w:tabs>
        <w:bidi w:val="0"/>
        <w:spacing w:before="0" w:after="360"/>
        <w:ind w:left="540" w:right="0" w:firstLine="0"/>
        <w:jc w:val="both"/>
      </w:pPr>
      <w:r>
        <w:rPr>
          <w:rStyle w:val="CharStyle20"/>
        </w:rPr>
        <w:t>that regarding the allegation that no privacy policy is available on the ^|’s website, the</w:t>
        <w:br/>
        <w:t xml:space="preserve">| noted that this is not correct, as on the website, a generic </w:t>
      </w:r>
      <w:r>
        <w:rPr>
          <w:rStyle w:val="CharStyle20"/>
          <w:i/>
          <w:iCs/>
        </w:rPr>
        <w:t>Data Protection</w:t>
        <w:br/>
        <w:t>Policy ’</w:t>
      </w:r>
      <w:r>
        <w:rPr>
          <w:rStyle w:val="CharStyle20"/>
        </w:rPr>
        <w:t xml:space="preserve"> for was uploaded on the 26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April and this is easily accessible under the tab</w:t>
        <w:br/>
        <w:t xml:space="preserve">| in which menu there is an entry </w:t>
      </w:r>
      <w:r>
        <w:rPr>
          <w:rStyle w:val="CharStyle20"/>
          <w:i/>
          <w:iCs/>
        </w:rPr>
        <w:t>'Data Protection’.</w:t>
      </w:r>
      <w:r>
        <w:rPr>
          <w:rStyle w:val="CharStyle20"/>
        </w:rPr>
        <w:t xml:space="preserve"> The^^’s </w:t>
      </w:r>
      <w:r>
        <w:rPr>
          <w:rStyle w:val="CharStyle20"/>
          <w:i/>
          <w:iCs/>
        </w:rPr>
        <w:t>Data</w:t>
        <w:br/>
        <w:t>Protection Policy</w:t>
      </w:r>
      <w:r>
        <w:rPr>
          <w:rStyle w:val="CharStyle20"/>
        </w:rPr>
        <w:t xml:space="preserve"> ’ is found on the^^^website, tab </w:t>
      </w:r>
      <w:r>
        <w:rPr>
          <w:rStyle w:val="CharStyle20"/>
          <w:i/>
          <w:iCs/>
        </w:rPr>
        <w:t>‘Useful Links</w:t>
      </w:r>
      <w:r>
        <w:rPr>
          <w:rStyle w:val="CharStyle20"/>
        </w:rPr>
        <w:t>' and in its menu, there is</w:t>
        <w:br/>
        <w:t xml:space="preserve">the second option entitled </w:t>
      </w:r>
      <w:r>
        <w:rPr>
          <w:rStyle w:val="CharStyle20"/>
          <w:i/>
          <w:iCs/>
        </w:rPr>
        <w:t>‘Data Protection Policy ’;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840" w:right="0" w:firstLine="20"/>
        <w:jc w:val="both"/>
      </w:pPr>
      <w:r>
        <w:rPr>
          <w:rStyle w:val="CharStyle20"/>
        </w:rPr>
        <w:t xml:space="preserve">that regarding the arguments raised by the complainant in relation to the </w:t>
      </w:r>
      <w:r>
        <w:rPr>
          <w:rStyle w:val="CharStyle20"/>
          <w:i/>
          <w:iCs/>
        </w:rPr>
        <w:t>“Confusion as to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840" w:right="0" w:firstLine="20"/>
        <w:jc w:val="both"/>
      </w:pPr>
      <w:r>
        <w:rPr>
          <w:rStyle w:val="CharStyle20"/>
          <w:i/>
          <w:iCs/>
        </w:rPr>
        <w:t>identity of the Controller”,</w:t>
      </w:r>
      <w:r>
        <w:rPr>
          <w:rStyle w:val="CharStyle20"/>
        </w:rPr>
        <w:t xml:space="preserve"> the^Hnoted that whenever a |</w:t>
        <w:br/>
        <w:t>designates a new controller or undergoes a change in the person acting as controller,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0" w:right="0" w:firstLine="0"/>
        <w:jc w:val="center"/>
      </w:pPr>
      <w:r>
        <w:rPr>
          <w:rStyle w:val="CharStyle20"/>
        </w:rPr>
        <w:t>I informs the ■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840" w:right="0" w:firstLine="400"/>
        <w:jc w:val="both"/>
      </w:pPr>
      <w:r>
        <w:rPr>
          <w:rStyle w:val="CharStyle20"/>
        </w:rPr>
        <w:t xml:space="preserve">| in writing. Since this is a generic </w:t>
      </w:r>
      <w:r>
        <w:rPr>
          <w:rStyle w:val="CharStyle20"/>
          <w:i/>
          <w:iCs/>
        </w:rPr>
        <w:t>‘Data Protection Policy ’</w:t>
      </w:r>
      <w:r>
        <w:rPr>
          <w:rStyle w:val="CharStyle20"/>
        </w:rPr>
        <w:t xml:space="preserve"> for it states: </w:t>
      </w:r>
      <w:r>
        <w:rPr>
          <w:rStyle w:val="CharStyle20"/>
          <w:i/>
          <w:iCs/>
        </w:rPr>
        <w:t>“Your</w:t>
        <w:br/>
        <w:t>personal data is collected under one of the legal grounds outlined in Article 6 of the GDPR,</w:t>
        <w:br/>
        <w:t>depending on the service being provided”.</w:t>
      </w:r>
      <w:r>
        <w:rPr>
          <w:rStyle w:val="CharStyle20"/>
        </w:rPr>
        <w:t xml:space="preserve"> The^^^ then has other Data Protection Policies</w:t>
        <w:br/>
        <w:t xml:space="preserve">for specific services, thus the allegation that the </w:t>
      </w:r>
      <w:r>
        <w:rPr>
          <w:rStyle w:val="CharStyle20"/>
          <w:i/>
          <w:iCs/>
        </w:rPr>
        <w:t>‘Data Protection Policy</w:t>
      </w:r>
      <w:r>
        <w:rPr>
          <w:rStyle w:val="CharStyle20"/>
        </w:rPr>
        <w:t xml:space="preserve"> ’ does not outline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840"/>
        <w:jc w:val="both"/>
      </w:pPr>
      <w:r>
        <w:rPr>
          <w:rStyle w:val="CharStyle20"/>
        </w:rPr>
        <w:t>any lawfill bases under article 6 of the Regulation is unfounded;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67" w:val="left"/>
        </w:tabs>
        <w:bidi w:val="0"/>
        <w:spacing w:before="0" w:after="0"/>
        <w:ind w:left="840" w:right="0" w:hanging="300"/>
        <w:jc w:val="both"/>
      </w:pPr>
      <w:r>
        <w:rPr>
          <w:rStyle w:val="CharStyle20"/>
        </w:rPr>
        <w:t xml:space="preserve">that regarding the arguments raised by the complainant in relation to the </w:t>
      </w:r>
      <w:r>
        <w:rPr>
          <w:rStyle w:val="CharStyle20"/>
          <w:i/>
          <w:iCs/>
        </w:rPr>
        <w:t>“Lack of clarity on</w:t>
        <w:br/>
        <w:t>the purposes of data collection and processing and legal bases for the same”,</w:t>
      </w:r>
      <w:r>
        <w:rPr>
          <w:rStyle w:val="CharStyle20"/>
        </w:rPr>
        <w:t xml:space="preserve"> the |</w:t>
        <w:br/>
        <w:t xml:space="preserve">stressed that this is a generic </w:t>
      </w:r>
      <w:r>
        <w:rPr>
          <w:rStyle w:val="CharStyle20"/>
          <w:i/>
          <w:iCs/>
        </w:rPr>
        <w:t>‘Data Protection Policy’</w:t>
      </w:r>
      <w:r>
        <w:rPr>
          <w:rStyle w:val="CharStyle20"/>
        </w:rPr>
        <w:t xml:space="preserve"> for all^^^ What the complainant</w:t>
        <w:br/>
        <w:t xml:space="preserve">failed to mention was that in this policy there is also written that </w:t>
      </w:r>
      <w:r>
        <w:rPr>
          <w:rStyle w:val="CharStyle20"/>
          <w:i/>
          <w:iCs/>
        </w:rPr>
        <w:t>“ [tjhe^^^^strives to</w:t>
        <w:br/>
        <w:t>enhance the holistic development of ALL children^^^Bprovides equitable and high-quality</w:t>
        <w:br/>
        <w:t>services focusing on the physical, social, emotional, psychological, cultural, and behavioural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840"/>
        <w:jc w:val="both"/>
      </w:pPr>
      <w:r>
        <w:rPr>
          <w:rStyle w:val="CharStyle20"/>
          <w:i/>
          <w:iCs/>
        </w:rPr>
        <w:t>development of children within an inclusive-oriented culture, aimed at eliminating challenges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840"/>
        <w:jc w:val="both"/>
      </w:pPr>
      <w:r>
        <w:rPr>
          <w:rStyle w:val="CharStyle20"/>
          <w:i/>
          <w:iCs/>
        </w:rPr>
        <w:t>and barriers, to help children reach their full potential”;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52" w:val="left"/>
        </w:tabs>
        <w:bidi w:val="0"/>
        <w:spacing w:before="0" w:after="120" w:line="240" w:lineRule="auto"/>
        <w:ind w:left="0" w:right="0" w:firstLine="540"/>
        <w:jc w:val="both"/>
      </w:pPr>
      <w:r>
        <w:rPr>
          <w:rStyle w:val="CharStyle20"/>
        </w:rPr>
        <w:t xml:space="preserve">that regarding the arguments raised by the complainant in relation to the </w:t>
      </w:r>
      <w:r>
        <w:rPr>
          <w:rStyle w:val="CharStyle20"/>
          <w:i/>
          <w:iCs/>
        </w:rPr>
        <w:t>“Lack of clarity on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840"/>
        <w:jc w:val="both"/>
      </w:pPr>
      <w:r>
        <w:rPr>
          <w:rStyle w:val="CharStyle20"/>
          <w:i/>
          <w:iCs/>
        </w:rPr>
        <w:t>the categories ofpersonal data concerned and the identity of the data subjects ”,</w:t>
      </w:r>
      <w:r>
        <w:rPr>
          <w:rStyle w:val="CharStyle20"/>
        </w:rPr>
        <w:t xml:space="preserve"> the</w:t>
      </w:r>
      <w:r>
        <w:br w:type="page"/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374" w:lineRule="auto"/>
        <w:ind w:left="1120" w:right="0" w:firstLine="0"/>
        <w:jc w:val="both"/>
      </w:pPr>
      <w:r>
        <w:rPr>
          <w:rStyle w:val="CharStyle20"/>
        </w:rPr>
        <w:t>outlined that it uses the intranet templates and fill in details where requested by the template</w:t>
        <w:br/>
        <w:t>and follow the procedure as explained;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2" w:val="left"/>
        </w:tabs>
        <w:bidi w:val="0"/>
        <w:spacing w:before="0" w:after="120" w:line="240" w:lineRule="auto"/>
        <w:ind w:left="0" w:right="0" w:firstLine="800"/>
        <w:jc w:val="both"/>
      </w:pPr>
      <w:r>
        <w:rPr>
          <w:rStyle w:val="CharStyle20"/>
        </w:rPr>
        <w:t xml:space="preserve">that regarding the arguments raised by the complainant in relation to the </w:t>
      </w:r>
      <w:r>
        <w:rPr>
          <w:rStyle w:val="CharStyle20"/>
          <w:i/>
          <w:iCs/>
        </w:rPr>
        <w:t>"Lack of clarity on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0" w:right="0" w:firstLine="0"/>
        <w:jc w:val="right"/>
      </w:pPr>
      <w:r>
        <mc:AlternateContent>
          <mc:Choice Requires="wps">
            <w:drawing>
              <wp:anchor distT="0" distB="0" distL="0" distR="0" simplePos="0" relativeHeight="125829405" behindDoc="0" locked="0" layoutInCell="1" allowOverlap="1">
                <wp:simplePos x="0" y="0"/>
                <wp:positionH relativeFrom="page">
                  <wp:posOffset>1946910</wp:posOffset>
                </wp:positionH>
                <wp:positionV relativeFrom="paragraph">
                  <wp:posOffset>12700</wp:posOffset>
                </wp:positionV>
                <wp:extent cx="1722120" cy="433070"/>
                <wp:wrapSquare wrapText="right"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22120" cy="4330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  <w:i/>
                                <w:iCs/>
                              </w:rPr>
                              <w:t>Data Subjects ’ Rights ",</w:t>
                            </w:r>
                            <w:r>
                              <w:rPr>
                                <w:rStyle w:val="CharStyle20"/>
                              </w:rPr>
                              <w:t xml:space="preserve"> the^MN</w:t>
                              <w:br/>
                              <w:t>should be sent to the DPO of the 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153.30000000000001pt;margin-top:1.pt;width:135.59999999999999pt;height:34.100000000000001pt;z-index:-125829348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  <w:i/>
                          <w:iCs/>
                        </w:rPr>
                        <w:t>Data Subjects ’ Rights ",</w:t>
                      </w:r>
                      <w:r>
                        <w:rPr>
                          <w:rStyle w:val="CharStyle20"/>
                        </w:rPr>
                        <w:t xml:space="preserve"> the^MN</w:t>
                        <w:br/>
                        <w:t>should be sent to the DPO of the I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0"/>
        </w:rPr>
        <w:t>noted that since the organisation has a DPO, such requests</w:t>
        <w:br/>
        <w:t>and not to its Director. Data subjects' requests for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1120" w:right="0" w:firstLine="0"/>
        <w:jc w:val="both"/>
      </w:pPr>
      <w:r>
        <w:rPr>
          <w:rStyle w:val="CharStyle20"/>
        </w:rPr>
        <w:t>access are to be made to the controller and not the DPO, and this is also pre-written in the</w:t>
        <w:br/>
      </w:r>
      <w:r>
        <w:rPr>
          <w:rStyle w:val="CharStyle20"/>
          <w:i/>
          <w:iCs/>
        </w:rPr>
        <w:t>'Data Protection Policy</w:t>
      </w:r>
      <w:r>
        <w:rPr>
          <w:rStyle w:val="CharStyle20"/>
        </w:rPr>
        <w:t xml:space="preserve"> ’ template;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2" w:val="left"/>
        </w:tabs>
        <w:bidi w:val="0"/>
        <w:spacing w:before="0" w:after="260"/>
        <w:ind w:left="1120" w:right="0" w:hanging="320"/>
        <w:jc w:val="both"/>
      </w:pPr>
      <w:r>
        <w:rPr>
          <w:rStyle w:val="CharStyle20"/>
        </w:rPr>
        <w:t xml:space="preserve">that the made reference to the complaint, specifically to the argument that </w:t>
      </w:r>
      <w:r>
        <w:rPr>
          <w:rStyle w:val="CharStyle20"/>
          <w:i/>
          <w:iCs/>
        </w:rPr>
        <w:t>‘‘[n]owhere</w:t>
        <w:br/>
        <w:t>in the Policy or in the provided consent form, is there explained that the data subject shall</w:t>
        <w:br/>
        <w:t>have the right to withdraw their consent".</w:t>
      </w:r>
      <w:r>
        <w:rPr>
          <w:rStyle w:val="CharStyle20"/>
        </w:rPr>
        <w:t xml:space="preserve"> The noted that it is working together with</w:t>
        <w:br/>
        <w:t>the DPO to review all consent forms to ensure compliance with the Regulation. The exercise</w:t>
        <w:br/>
        <w:t>was finalised in time for the start of the new scholastic year (2022-2023);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2" w:val="left"/>
        </w:tabs>
        <w:bidi w:val="0"/>
        <w:spacing w:before="0" w:after="260" w:line="374" w:lineRule="auto"/>
        <w:ind w:left="1120" w:right="0" w:hanging="320"/>
        <w:jc w:val="both"/>
      </w:pPr>
      <w:r>
        <w:rPr>
          <w:rStyle w:val="CharStyle20"/>
        </w:rPr>
        <w:t xml:space="preserve">that with respect to the </w:t>
      </w:r>
      <w:r>
        <w:rPr>
          <w:rStyle w:val="CharStyle20"/>
          <w:i/>
          <w:iCs/>
        </w:rPr>
        <w:t>‘Retention Policy \</w:t>
      </w:r>
      <w:r>
        <w:rPr>
          <w:rStyle w:val="CharStyle20"/>
        </w:rPr>
        <w:t xml:space="preserve"> the has been working on its retention policy</w:t>
        <w:br/>
        <w:t>and the exercise has almost been finalised and the policy shall be uploaded on the I</w:t>
        <w:br/>
        <w:t>website in the coming days;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2" w:val="left"/>
        </w:tabs>
        <w:bidi w:val="0"/>
        <w:spacing w:before="0" w:after="260" w:line="374" w:lineRule="auto"/>
        <w:ind w:left="1120" w:right="0" w:hanging="320"/>
        <w:jc w:val="both"/>
      </w:pPr>
      <w:r>
        <w:rPr>
          <w:rStyle w:val="CharStyle20"/>
        </w:rPr>
        <w:t>that even if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 is to be taken as the original date of the full request, the f</w:t>
        <w:br/>
        <w:t>was still within the established timeframes by article 12(3) of the Regulation as the |</w:t>
        <w:br/>
        <w:t>Director sent the email to the complainant on the 23</w:t>
      </w:r>
      <w:r>
        <w:rPr>
          <w:rStyle w:val="CharStyle20"/>
          <w:vertAlign w:val="superscript"/>
        </w:rPr>
        <w:t>rd</w:t>
      </w:r>
      <w:r>
        <w:rPr>
          <w:rStyle w:val="CharStyle20"/>
        </w:rPr>
        <w:t xml:space="preserve"> June 2022, and the file was therefore</w:t>
        <w:br/>
        <w:t>accessible to the complainant in line with her original request and also her added requests</w:t>
        <w:br/>
        <w:t>well within the timeframes established by the Regulation;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2" w:val="left"/>
        </w:tabs>
        <w:bidi w:val="0"/>
        <w:spacing w:before="0" w:after="260"/>
        <w:ind w:left="1120" w:right="0" w:hanging="320"/>
        <w:jc w:val="both"/>
      </w:pPr>
      <w:r>
        <w:rPr>
          <w:rStyle w:val="CharStyle20"/>
        </w:rPr>
        <w:t>that the personal files of students held with the^^J contain very sensitive information</w:t>
        <w:br/>
        <w:t>regarding specific health issues and conditions. It is because of this that the DPO had</w:t>
        <w:br/>
        <w:t>suggested that copy of the file should not be sent by email but rather collected by hand by the</w:t>
        <w:br/>
        <w:t>complainant or a person officially designated by her. Them further noted that when</w:t>
        <w:br/>
        <w:t>sending an email one can never be sure whether that email account is in reality being accessed</w:t>
        <w:br/>
        <w:t>by any third parties and thus, is not a question of encryption; and</w:t>
      </w:r>
    </w:p>
    <w:p>
      <w:pPr>
        <w:pStyle w:val="Style1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2" w:val="left"/>
        </w:tabs>
        <w:bidi w:val="0"/>
        <w:spacing w:before="0" w:after="260"/>
        <w:ind w:left="1120" w:right="0" w:hanging="320"/>
        <w:jc w:val="both"/>
      </w:pPr>
      <w:r>
        <w:rPr>
          <w:rStyle w:val="CharStyle20"/>
        </w:rPr>
        <w:t>that the proceeded with utmost caution in the said case as it does with its everyday</w:t>
        <w:br/>
        <w:t>practices and also adhered to the GDPR obligations, whilst bearing in mind the sensitive</w:t>
        <w:br/>
        <w:t>nature of information which it holds.</w:t>
      </w:r>
    </w:p>
    <w:p>
      <w:pPr>
        <w:pStyle w:val="Style1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606" w:val="left"/>
        </w:tabs>
        <w:bidi w:val="0"/>
        <w:spacing w:before="0" w:after="260" w:line="374" w:lineRule="auto"/>
        <w:ind w:left="580" w:right="0" w:hanging="320"/>
        <w:jc w:val="both"/>
        <w:sectPr>
          <w:headerReference w:type="default" r:id="rId19"/>
          <w:footerReference w:type="default" r:id="rId20"/>
          <w:headerReference w:type="even" r:id="rId21"/>
          <w:footerReference w:type="even" r:id="rId22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3199" w:right="1758" w:bottom="2628" w:left="1948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On the 7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October 2022, the Commissioner provided the complainant with the opportunity to rebut</w:t>
        <w:br/>
        <w:t>the arguments made by the ^^ On the 17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October 2022, the complainant noted that she has no</w:t>
        <w:br/>
        <w:t>further submissions to make on the matter. Following this, and in line with the Office’s complaint-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bookmarkStart w:id="22" w:name="bookmark22"/>
      <w:r>
        <w:rPr>
          <w:rStyle w:val="CharStyle9"/>
        </w:rPr>
        <w:t>idpc.</w:t>
      </w:r>
      <w:bookmarkEnd w:id="22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r>
        <w:rPr>
          <w:rStyle w:val="CharStyle26"/>
          <w:color w:val="1A3060"/>
        </w:rPr>
        <w:t xml:space="preserve">| </w:t>
      </w:r>
      <w:r>
        <w:rPr>
          <w:rStyle w:val="CharStyle26"/>
        </w:rPr>
        <w:t>w-aw-.i MO &gt;l*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320" w:right="0" w:firstLine="0"/>
        <w:jc w:val="both"/>
      </w:pPr>
      <w:r>
        <w:rPr>
          <w:rStyle w:val="CharStyle20"/>
        </w:rPr>
        <w:t>handling procedure, the Commissioner provided the controller with the final opportunity to put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320" w:right="0" w:firstLine="0"/>
        <w:jc w:val="both"/>
      </w:pPr>
      <w:r>
        <w:rPr>
          <w:rStyle w:val="CharStyle20"/>
        </w:rPr>
        <w:t>forward additional arguments and, in this regard, on the 19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October 2022, the submitted that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1320" w:right="0" w:firstLine="0"/>
        <w:jc w:val="left"/>
      </w:pPr>
      <w:r>
        <w:rPr>
          <w:rStyle w:val="CharStyle20"/>
        </w:rPr>
        <w:t>the submissions provided on the 3</w:t>
      </w:r>
      <w:r>
        <w:rPr>
          <w:rStyle w:val="CharStyle20"/>
          <w:vertAlign w:val="superscript"/>
        </w:rPr>
        <w:t>rd</w:t>
      </w:r>
      <w:r>
        <w:rPr>
          <w:rStyle w:val="CharStyle20"/>
        </w:rPr>
        <w:t xml:space="preserve"> October 2022 were indeed final.</w:t>
      </w:r>
    </w:p>
    <w:p>
      <w:pPr>
        <w:pStyle w:val="Style1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366" w:val="left"/>
        </w:tabs>
        <w:bidi w:val="0"/>
        <w:spacing w:before="0" w:after="100" w:line="240" w:lineRule="auto"/>
        <w:ind w:left="1020" w:right="0" w:firstLine="0"/>
        <w:jc w:val="both"/>
      </w:pPr>
      <w:r>
        <w:rPr>
          <w:rStyle w:val="CharStyle20"/>
        </w:rPr>
        <w:t>On the 16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February 2023, the Commissioner requested the to provide further clarifications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320" w:right="0" w:firstLine="0"/>
        <w:jc w:val="both"/>
      </w:pPr>
      <w:r>
        <w:rPr>
          <w:rStyle w:val="CharStyle20"/>
        </w:rPr>
        <w:t>and documentation to take into consideration during the legal analysis of the case. Particularly, (i)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320" w:right="0" w:firstLine="0"/>
        <w:jc w:val="both"/>
      </w:pPr>
      <w:r>
        <w:rPr>
          <w:rStyle w:val="CharStyle20"/>
          <w:i/>
          <w:iCs/>
        </w:rPr>
        <w:t>“to clarify whether the incomplete policies mentioned in your submissions are finalised or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320" w:right="0" w:firstLine="0"/>
        <w:jc w:val="both"/>
      </w:pPr>
      <w:r>
        <w:rPr>
          <w:rStyle w:val="CharStyle20"/>
          <w:i/>
          <w:iCs/>
        </w:rPr>
        <w:t>otherwise, and if in the affirmative, you are hereby being requested to provide a copy of these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1320" w:right="0" w:firstLine="20"/>
        <w:jc w:val="both"/>
      </w:pPr>
      <w:r>
        <w:rPr>
          <w:rStyle w:val="CharStyle20"/>
          <w:i/>
          <w:iCs/>
        </w:rPr>
        <w:t>policies; (ii) to provide a copy of the data protection policies mentioned in the</w:t>
      </w:r>
      <w:r>
        <w:rPr>
          <w:rStyle w:val="CharStyle20"/>
          <w:rFonts w:ascii="Arial" w:eastAsia="Arial" w:hAnsi="Arial" w:cs="Arial"/>
          <w:sz w:val="20"/>
          <w:szCs w:val="20"/>
        </w:rPr>
        <w:t xml:space="preserve"> |m </w:t>
      </w:r>
      <w:r>
        <w:rPr>
          <w:rStyle w:val="CharStyle20"/>
          <w:i/>
          <w:iCs/>
        </w:rPr>
        <w:t>submissions,</w:t>
        <w:br/>
        <w:t>wherein it was stated that then has other DP Policies for specific services"; and (iii) to</w:t>
        <w:br/>
        <w:t>provide the necessary clarifications of who manages the personal data of minors utilising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1320" w:right="0" w:firstLine="20"/>
        <w:jc w:val="both"/>
      </w:pPr>
      <w:r>
        <w:rPr>
          <w:rStyle w:val="CharStyle20"/>
          <w:i/>
          <w:iCs/>
        </w:rPr>
        <w:t>services, specifically who is responsible for the processing of such personal data”.</w:t>
      </w:r>
      <w:r>
        <w:rPr>
          <w:rStyle w:val="CharStyle20"/>
        </w:rPr>
        <w:t xml:space="preserve"> In this regard,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1320" w:right="0" w:firstLine="20"/>
        <w:jc w:val="both"/>
      </w:pPr>
      <w:r>
        <w:rPr>
          <w:rStyle w:val="CharStyle20"/>
        </w:rPr>
        <w:t>by means of an email dated the 1</w:t>
      </w:r>
      <w:r>
        <w:rPr>
          <w:rStyle w:val="CharStyle20"/>
          <w:vertAlign w:val="superscript"/>
        </w:rPr>
        <w:t>st</w:t>
      </w:r>
      <w:r>
        <w:rPr>
          <w:rStyle w:val="CharStyle20"/>
        </w:rPr>
        <w:t xml:space="preserve"> March 2023, the ■^provided a copy of the complete retention</w:t>
        <w:br/>
        <w:t xml:space="preserve">policy entitled </w:t>
      </w:r>
      <w:r>
        <w:rPr>
          <w:rStyle w:val="CharStyle20"/>
          <w:i/>
          <w:iCs/>
        </w:rPr>
        <w:t>Policy Reflating Retention of Documentation in</w:t>
      </w:r>
    </w:p>
    <w:p>
      <w:pPr>
        <w:pStyle w:val="Style19"/>
        <w:keepNext w:val="0"/>
        <w:keepLines w:val="0"/>
        <w:widowControl w:val="0"/>
        <w:shd w:val="clear" w:color="auto" w:fill="auto"/>
        <w:tabs>
          <w:tab w:pos="9101" w:val="left"/>
        </w:tabs>
        <w:bidi w:val="0"/>
        <w:spacing w:before="0" w:after="0" w:line="374" w:lineRule="auto"/>
        <w:ind w:left="1320" w:right="0" w:firstLine="320"/>
        <w:jc w:val="both"/>
      </w:pPr>
      <w:r>
        <w:rPr>
          <w:rStyle w:val="CharStyle20"/>
        </w:rPr>
        <w:t>|) which was finalised and published on the ^^’ website</w:t>
      </w:r>
      <w:r>
        <w:rPr>
          <w:rStyle w:val="CharStyle20"/>
          <w:vertAlign w:val="superscript"/>
        </w:rPr>
        <w:footnoteReference w:id="5"/>
      </w:r>
      <w:r>
        <w:rPr>
          <w:rStyle w:val="CharStyle20"/>
        </w:rPr>
        <w:t xml:space="preserve"> on the 10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November 2022.</w:t>
        <w:br/>
        <w:t xml:space="preserve">Additionally, the^M provided a copy of the finalised |_ </w:t>
      </w:r>
      <w:r>
        <w:rPr>
          <w:rStyle w:val="CharStyle20"/>
          <w:color w:val="000000"/>
        </w:rPr>
        <w:t>_</w:t>
        <w:tab/>
        <w:t>i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74" w:lineRule="auto"/>
        <w:ind w:left="2520" w:right="0" w:firstLine="0"/>
        <w:jc w:val="both"/>
      </w:pPr>
      <w:r>
        <w:rPr>
          <w:rStyle w:val="CharStyle20"/>
        </w:rPr>
        <w:t xml:space="preserve">| and, re-confirmed that the ‘ </w:t>
      </w:r>
      <w:r>
        <w:rPr>
          <w:rStyle w:val="CharStyle20"/>
          <w:i/>
          <w:iCs/>
        </w:rPr>
        <w:t>^^^^Director is the Data Controller of^^^tand as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1320" w:right="0" w:firstLine="0"/>
        <w:jc w:val="left"/>
      </w:pPr>
      <w:r>
        <w:rPr>
          <w:rStyle w:val="CharStyle20"/>
          <w:i/>
          <w:iCs/>
        </w:rPr>
        <w:t>such determines the purposes and means of data processing within the Department”.</w:t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460" w:line="240" w:lineRule="auto"/>
        <w:ind w:left="0" w:right="0" w:firstLine="660"/>
        <w:jc w:val="both"/>
      </w:pPr>
      <w:bookmarkStart w:id="24" w:name="bookmark24"/>
      <w:r>
        <w:rPr>
          <w:rStyle w:val="CharStyle18"/>
          <w:b/>
          <w:bCs/>
          <w:color w:val="2B2B2B"/>
        </w:rPr>
        <w:t>LEGAL ANALYSIS AND DECISION</w:t>
      </w:r>
      <w:bookmarkEnd w:id="24"/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660"/>
        <w:jc w:val="both"/>
      </w:pPr>
      <w:r>
        <w:rPr>
          <w:rStyle w:val="CharStyle20"/>
          <w:u w:val="single"/>
        </w:rPr>
        <w:t>The identity of the controller</w:t>
      </w:r>
    </w:p>
    <w:p>
      <w:pPr>
        <w:pStyle w:val="Style1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366" w:val="left"/>
        </w:tabs>
        <w:bidi w:val="0"/>
        <w:spacing w:before="0" w:after="100"/>
        <w:ind w:left="1320" w:right="0" w:hanging="300"/>
        <w:jc w:val="both"/>
        <w:sectPr>
          <w:footnotePr>
            <w:pos w:val="pageBottom"/>
            <w:numFmt w:val="decimal"/>
            <w:numStart w:val="4"/>
            <w:numRestart w:val="continuous"/>
            <w15:footnoteColumns w:val="1"/>
          </w:footnotePr>
          <w:pgSz w:w="12240" w:h="18720"/>
          <w:pgMar w:top="1927" w:right="1847" w:bottom="2297" w:left="1181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As a preliminary step of this legal analysis, the Commissioner sought, in essence, to establish</w:t>
        <w:br/>
        <w:t>whether the or the Director is acting in its role of the controller in relation to the</w:t>
        <w:br/>
        <w:t>processing of the personal data of minors using the^H services.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31" w:val="left"/>
        </w:tabs>
        <w:bidi w:val="0"/>
        <w:spacing w:before="0"/>
        <w:ind w:left="1280" w:right="0" w:hanging="280"/>
        <w:jc w:val="both"/>
      </w:pPr>
      <w:r>
        <w:rPr>
          <w:rStyle w:val="CharStyle20"/>
        </w:rPr>
        <w:t>In this regard, the Commissioner analysed the accountability principle enshrined in article 5(2) of</w:t>
        <w:br/>
        <w:t>the Regulation, which provides that the controller shall be responsible for, and be able to</w:t>
        <w:br/>
        <w:t>demonstrate compliance with the principles relating to the processing of personal data as set out in</w:t>
        <w:br/>
        <w:t>article 5(1) of the Regulation. This principle of accountability stipulates an overarching compliance</w:t>
        <w:br/>
        <w:t>with the aim and purposes of the Regulation, which is essential to safeguard the rights and freedoms</w:t>
        <w:br/>
        <w:t>of the data subjects. It therefore follows that the controller is the main entity bound by the provisions</w:t>
        <w:br/>
        <w:t>of the Regulation and has responsibility and liability in terms of compliance.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31" w:val="left"/>
        </w:tabs>
        <w:bidi w:val="0"/>
        <w:spacing w:before="0" w:after="260"/>
        <w:ind w:left="1280" w:right="0" w:hanging="280"/>
        <w:jc w:val="both"/>
      </w:pPr>
      <w:r>
        <w:rPr>
          <w:rStyle w:val="CharStyle20"/>
        </w:rPr>
        <w:t xml:space="preserve">The crucial aspect for assuming the role of a controller is the determination of the </w:t>
      </w:r>
      <w:r>
        <w:rPr>
          <w:rStyle w:val="CharStyle20"/>
          <w:i/>
          <w:iCs/>
        </w:rPr>
        <w:t>“means</w:t>
      </w:r>
      <w:r>
        <w:rPr>
          <w:rStyle w:val="CharStyle20"/>
        </w:rPr>
        <w:t xml:space="preserve"> ” and the</w:t>
        <w:br/>
      </w:r>
      <w:r>
        <w:rPr>
          <w:rStyle w:val="CharStyle20"/>
          <w:i/>
          <w:iCs/>
        </w:rPr>
        <w:t>“purposes</w:t>
      </w:r>
      <w:r>
        <w:rPr>
          <w:rStyle w:val="CharStyle20"/>
        </w:rPr>
        <w:t xml:space="preserve"> " of the processing. In other words, the controller should decide, in an autonomous</w:t>
        <w:br/>
        <w:t>manner, certain key elements about the processing and consequently, exercise decisive influence</w:t>
        <w:br/>
        <w:t xml:space="preserve">over the same processing activity. </w:t>
      </w:r>
      <w:r>
        <w:rPr>
          <w:rStyle w:val="CharStyle20"/>
          <w:b/>
          <w:bCs/>
        </w:rPr>
        <w:t>Indeed, the Court of Justice of the European Union (“CJEU”) in</w:t>
        <w:br/>
      </w:r>
      <w:r>
        <w:rPr>
          <w:rStyle w:val="CharStyle20"/>
        </w:rPr>
        <w:t>its settled jurisprudence</w:t>
      </w:r>
      <w:r>
        <w:rPr>
          <w:rStyle w:val="CharStyle20"/>
          <w:vertAlign w:val="superscript"/>
        </w:rPr>
        <w:footnoteReference w:id="6"/>
      </w:r>
      <w:r>
        <w:rPr>
          <w:rStyle w:val="CharStyle20"/>
        </w:rPr>
        <w:t xml:space="preserve"> interpreted the concept of controller in a pragmatic and functional fashion</w:t>
        <w:br/>
        <w:t>as averse to a purely formal analysis. In doing so, the CJEU examined thoroughly the factual</w:t>
        <w:br/>
        <w:t>influence that actors had over the respective processing activities.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51" w:val="left"/>
        </w:tabs>
        <w:bidi w:val="0"/>
        <w:spacing w:before="0" w:after="260" w:line="374" w:lineRule="auto"/>
        <w:ind w:left="1280" w:right="0" w:hanging="280"/>
        <w:jc w:val="both"/>
      </w:pPr>
      <w:r>
        <w:rPr>
          <w:rStyle w:val="CharStyle20"/>
        </w:rPr>
        <w:t xml:space="preserve">In this regard, in its </w:t>
      </w:r>
      <w:r>
        <w:rPr>
          <w:rStyle w:val="CharStyle20"/>
          <w:i/>
          <w:iCs/>
        </w:rPr>
        <w:t>‘Guidelines 07/2020 on the concepts of controller and processor in the GDPR</w:t>
      </w:r>
      <w:r>
        <w:rPr>
          <w:rStyle w:val="CharStyle20"/>
          <w:i/>
          <w:iCs/>
          <w:vertAlign w:val="superscript"/>
        </w:rPr>
        <w:t>19</w:t>
        <w:br/>
      </w:r>
      <w:r>
        <w:rPr>
          <w:rStyle w:val="CharStyle20"/>
        </w:rPr>
        <w:t xml:space="preserve">(the </w:t>
      </w:r>
      <w:r>
        <w:rPr>
          <w:rStyle w:val="CharStyle20"/>
          <w:b/>
          <w:bCs/>
        </w:rPr>
        <w:t xml:space="preserve">“Guidelines 07/2020”), </w:t>
      </w:r>
      <w:r>
        <w:rPr>
          <w:rStyle w:val="CharStyle20"/>
        </w:rPr>
        <w:t xml:space="preserve">the EDPB stressed that </w:t>
      </w:r>
      <w:r>
        <w:rPr>
          <w:rStyle w:val="CharStyle20"/>
          <w:i/>
          <w:iCs/>
        </w:rPr>
        <w:t>“the concept of controller is a functional</w:t>
        <w:br/>
        <w:t>concept, it is therefore based on a factual rather than a formal analysis”</w:t>
      </w:r>
      <w:r>
        <w:rPr>
          <w:rStyle w:val="CharStyle20"/>
        </w:rPr>
        <w:t xml:space="preserve"> and </w:t>
      </w:r>
      <w:r>
        <w:rPr>
          <w:rStyle w:val="CharStyle20"/>
          <w:i/>
          <w:iCs/>
        </w:rPr>
        <w:t>“it may be that the</w:t>
        <w:br/>
        <w:t>formal appointment does not reflect the reality of the arrangements, by formally entrusting the role</w:t>
        <w:br/>
        <w:t>ofcontroller to an entity which actually is not in the position to "determine " the purposes and means</w:t>
        <w:br/>
        <w:t>of the processing”.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51" w:val="left"/>
        </w:tabs>
        <w:bidi w:val="0"/>
        <w:spacing w:before="0"/>
        <w:ind w:left="1280" w:right="0" w:hanging="280"/>
        <w:jc w:val="both"/>
      </w:pPr>
      <w:r>
        <w:rPr>
          <w:rStyle w:val="CharStyle20"/>
        </w:rPr>
        <w:t xml:space="preserve">Another essential component of the definition </w:t>
      </w:r>
      <w:r>
        <w:rPr>
          <w:rStyle w:val="CharStyle20"/>
          <w:i/>
          <w:iCs/>
        </w:rPr>
        <w:t>of “controller”</w:t>
      </w:r>
      <w:r>
        <w:rPr>
          <w:rStyle w:val="CharStyle20"/>
        </w:rPr>
        <w:t xml:space="preserve"> is the object of control, which refers</w:t>
        <w:br/>
        <w:t xml:space="preserve">to the purposes and means of the processing, which is loosely translated into the </w:t>
      </w:r>
      <w:r>
        <w:rPr>
          <w:rStyle w:val="CharStyle20"/>
          <w:i/>
          <w:iCs/>
        </w:rPr>
        <w:t>“why”</w:t>
      </w:r>
      <w:r>
        <w:rPr>
          <w:rStyle w:val="CharStyle20"/>
        </w:rPr>
        <w:t xml:space="preserve"> and </w:t>
      </w:r>
      <w:r>
        <w:rPr>
          <w:rStyle w:val="CharStyle20"/>
          <w:i/>
          <w:iCs/>
        </w:rPr>
        <w:t>“how”</w:t>
        <w:br/>
      </w:r>
      <w:r>
        <w:rPr>
          <w:rStyle w:val="CharStyle20"/>
        </w:rPr>
        <w:t xml:space="preserve">of the processing operation. From a purely terminological perspective, </w:t>
      </w:r>
      <w:r>
        <w:rPr>
          <w:rStyle w:val="CharStyle20"/>
          <w:i/>
          <w:iCs/>
        </w:rPr>
        <w:t>“purpose</w:t>
      </w:r>
      <w:r>
        <w:rPr>
          <w:rStyle w:val="CharStyle20"/>
        </w:rPr>
        <w:t xml:space="preserve"> ” is defined as the</w:t>
        <w:br/>
      </w:r>
      <w:r>
        <w:rPr>
          <w:rStyle w:val="CharStyle20"/>
          <w:i/>
          <w:iCs/>
        </w:rPr>
        <w:t>“anticipated outcome that is intended or that guides your planned action ”,</w:t>
      </w:r>
      <w:r>
        <w:rPr>
          <w:rStyle w:val="CharStyle20"/>
        </w:rPr>
        <w:t xml:space="preserve"> and the </w:t>
      </w:r>
      <w:r>
        <w:rPr>
          <w:rStyle w:val="CharStyle20"/>
          <w:i/>
          <w:iCs/>
        </w:rPr>
        <w:t>"means</w:t>
      </w:r>
      <w:r>
        <w:rPr>
          <w:rStyle w:val="CharStyle20"/>
        </w:rPr>
        <w:t xml:space="preserve"> ” is</w:t>
        <w:br/>
      </w:r>
      <w:r>
        <w:rPr>
          <w:rStyle w:val="CharStyle20"/>
          <w:i/>
          <w:iCs/>
        </w:rPr>
        <w:t>"how a result is obtained or / and is achieved”.</w:t>
      </w:r>
      <w:r>
        <w:rPr>
          <w:rStyle w:val="CharStyle20"/>
        </w:rPr>
        <w:t xml:space="preserve"> In this context, the Regulation states that personal</w:t>
        <w:br/>
        <w:t>data shall be collected for specified, explicit and legitimate purposes and that, as a general rule, it</w:t>
        <w:br/>
        <w:t>shall not be further processed in a manner that is incompatible with those purposes.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51" w:val="left"/>
        </w:tabs>
        <w:bidi w:val="0"/>
        <w:spacing w:before="0" w:after="300" w:line="374" w:lineRule="auto"/>
        <w:ind w:left="1280" w:right="0" w:hanging="280"/>
        <w:jc w:val="both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Start w:val="4"/>
            <w:numRestart w:val="continuous"/>
            <w15:footnoteColumns w:val="1"/>
          </w:footnotePr>
          <w:pgSz w:w="12240" w:h="18720"/>
          <w:pgMar w:top="3262" w:right="1881" w:bottom="2643" w:left="1148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 xml:space="preserve">In the analysis of the current case, the ^^■reiterated in its submissions that </w:t>
      </w:r>
      <w:r>
        <w:rPr>
          <w:rStyle w:val="CharStyle20"/>
          <w:i/>
          <w:iCs/>
        </w:rPr>
        <w:t>‘^^^^Director is</w:t>
        <w:br/>
        <w:t>the Data Controller of^^^and as such determines the purposes and means of data processing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bookmarkStart w:id="26" w:name="bookmark26"/>
      <w:r>
        <w:rPr>
          <w:rStyle w:val="CharStyle9"/>
        </w:rPr>
        <w:t>idpc</w:t>
      </w:r>
      <w:bookmarkEnd w:id="26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640"/>
        <w:jc w:val="both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 xml:space="preserve">IM •■ , « Ml ' </w:t>
      </w:r>
      <w:r>
        <w:rPr>
          <w:rStyle w:val="CharStyle26"/>
          <w:b/>
          <w:bCs/>
          <w:color w:val="C84652"/>
        </w:rPr>
        <w:t>an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/>
        <w:ind w:left="1300" w:right="0" w:firstLine="20"/>
        <w:jc w:val="both"/>
      </w:pPr>
      <w:r>
        <w:rPr>
          <w:rStyle w:val="CharStyle20"/>
          <w:i/>
          <w:iCs/>
        </w:rPr>
        <w:t>within the Department".</w:t>
      </w:r>
      <w:r>
        <w:rPr>
          <w:rStyle w:val="CharStyle20"/>
        </w:rPr>
        <w:t xml:space="preserve"> For this purpose, the Commissioner proceeded to conduct an exercise to</w:t>
        <w:br/>
        <w:t>determine, whether the ^| Director fulfils the role of a controller, and proceeded to assess the</w:t>
        <w:br/>
        <w:t>Guidelines 07/2020</w:t>
      </w:r>
      <w:r>
        <w:rPr>
          <w:rStyle w:val="CharStyle20"/>
          <w:vertAlign w:val="superscript"/>
        </w:rPr>
        <w:footnoteReference w:id="7"/>
      </w:r>
      <w:r>
        <w:rPr>
          <w:rStyle w:val="CharStyle20"/>
        </w:rPr>
        <w:t xml:space="preserve">, outlining that </w:t>
      </w:r>
      <w:r>
        <w:rPr>
          <w:rStyle w:val="CharStyle20"/>
          <w:i/>
          <w:iCs/>
        </w:rPr>
        <w:t>“ [s]ometimes, companies and public bodies appoint a specific</w:t>
        <w:br/>
        <w:t>person responsible for the implementation of the processing activity. Even if a specific natural</w:t>
        <w:br/>
        <w:t xml:space="preserve">person is appointed to ensure compliance with data protection rules, </w:t>
      </w:r>
      <w:r>
        <w:rPr>
          <w:rStyle w:val="CharStyle20"/>
          <w:i/>
          <w:iCs/>
          <w:u w:val="single"/>
        </w:rPr>
        <w:t xml:space="preserve">this person </w:t>
      </w:r>
      <w:r>
        <w:rPr>
          <w:rStyle w:val="CharStyle20"/>
          <w:i/>
          <w:iCs/>
          <w:color w:val="000000"/>
          <w:u w:val="single"/>
        </w:rPr>
        <w:t xml:space="preserve">will </w:t>
      </w:r>
      <w:r>
        <w:rPr>
          <w:rStyle w:val="CharStyle20"/>
          <w:i/>
          <w:iCs/>
          <w:u w:val="single"/>
        </w:rPr>
        <w:t>not be the</w:t>
        <w:br/>
        <w:t>controller but will act on behalf of the legal entity</w:t>
      </w:r>
      <w:r>
        <w:rPr>
          <w:rStyle w:val="CharStyle20"/>
          <w:i/>
          <w:iCs/>
        </w:rPr>
        <w:t xml:space="preserve"> (company or public body) which will be</w:t>
        <w:br/>
        <w:t>ultimately responsible in case of infringement of the rules in its capacity as controller ’’</w:t>
      </w:r>
      <w:r>
        <w:rPr>
          <w:rStyle w:val="CharStyle20"/>
        </w:rPr>
        <w:t xml:space="preserve"> [emphasis</w:t>
        <w:br/>
        <w:t>has been added],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51" w:val="left"/>
        </w:tabs>
        <w:bidi w:val="0"/>
        <w:spacing w:before="0"/>
        <w:ind w:left="1300" w:right="0" w:hanging="300"/>
        <w:jc w:val="both"/>
      </w:pPr>
      <w:r>
        <w:rPr>
          <w:rStyle w:val="CharStyle20"/>
        </w:rPr>
        <w:t xml:space="preserve">After carefully consideration of the Guidelines 07/2020 </w:t>
      </w:r>
      <w:r>
        <w:rPr>
          <w:rStyle w:val="CharStyle20"/>
          <w:vertAlign w:val="superscript"/>
        </w:rPr>
        <w:t>H</w:t>
      </w:r>
      <w:r>
        <w:rPr>
          <w:rStyle w:val="CharStyle20"/>
        </w:rPr>
        <w:t>, the Commissioner has concluded that the</w:t>
        <w:br/>
        <w:t>controller in question is the and not the Director, who is an employee of the</w:t>
        <w:br/>
        <w:t>Department.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640"/>
        <w:jc w:val="both"/>
      </w:pPr>
      <w:r>
        <w:rPr>
          <w:rStyle w:val="CharStyle20"/>
          <w:u w:val="single"/>
        </w:rPr>
        <w:t>The email sent to th</w:t>
      </w:r>
      <w:r>
        <w:rPr>
          <w:rStyle w:val="CharStyle20"/>
        </w:rPr>
        <w:t>eM t</w:t>
      </w:r>
      <w:r>
        <w:rPr>
          <w:rStyle w:val="CharStyle20"/>
          <w:u w:val="single"/>
        </w:rPr>
        <w:t>o exercise her right pursuant to article 15 of the Regulation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51" w:val="left"/>
        </w:tabs>
        <w:bidi w:val="0"/>
        <w:spacing w:before="0" w:after="0" w:line="372" w:lineRule="auto"/>
        <w:ind w:left="0" w:right="0" w:firstLine="1000"/>
        <w:jc w:val="both"/>
      </w:pPr>
      <w:r>
        <w:rPr>
          <w:rStyle w:val="CharStyle20"/>
        </w:rPr>
        <w:t>The Commissioner established that,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 2022, the complainant sent an email to the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2" w:lineRule="auto"/>
        <w:ind w:left="1300" w:right="0" w:firstLine="320"/>
        <w:jc w:val="both"/>
      </w:pPr>
      <w:r>
        <w:rPr>
          <w:rStyle w:val="CharStyle20"/>
        </w:rPr>
        <w:t>|’s occupational therapist, whilst keeping in copy the^H’s speech therapist, ^|’s Head</w:t>
        <w:br/>
        <w:t xml:space="preserve">of School and another member of the staff, wherein she requested the ^^^to provide </w:t>
      </w:r>
      <w:r>
        <w:rPr>
          <w:rStyle w:val="CharStyle20"/>
          <w:i/>
          <w:iCs/>
        </w:rPr>
        <w:t>"a</w:t>
        <w:br/>
        <w:t>copy of all the information in</w:t>
      </w:r>
      <w:r>
        <w:rPr>
          <w:rStyle w:val="CharStyle20"/>
        </w:rPr>
        <w:t xml:space="preserve"> [the minor’ </w:t>
      </w:r>
      <w:r>
        <w:rPr>
          <w:rStyle w:val="CharStyle20"/>
          <w:i/>
          <w:iCs/>
        </w:rPr>
        <w:t>s]file regarding OT and speech</w:t>
      </w:r>
      <w:r>
        <w:rPr>
          <w:rStyle w:val="CharStyle20"/>
          <w:b/>
          <w:bCs/>
        </w:rPr>
        <w:t xml:space="preserve"> ” (annexed and marked</w:t>
        <w:br/>
        <w:t>as Doc. IDPC 1).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51" w:val="left"/>
        </w:tabs>
        <w:bidi w:val="0"/>
        <w:spacing w:before="0"/>
        <w:ind w:left="1000" w:right="0" w:firstLine="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footnotePr>
            <w:pos w:val="pageBottom"/>
            <w:numFmt w:val="decimal"/>
            <w:numStart w:val="5"/>
            <w:numRestart w:val="continuous"/>
            <w15:footnoteColumns w:val="1"/>
          </w:footnotePr>
          <w:pgSz w:w="12240" w:h="18720"/>
          <w:pgMar w:top="1966" w:right="1823" w:bottom="2264" w:left="1205" w:header="1538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From the initial contents of the complaint and the controller’s submissions, the Commissioner</w:t>
        <w:br/>
        <w:t>established that on the 10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the complainant sent an email to the ^^^Director enquiring</w:t>
        <w:br/>
        <w:t>when the information requested will be available. The Director replied three (3) days later,</w:t>
        <w:br/>
        <w:t>stating that the documentation requested is being prepared and she will be contacted accordingly to</w:t>
        <w:br/>
        <w:t>collect it. By means of an email dated the 15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 the complainant communicated with the</w:t>
        <w:br/>
      </w:r>
      <w:r>
        <w:rPr>
          <w:rStyle w:val="CharStyle20"/>
          <w:color w:val="000000"/>
        </w:rPr>
        <w:t xml:space="preserve">- </w:t>
      </w:r>
      <w:r>
        <w:rPr>
          <w:rStyle w:val="CharStyle20"/>
        </w:rPr>
        <w:t xml:space="preserve">| Director and stated that </w:t>
      </w:r>
      <w:r>
        <w:rPr>
          <w:rStyle w:val="CharStyle20"/>
          <w:i/>
          <w:iCs/>
        </w:rPr>
        <w:t>“J need the reports by today as meeting will be held tomorrow ”.</w:t>
      </w:r>
      <w:r>
        <w:rPr>
          <w:rStyle w:val="CharStyle20"/>
        </w:rPr>
        <w:t xml:space="preserve"> The</w:t>
        <w:br/>
        <w:t xml:space="preserve">| Director replied on the same day by saying that </w:t>
      </w:r>
      <w:r>
        <w:rPr>
          <w:rStyle w:val="CharStyle20"/>
          <w:i/>
          <w:iCs/>
        </w:rPr>
        <w:t>"such requirements have to be processed</w:t>
        <w:br/>
        <w:t>according to GDPR procedures. To this effect your requirement is being processed”.</w:t>
      </w:r>
      <w:r>
        <w:rPr>
          <w:rStyle w:val="CharStyle20"/>
        </w:rPr>
        <w:t xml:space="preserve"> In this regard,</w:t>
        <w:br/>
        <w:t>the Commissioner analysed the reply provided by the ^| Director on the 29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June 2022,</w:t>
        <w:br/>
        <w:t xml:space="preserve">outlining that </w:t>
      </w:r>
      <w:r>
        <w:rPr>
          <w:rStyle w:val="CharStyle20"/>
          <w:i/>
          <w:iCs/>
        </w:rPr>
        <w:t>"[a]syou are well aware you made your formal request on the lff</w:t>
      </w:r>
      <w:r>
        <w:rPr>
          <w:rStyle w:val="CharStyle20"/>
          <w:i/>
          <w:iCs/>
          <w:vertAlign w:val="superscript"/>
        </w:rPr>
        <w:t>h</w:t>
      </w:r>
      <w:r>
        <w:rPr>
          <w:rStyle w:val="CharStyle20"/>
          <w:i/>
          <w:iCs/>
        </w:rPr>
        <w:t xml:space="preserve"> June to myself</w:t>
        <w:br/>
        <w:t>as the data controller, which means that contrary to your claim I am still within the limits ”</w:t>
        <w:br/>
      </w:r>
      <w:r>
        <w:rPr>
          <w:rStyle w:val="CharStyle20"/>
        </w:rPr>
        <w:t xml:space="preserve">[emphasis has been added] </w:t>
      </w:r>
      <w:r>
        <w:rPr>
          <w:rStyle w:val="CharStyle20"/>
          <w:b/>
          <w:bCs/>
        </w:rPr>
        <w:t>(annexed and marked as Doc. IDPC 2).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28" w:name="bookmark28"/>
      <w:r>
        <w:rPr>
          <w:rStyle w:val="CharStyle9"/>
        </w:rPr>
        <w:t>idpc.</w:t>
      </w:r>
      <w:bookmarkEnd w:id="28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>^"•tCcB^-MA'XWirii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06" w:val="left"/>
        </w:tabs>
        <w:bidi w:val="0"/>
        <w:spacing w:before="0" w:after="520"/>
        <w:ind w:left="1260" w:right="0" w:hanging="300"/>
        <w:jc w:val="both"/>
      </w:pPr>
      <w:r>
        <w:rPr>
          <w:rStyle w:val="CharStyle20"/>
          <w:color w:val="000000"/>
        </w:rPr>
        <w:t>The Commissioner assessed Guidelines 01/2022</w:t>
      </w:r>
      <w:r>
        <w:rPr>
          <w:rStyle w:val="CharStyle20"/>
          <w:color w:val="000000"/>
          <w:vertAlign w:val="superscript"/>
        </w:rPr>
        <w:footnoteReference w:id="8"/>
      </w:r>
      <w:r>
        <w:rPr>
          <w:rStyle w:val="CharStyle20"/>
          <w:color w:val="000000"/>
        </w:rPr>
        <w:t xml:space="preserve">, wherein the EDPB outlined that </w:t>
      </w:r>
      <w:r>
        <w:rPr>
          <w:rStyle w:val="CharStyle20"/>
          <w:i/>
          <w:iCs/>
          <w:color w:val="000000"/>
        </w:rPr>
        <w:t>“(tjhe</w:t>
        <w:br/>
        <w:t>controller is also not obliged to act on a request sent to the e-mail address of a controller's employee</w:t>
        <w:br/>
        <w:t>who may not be involved in the processing of requests concerning data subjects ’ rights (e.g. drivers,</w:t>
        <w:br/>
        <w:t>cleaning staff, etc.). Such requests shall not be considered effective, if the controller has clearly</w:t>
        <w:br/>
        <w:t>provided the data subject with appropriate communication channel. However, if the data subject</w:t>
        <w:br/>
        <w:t>sends a request to the controller’s employee who has been assigned to them as their regular</w:t>
        <w:br/>
        <w:t>contact person (such as e.g. a personal account manager at a bank or a regular consultant at a</w:t>
        <w:br/>
        <w:t>mobile phone operator), such contact should not be considered as a random one and the controller</w:t>
        <w:br/>
        <w:t>should make all reasonable efforts, to handle such a request so that it can be redirected to the</w:t>
        <w:br/>
        <w:t>contact point and answered within the time limits provided for by the GDPR</w:t>
      </w:r>
      <w:r>
        <w:rPr>
          <w:rStyle w:val="CharStyle20"/>
          <w:color w:val="000000"/>
        </w:rPr>
        <w:t xml:space="preserve"> " [emphasis has been</w:t>
        <w:br/>
        <w:t>added].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11" w:val="left"/>
        </w:tabs>
        <w:bidi w:val="0"/>
        <w:spacing w:before="0" w:after="240" w:line="374" w:lineRule="auto"/>
        <w:ind w:left="1260" w:right="0" w:hanging="300"/>
        <w:jc w:val="both"/>
      </w:pPr>
      <w:r>
        <w:rPr>
          <w:rStyle w:val="CharStyle20"/>
          <w:color w:val="000000"/>
        </w:rPr>
        <w:t>The Commissioner referred to the email sent by the Director on the 29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June 2022, stating</w:t>
        <w:br/>
        <w:t xml:space="preserve">that </w:t>
      </w:r>
      <w:r>
        <w:rPr>
          <w:rStyle w:val="CharStyle20"/>
          <w:i/>
          <w:iCs/>
          <w:color w:val="000000"/>
        </w:rPr>
        <w:t>“fajsyou are well aware you made your formal request on the lff</w:t>
      </w:r>
      <w:r>
        <w:rPr>
          <w:rStyle w:val="CharStyle20"/>
          <w:i/>
          <w:iCs/>
          <w:color w:val="000000"/>
          <w:vertAlign w:val="superscript"/>
        </w:rPr>
        <w:t>h</w:t>
      </w:r>
      <w:r>
        <w:rPr>
          <w:rStyle w:val="CharStyle20"/>
          <w:i/>
          <w:iCs/>
          <w:color w:val="000000"/>
        </w:rPr>
        <w:t xml:space="preserve"> June to myself as the data</w:t>
        <w:br/>
        <w:t>controller, which means that contrary to your claim lam still within the limits</w:t>
      </w:r>
      <w:r>
        <w:rPr>
          <w:rStyle w:val="CharStyle20"/>
          <w:color w:val="000000"/>
        </w:rPr>
        <w:t xml:space="preserve"> ” [emphasis has been</w:t>
        <w:br/>
        <w:t>added]. In this regard, the Guidelines 01/2022</w:t>
      </w:r>
      <w:r>
        <w:rPr>
          <w:rStyle w:val="CharStyle20"/>
          <w:color w:val="000000"/>
          <w:vertAlign w:val="superscript"/>
        </w:rPr>
        <w:footnoteReference w:id="9"/>
      </w:r>
      <w:r>
        <w:rPr>
          <w:rStyle w:val="CharStyle20"/>
          <w:color w:val="000000"/>
        </w:rPr>
        <w:t xml:space="preserve"> notes that the controller should make all reasonable</w:t>
        <w:br/>
        <w:t>efforts so that any requests made through the generic email address are redirected to the data</w:t>
        <w:br/>
        <w:t>protection contact point and answered within the time limits provided for by the GDPR. Moreover,</w:t>
        <w:br/>
      </w:r>
      <w:r>
        <w:rPr>
          <w:rStyle w:val="CharStyle20"/>
          <w:i/>
          <w:iCs/>
          <w:color w:val="000000"/>
        </w:rPr>
        <w:t>"the controller is not entitled to extend the period for responding to a request, merely because the</w:t>
        <w:br/>
        <w:t>data subject has sent a request to the controller’s general e-mail address, not the controller's data</w:t>
        <w:br/>
        <w:t>protection contact point e-mail address</w:t>
      </w:r>
      <w:r>
        <w:rPr>
          <w:rStyle w:val="CharStyle20"/>
          <w:color w:val="000000"/>
        </w:rPr>
        <w:t xml:space="preserve"> ” [emphasis has been added].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06" w:val="left"/>
        </w:tabs>
        <w:bidi w:val="0"/>
        <w:spacing w:before="0"/>
        <w:ind w:left="1260" w:right="0" w:hanging="300"/>
        <w:jc w:val="both"/>
      </w:pPr>
      <w:r>
        <w:rPr>
          <w:rStyle w:val="CharStyle20"/>
          <w:color w:val="000000"/>
        </w:rPr>
        <w:t>In this respect, the Commissioner noted that even though the complainant did not submit the subject</w:t>
        <w:br/>
        <w:t xml:space="preserve">access request to the email address provided on the </w:t>
      </w:r>
      <w:r>
        <w:rPr>
          <w:rStyle w:val="CharStyle20"/>
          <w:i/>
          <w:iCs/>
          <w:color w:val="000000"/>
        </w:rPr>
        <w:t>'Data Protection Policy ’</w:t>
      </w:r>
      <w:r>
        <w:rPr>
          <w:rStyle w:val="CharStyle20"/>
          <w:color w:val="000000"/>
        </w:rPr>
        <w:t xml:space="preserve"> available on its</w:t>
        <w:br/>
        <w:t>website, but rather exercised her right by means of an email sent to the^^’s Therapists, it is still</w:t>
        <w:br/>
        <w:t>considered to be an effective request, as it was submitted to employees who dealt with the</w:t>
        <w:br/>
        <w:t>complainant’s minor’s affairs on a daily basis. Therefore, the Commissioner established that the</w:t>
        <w:br/>
        <w:t>date when the complainant exercised the right to access personal data on behalf of her minor son</w:t>
        <w:br/>
        <w:t>with the ^|was indeed the 24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May 2022.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0" w:right="0" w:firstLine="600"/>
        <w:jc w:val="left"/>
      </w:pPr>
      <w:r>
        <w:rPr>
          <w:rStyle w:val="CharStyle20"/>
          <w:color w:val="000000"/>
          <w:u w:val="single"/>
        </w:rPr>
        <w:t>The Complainant’s Subject Access Request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06" w:val="left"/>
        </w:tabs>
        <w:bidi w:val="0"/>
        <w:spacing w:before="0" w:after="360"/>
        <w:ind w:left="1260" w:right="0" w:hanging="300"/>
        <w:jc w:val="both"/>
        <w:sectPr>
          <w:footnotePr>
            <w:pos w:val="pageBottom"/>
            <w:numFmt w:val="decimal"/>
            <w:numStart w:val="6"/>
            <w:numRestart w:val="continuous"/>
            <w15:footnoteColumns w:val="1"/>
          </w:footnotePr>
          <w:pgSz w:w="12240" w:h="18720"/>
          <w:pgMar w:top="1876" w:right="1840" w:bottom="2334" w:left="1189" w:header="1448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color w:val="000000"/>
        </w:rPr>
        <w:t>Within this context, the Commissioner examined article 15 of the Regulation which gives the data</w:t>
        <w:br/>
        <w:t>subjects, the right to obtain from the controller confirmation, as to whether or not personal data</w:t>
        <w:br/>
        <w:t>concerning him or her, are being processed, and, where that is the case, access to the personal data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bookmarkStart w:id="30" w:name="bookmark30"/>
      <w:r>
        <w:rPr>
          <w:rStyle w:val="CharStyle9"/>
        </w:rPr>
        <w:t>idpc</w:t>
      </w:r>
      <w:bookmarkEnd w:id="30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/>
        <w:jc w:val="both"/>
      </w:pPr>
      <w:r>
        <w:rPr>
          <w:rStyle w:val="CharStyle26"/>
          <w:b/>
          <w:bCs/>
          <w:color w:val="1A3060"/>
        </w:rPr>
        <w:t xml:space="preserve">■ </w:t>
      </w:r>
      <w:r>
        <w:rPr>
          <w:rStyle w:val="CharStyle26"/>
          <w:b/>
          <w:bCs/>
        </w:rPr>
        <w:t>&gt;Wl ^SW.-XMI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1300" w:right="0" w:firstLine="20"/>
        <w:jc w:val="both"/>
      </w:pPr>
      <w:r>
        <w:rPr>
          <w:rStyle w:val="CharStyle20"/>
        </w:rPr>
        <w:t>and to the information listed in article 15(1) of the Regulation. Furthermore, the controller has the</w:t>
        <w:br/>
        <w:t>obligation to provide the data subject with a copy of all the personal data pertaining to the data</w:t>
        <w:br/>
        <w:t>subject undergoing processing, without affecting the rights and freedoms of others.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70" w:val="left"/>
        </w:tabs>
        <w:bidi w:val="0"/>
        <w:spacing w:before="0" w:after="260"/>
        <w:ind w:left="1300" w:right="0" w:hanging="300"/>
        <w:jc w:val="both"/>
      </w:pPr>
      <w:r>
        <w:rPr>
          <w:rStyle w:val="CharStyle20"/>
        </w:rPr>
        <w:t>Having considered that the right to access one’s own data is not only acknowledged under article</w:t>
        <w:br/>
        <w:t>15 of the Regulation, but it is also set out as an element of the fundamental right to the protection</w:t>
        <w:br/>
        <w:t>of personal data, recognised by article 8(1) of the Charter of Fundamental Rights of the European</w:t>
        <w:br/>
        <w:t>Union</w:t>
      </w:r>
      <w:r>
        <w:rPr>
          <w:rStyle w:val="CharStyle20"/>
          <w:vertAlign w:val="superscript"/>
        </w:rPr>
        <w:t>14</w:t>
      </w:r>
      <w:r>
        <w:rPr>
          <w:rStyle w:val="CharStyle20"/>
        </w:rPr>
        <w:t>. Within this context, the rights of the data subjects as laid down in articles 12 to 22 of the</w:t>
        <w:br/>
        <w:t>Regulation, are the fulcrum and the basis of the law, and their role is crucial to ensure effective and</w:t>
        <w:br/>
        <w:t>comprehensive protection of the personal data processed by controllers.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70" w:val="left"/>
        </w:tabs>
        <w:bidi w:val="0"/>
        <w:spacing w:before="0" w:after="380" w:line="374" w:lineRule="auto"/>
        <w:ind w:left="1300" w:right="0" w:hanging="300"/>
        <w:jc w:val="both"/>
      </w:pPr>
      <w:r>
        <w:rPr>
          <w:rStyle w:val="CharStyle20"/>
        </w:rPr>
        <w:t>Having noted the importance attributed to the right of access as a component of the fundamental</w:t>
        <w:br/>
        <w:t>right to data protection as enshrined in the Charter, particularly article 8(2) which specifically</w:t>
        <w:br/>
        <w:t>provides that everyone has the right of access to data which has been collected by the controller.</w:t>
        <w:br/>
        <w:t>Additionally, the right of access is framed within the objectives of data protection law and more</w:t>
        <w:br/>
        <w:t xml:space="preserve">specifically, the protection of </w:t>
      </w:r>
      <w:r>
        <w:rPr>
          <w:rStyle w:val="CharStyle20"/>
          <w:i/>
          <w:iCs/>
        </w:rPr>
        <w:t>“fundamental rights and freedoms of natural persons and in</w:t>
        <w:br/>
        <w:t>particular their right to the protection of personal data’’,</w:t>
      </w:r>
      <w:r>
        <w:rPr>
          <w:rStyle w:val="CharStyle20"/>
        </w:rPr>
        <w:t xml:space="preserve"> as articulated by article 1(2) of the</w:t>
        <w:br/>
        <w:t>Regulation.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70" w:val="left"/>
        </w:tabs>
        <w:bidi w:val="0"/>
        <w:spacing w:before="0"/>
        <w:ind w:left="1300" w:right="0" w:hanging="300"/>
        <w:jc w:val="both"/>
      </w:pPr>
      <w:r>
        <w:rPr>
          <w:rStyle w:val="CharStyle20"/>
        </w:rPr>
        <w:t>Having considered the right’s fundamental role to ensure transparency and facilitate control, its</w:t>
        <w:br/>
        <w:t>specific inclusion in the Charter, and its historical significance, the right to access one’s own</w:t>
        <w:br/>
        <w:t>personal data is part of the essence of the right to the protection of personal data, and any measure</w:t>
        <w:br/>
        <w:t>tempering with the existence of the right of access touches the very essence of the protection which</w:t>
        <w:br/>
        <w:t>both the Charter and the Regulation seek to achieve.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70" w:val="left"/>
        </w:tabs>
        <w:bidi w:val="0"/>
        <w:spacing w:before="0" w:after="540"/>
        <w:ind w:left="1300" w:right="0" w:hanging="300"/>
        <w:jc w:val="both"/>
      </w:pPr>
      <w:r>
        <w:rPr>
          <w:rStyle w:val="CharStyle20"/>
        </w:rPr>
        <w:t xml:space="preserve">Having considered the ruling of the CJEU which stated that </w:t>
      </w:r>
      <w:r>
        <w:rPr>
          <w:rStyle w:val="CharStyle20"/>
          <w:i/>
          <w:iCs/>
        </w:rPr>
        <w:t>“Article 12(a) of Directive 95/46 and</w:t>
        <w:br/>
        <w:t>Article 8(2) of the Charter of Fundamental Rights of the European Union must be interpreted as</w:t>
        <w:br/>
        <w:t>meaning that an applicant for a residence permit has a right of access to all personal data</w:t>
        <w:br/>
        <w:t>concerning him which are processed by the national administrative authorities within the meaning</w:t>
        <w:br/>
        <w:t>of Article 2(b) of that directive. For that right to be complied with, it is sufficient that the applicant</w:t>
        <w:br/>
        <w:t>be in possession of a full summary of those data in an intelligible form, that is to say a form which</w:t>
        <w:br/>
        <w:t>allows that applicant to become aware of those data and to check that they are accurate and</w:t>
        <w:br/>
        <w:t>processed in compliance with that directive, so that he may, where relevant, exercise the rights</w:t>
        <w:br/>
        <w:t>conferred on him by that directive”</w:t>
      </w:r>
      <w:r>
        <w:rPr>
          <w:rStyle w:val="CharStyle20"/>
          <w:i/>
          <w:iCs/>
          <w:vertAlign w:val="superscript"/>
        </w:rPr>
        <w:t>15</w:t>
      </w:r>
      <w:r>
        <w:rPr>
          <w:rStyle w:val="CharStyle20"/>
        </w:rPr>
        <w:t xml:space="preserve"> [emphasis has been added].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660" w:right="0" w:firstLine="0"/>
        <w:jc w:val="both"/>
      </w:pPr>
      <w:r>
        <w:rPr>
          <w:rStyle w:val="CharStyle20"/>
          <w:vertAlign w:val="superscript"/>
        </w:rPr>
        <w:t>14</w:t>
      </w:r>
      <w:r>
        <w:rPr>
          <w:rStyle w:val="CharStyle20"/>
        </w:rPr>
        <w:t xml:space="preserve"> Charter of Fundamental Rights of The European Union, 2012/C 326/02, published in the Official Journal of the</w:t>
        <w:br/>
        <w:t>European Union C 326/391 of 26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October 2012.</w:t>
      </w:r>
      <w:r>
        <w:br w:type="page"/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bookmarkStart w:id="32" w:name="bookmark32"/>
      <w:r>
        <w:rPr>
          <w:rStyle w:val="CharStyle9"/>
        </w:rPr>
        <w:t>idpc.</w:t>
      </w:r>
      <w:bookmarkEnd w:id="32"/>
    </w:p>
    <w:p>
      <w:pPr>
        <w:pStyle w:val="Style4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rStyle w:val="CharStyle46"/>
          <w:rFonts w:ascii="Arial" w:eastAsia="Arial" w:hAnsi="Arial" w:cs="Arial"/>
          <w:b/>
          <w:bCs/>
          <w:color w:val="1A3060"/>
          <w:sz w:val="8"/>
          <w:szCs w:val="8"/>
        </w:rPr>
        <w:t xml:space="preserve">■ </w:t>
      </w:r>
      <w:r>
        <w:rPr>
          <w:rStyle w:val="CharStyle46"/>
          <w:rFonts w:ascii="Arial" w:eastAsia="Arial" w:hAnsi="Arial" w:cs="Arial"/>
          <w:b/>
          <w:bCs/>
          <w:sz w:val="8"/>
          <w:szCs w:val="8"/>
        </w:rPr>
        <w:t xml:space="preserve">•'r- at </w:t>
      </w:r>
      <w:r>
        <w:rPr>
          <w:rStyle w:val="CharStyle46"/>
          <w:i/>
          <w:iCs/>
        </w:rPr>
        <w:t>**»'rn**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06" w:val="left"/>
        </w:tabs>
        <w:bidi w:val="0"/>
        <w:spacing w:before="0"/>
        <w:ind w:left="1240" w:right="0" w:hanging="300"/>
        <w:jc w:val="both"/>
      </w:pPr>
      <w:r>
        <w:rPr>
          <w:rStyle w:val="CharStyle20"/>
        </w:rPr>
        <w:t>In particular this right’s special feature is derived from the fact that it is a mean, a prerequisite or a</w:t>
        <w:br/>
        <w:t>condition to enable data subjects to exercise control over their personal data, and consequently</w:t>
        <w:br/>
        <w:t>exercise other data subject rights, such as the right to erasure or rectification, as the case may be.</w:t>
        <w:br/>
        <w:t xml:space="preserve">The CJEU in the judgment </w:t>
      </w:r>
      <w:r>
        <w:rPr>
          <w:rStyle w:val="CharStyle20"/>
          <w:i/>
          <w:iCs/>
        </w:rPr>
        <w:t>‘Peter Nowak vs Data Protection Commissioner</w:t>
      </w:r>
      <w:r>
        <w:rPr>
          <w:rStyle w:val="CharStyle20"/>
        </w:rPr>
        <w:t xml:space="preserve"> ’</w:t>
      </w:r>
      <w:r>
        <w:rPr>
          <w:rStyle w:val="CharStyle20"/>
          <w:vertAlign w:val="superscript"/>
        </w:rPr>
        <w:footnoteReference w:id="10"/>
      </w:r>
      <w:r>
        <w:rPr>
          <w:rStyle w:val="CharStyle20"/>
        </w:rPr>
        <w:t xml:space="preserve"> held that </w:t>
      </w:r>
      <w:r>
        <w:rPr>
          <w:rStyle w:val="CharStyle20"/>
          <w:i/>
          <w:iCs/>
        </w:rPr>
        <w:t>rit must be</w:t>
        <w:br/>
        <w:t>recalled that the protection of the fundamental right to respect for private life means, inter alia, that</w:t>
        <w:br/>
        <w:t>any individual may be certain that the personal data relating to him is correct and that it is</w:t>
        <w:br/>
        <w:t>processed in a lawful manner. As is apparent from recital 41 of Directive 95/46, it is in order to be</w:t>
        <w:br/>
        <w:t>in a position to carry out the necessary checks that the data subject has, under Article 12(a) of the</w:t>
        <w:br/>
        <w:t>directive, a right of access to the data relating to him which is being processed. That right of access</w:t>
        <w:br/>
        <w:t>is necessary, inter alia, to enable the data subject to obtain, depending on the circumstances, the</w:t>
        <w:br/>
        <w:t>rectification, erasure or blocking of his data by the data controller and consequently to exercise the</w:t>
        <w:br/>
        <w:t>right set out in Article 12(b) of that directive ”.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06" w:val="left"/>
        </w:tabs>
        <w:bidi w:val="0"/>
        <w:spacing w:before="0" w:after="260" w:line="372" w:lineRule="auto"/>
        <w:ind w:left="1240" w:right="0" w:hanging="300"/>
        <w:jc w:val="both"/>
      </w:pPr>
      <w:r>
        <w:rPr>
          <w:rStyle w:val="CharStyle20"/>
        </w:rPr>
        <w:t>The right of access as enshrined in article 15 of the Regulation contains (3) components: (i)</w:t>
        <w:br/>
        <w:t>confirmation of the processing of personal data; (ii) information about the processing itself, and (iii)</w:t>
        <w:br/>
        <w:t>access to a copy of the personal data undergoing processing.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06" w:val="left"/>
        </w:tabs>
        <w:bidi w:val="0"/>
        <w:spacing w:before="0" w:after="260"/>
        <w:ind w:left="1240" w:right="0" w:hanging="300"/>
        <w:jc w:val="both"/>
      </w:pPr>
      <w:r>
        <w:rPr>
          <w:rStyle w:val="CharStyle20"/>
        </w:rPr>
        <w:t>Having assessed the wording of article 15(1) of the Regulation, which enables the data subject to</w:t>
        <w:br/>
      </w:r>
      <w:r>
        <w:rPr>
          <w:rStyle w:val="CharStyle20"/>
          <w:i/>
          <w:iCs/>
        </w:rPr>
        <w:t>“obtain from the controller confirmation as to whether or not personal data concerning him or</w:t>
        <w:br/>
        <w:t>her are being processed and, where that is the case, access to the personal data ",</w:t>
      </w:r>
      <w:r>
        <w:rPr>
          <w:rStyle w:val="CharStyle20"/>
        </w:rPr>
        <w:t xml:space="preserve"> as well as other</w:t>
        <w:br/>
        <w:t>supplementary information pursuant to article 15(l)(a) to (h) of the Regulation. Further to this,</w:t>
        <w:br/>
        <w:t xml:space="preserve">article 15(3) of the Regulation, which is more prescriptive, states that </w:t>
      </w:r>
      <w:r>
        <w:rPr>
          <w:rStyle w:val="CharStyle20"/>
          <w:i/>
          <w:iCs/>
        </w:rPr>
        <w:t>“the controller shall provide</w:t>
        <w:br/>
        <w:t>a copy of the personal data undergoing processing"</w:t>
      </w:r>
      <w:r>
        <w:rPr>
          <w:rStyle w:val="CharStyle20"/>
        </w:rPr>
        <w:t xml:space="preserve"> [emphasis has been added],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10" w:val="left"/>
        </w:tabs>
        <w:bidi w:val="0"/>
        <w:spacing w:before="0" w:after="300"/>
        <w:ind w:left="1240" w:right="0" w:hanging="300"/>
        <w:jc w:val="both"/>
        <w:sectPr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2240" w:h="18720"/>
          <w:pgMar w:top="1813" w:right="1827" w:bottom="2519" w:left="1198" w:header="1385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 xml:space="preserve">Having examined article 12(3) of the Regulation, which obliges the controller to </w:t>
      </w:r>
      <w:r>
        <w:rPr>
          <w:rStyle w:val="CharStyle20"/>
          <w:i/>
          <w:iCs/>
        </w:rPr>
        <w:t>“provide</w:t>
        <w:br/>
        <w:t>information on action taken on a request under Articles 15 to 22 to the data subject without undue</w:t>
        <w:br/>
        <w:t>delay and in any event within one month of receipt of the request",</w:t>
      </w:r>
      <w:r>
        <w:rPr>
          <w:rStyle w:val="CharStyle20"/>
        </w:rPr>
        <w:t xml:space="preserve"> and recital 59 of the Regulation,</w:t>
        <w:br/>
        <w:t xml:space="preserve">setting out that </w:t>
      </w:r>
      <w:r>
        <w:rPr>
          <w:rStyle w:val="CharStyle20"/>
          <w:i/>
          <w:iCs/>
        </w:rPr>
        <w:t>“[t]he controller should be obliged to respond to requests from the data subject</w:t>
        <w:br/>
        <w:t>without undue delay and at the latest within one month and to give reasons where the controller</w:t>
        <w:br/>
        <w:t>does not intend to comply with any such requests”</w:t>
      </w:r>
      <w:r>
        <w:rPr>
          <w:rStyle w:val="CharStyle20"/>
        </w:rPr>
        <w:t xml:space="preserve"> Additionally, article 12(3) of the Regulation</w:t>
        <w:br/>
        <w:t xml:space="preserve">stipulates that </w:t>
      </w:r>
      <w:r>
        <w:rPr>
          <w:rStyle w:val="CharStyle20"/>
          <w:i/>
          <w:iCs/>
        </w:rPr>
        <w:t>“[t]he controller shall provide information on action taken on a request under</w:t>
        <w:br/>
        <w:t>Articles 15 to 22 to the data subject without undue delay and in any event within one month of</w:t>
        <w:br/>
        <w:t>receipt ofthe request. That period may be extended by two further months where necessary, taking</w:t>
        <w:br/>
        <w:t>into account the complexity and number of the request. The controller shall inform the data</w:t>
        <w:br/>
        <w:t>subject ofany such extension within one month ofreceipt of the request, together with the reasons</w:t>
        <w:br/>
        <w:t>for the delay [...]”</w:t>
      </w:r>
      <w:r>
        <w:rPr>
          <w:rStyle w:val="CharStyle20"/>
        </w:rPr>
        <w:t xml:space="preserve"> [emphasis has been added].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90" w:val="left"/>
        </w:tabs>
        <w:bidi w:val="0"/>
        <w:spacing w:before="0"/>
        <w:ind w:left="1240" w:right="0" w:hanging="320"/>
        <w:jc w:val="both"/>
      </w:pPr>
      <w:r>
        <w:rPr>
          <w:rStyle w:val="CharStyle20"/>
        </w:rPr>
        <w:t>The Regulation provides the controller with the opportunity to extend the one-month deadline to</w:t>
        <w:br/>
        <w:t>comply with a request for access to personal data, but at the same time, it rules that the same</w:t>
        <w:br/>
        <w:t>controller informs the data subject of such extension, also indicating the reasons for the delay. In</w:t>
        <w:br/>
        <w:t>this case, while the initial date was considered, the |^|’s failure to provide the requested</w:t>
        <w:br/>
        <w:t>information within the one-month deadline, without an appropriate explanation or extension, is</w:t>
        <w:br/>
        <w:t>considered to be an infringement of the provisions of the Regulation.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90" w:val="left"/>
        </w:tabs>
        <w:bidi w:val="0"/>
        <w:spacing w:before="0" w:line="374" w:lineRule="auto"/>
        <w:ind w:left="1240" w:right="0" w:hanging="320"/>
        <w:jc w:val="both"/>
      </w:pPr>
      <w:r>
        <w:rPr>
          <w:rStyle w:val="CharStyle20"/>
        </w:rPr>
        <w:t>In this connection, article 12 of the Regulation ensures that substantive rights of data subjects are</w:t>
        <w:br/>
        <w:t>safeguarded by establishing clear, proportionate and effective conditions as to how and when data</w:t>
        <w:br/>
        <w:t>subjects shall exercise their rights. In this regard, article 12 of the Regulation provides the modalities</w:t>
        <w:br/>
      </w:r>
      <w:r>
        <w:rPr>
          <w:rStyle w:val="CharStyle20"/>
          <w:b/>
          <w:bCs/>
        </w:rPr>
        <w:t>for the exercise of the data subjects’ rights and establishes an obligation upon the controller to</w:t>
        <w:br/>
      </w:r>
      <w:r>
        <w:rPr>
          <w:rStyle w:val="CharStyle20"/>
        </w:rPr>
        <w:t>facilitate the exercise of these rights.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374" w:lineRule="auto"/>
        <w:ind w:left="0" w:right="0" w:firstLine="600"/>
        <w:jc w:val="both"/>
      </w:pPr>
      <w:r>
        <w:rPr>
          <w:rStyle w:val="CharStyle20"/>
          <w:u w:val="single"/>
        </w:rPr>
        <w:t>Access was not facilitated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86" w:val="left"/>
        </w:tabs>
        <w:bidi w:val="0"/>
        <w:spacing w:before="0" w:line="374" w:lineRule="auto"/>
        <w:ind w:left="1240" w:right="0" w:hanging="320"/>
        <w:jc w:val="both"/>
      </w:pPr>
      <w:r>
        <w:rPr>
          <w:rStyle w:val="CharStyle20"/>
        </w:rPr>
        <w:t>Article 12(1) of the Regulation specifies that controllers must provide individuals with information</w:t>
        <w:br/>
        <w:t>regarding the processing of their personal data in writing, or by other means, including electronic</w:t>
        <w:br/>
        <w:t>means where appropriate. Furthermore, article 15(3) of the Regulation states that where the data</w:t>
        <w:br/>
        <w:t>subject makes the request by electronic means, and unless otherwise requested by the data subject,</w:t>
        <w:br/>
        <w:t>the information shall be provided in a commonly used electronic form.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90" w:val="left"/>
        </w:tabs>
        <w:bidi w:val="0"/>
        <w:spacing w:before="0" w:line="374" w:lineRule="auto"/>
        <w:ind w:left="1240" w:right="0" w:hanging="320"/>
        <w:jc w:val="both"/>
      </w:pPr>
      <w:r>
        <w:rPr>
          <w:rStyle w:val="CharStyle20"/>
        </w:rPr>
        <w:t>The Commissioner took into consideration the Guidelines 01/2022</w:t>
      </w:r>
      <w:r>
        <w:rPr>
          <w:rStyle w:val="CharStyle20"/>
          <w:vertAlign w:val="superscript"/>
        </w:rPr>
        <w:t>/7</w:t>
      </w:r>
      <w:r>
        <w:rPr>
          <w:rStyle w:val="CharStyle20"/>
        </w:rPr>
        <w:t xml:space="preserve">, stating that </w:t>
      </w:r>
      <w:r>
        <w:rPr>
          <w:rStyle w:val="CharStyle20"/>
          <w:i/>
          <w:iCs/>
        </w:rPr>
        <w:t>“in some</w:t>
        <w:br/>
        <w:t>circumstances it could be appropriate for the controller to provide access through other ways than</w:t>
        <w:br/>
        <w:t>providing a copy. Such non-permanent modalities of access to the data could be, for example: oral</w:t>
        <w:br/>
        <w:t>information, inspection of files, onsite or remote access without possibility to download. These</w:t>
        <w:br/>
        <w:t>modalities may be appropriate ways of granting access for example in cases where it is in the</w:t>
        <w:br/>
        <w:t>interest of the data subject or the data subject asks for it ”.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860"/>
        <w:jc w:val="both"/>
      </w:pPr>
      <w:r>
        <w:rPr>
          <w:rStyle w:val="CharStyle20"/>
          <w:b/>
          <w:bCs/>
        </w:rPr>
        <w:t>J</w:t>
      </w:r>
      <w:r>
        <w:rPr>
          <w:rStyle w:val="CharStyle20"/>
          <w:b/>
          <w:bCs/>
          <w:u w:val="single"/>
        </w:rPr>
        <w:t xml:space="preserve">'s </w:t>
      </w:r>
      <w:r>
        <w:rPr>
          <w:rStyle w:val="CharStyle20"/>
          <w:i/>
          <w:iCs/>
          <w:u w:val="single"/>
        </w:rPr>
        <w:t>Data Protection Policy'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86" w:val="left"/>
        </w:tabs>
        <w:bidi w:val="0"/>
        <w:spacing w:before="0"/>
        <w:ind w:left="1240" w:right="0" w:hanging="320"/>
        <w:jc w:val="both"/>
      </w:pPr>
      <w:r>
        <w:rPr>
          <w:rStyle w:val="CharStyle20"/>
        </w:rPr>
        <w:t xml:space="preserve">In her submissions, the complainant noted that the ^J’s </w:t>
      </w:r>
      <w:r>
        <w:rPr>
          <w:rStyle w:val="CharStyle20"/>
          <w:i/>
          <w:iCs/>
        </w:rPr>
        <w:t>‘Data Protection Policy’</w:t>
      </w:r>
      <w:r>
        <w:rPr>
          <w:rStyle w:val="CharStyle20"/>
        </w:rPr>
        <w:t xml:space="preserve"> was very</w:t>
        <w:br/>
        <w:t>difficult to locate, thus running contrary to article 12(1) of the Regulation. In order to sustain her</w:t>
        <w:br/>
        <w:t xml:space="preserve">claim, the complainant further added that </w:t>
      </w:r>
      <w:r>
        <w:rPr>
          <w:rStyle w:val="CharStyle20"/>
          <w:i/>
          <w:iCs/>
        </w:rPr>
        <w:t>“we identified a number of shortcomings which,</w:t>
        <w:br/>
        <w:t>unfortunately, leave the data subject unclear as to the main information that a privacy policy should</w:t>
        <w:br/>
        <w:t>provide transparency on, and this a outlined in Article 13, 14 ad 15 of the GDPR ”.</w:t>
      </w:r>
      <w:r>
        <w:br w:type="page"/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4" w:name="bookmark34"/>
      <w:r>
        <w:rPr>
          <w:rStyle w:val="CharStyle9"/>
        </w:rPr>
        <w:t>idpc.</w:t>
      </w:r>
      <w:bookmarkEnd w:id="34"/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80"/>
        <w:jc w:val="left"/>
      </w:pPr>
      <w:r>
        <w:rPr>
          <w:rStyle w:val="CharStyle15"/>
          <w:color w:val="1A3060"/>
        </w:rPr>
        <w:t xml:space="preserve">■ </w:t>
      </w:r>
      <w:r>
        <w:rPr>
          <w:rStyle w:val="CharStyle15"/>
        </w:rPr>
        <w:t>'•r&gt;rrw»*i‘'j»«T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70" w:val="left"/>
        </w:tabs>
        <w:bidi w:val="0"/>
        <w:spacing w:before="0" w:after="120" w:line="240" w:lineRule="auto"/>
        <w:ind w:left="0" w:right="0" w:firstLine="900"/>
        <w:jc w:val="both"/>
      </w:pPr>
      <w:r>
        <w:rPr>
          <w:rStyle w:val="CharStyle20"/>
        </w:rPr>
        <w:t>During the course of the investigation, the Commissioner observed that the controller’s website</w:t>
      </w:r>
    </w:p>
    <w:p>
      <w:pPr>
        <w:widowControl w:val="0"/>
        <w:jc w:val="right"/>
        <w:rPr>
          <w:sz w:val="2"/>
          <w:szCs w:val="2"/>
        </w:rPr>
      </w:pPr>
      <w:r>
        <w:drawing>
          <wp:inline>
            <wp:extent cx="4395470" cy="182880"/>
            <wp:docPr id="67" name="Picutre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439547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"/>
        <w:keepNext/>
        <w:keepLines/>
        <w:widowControl w:val="0"/>
        <w:shd w:val="clear" w:color="auto" w:fill="auto"/>
        <w:bidi w:val="0"/>
        <w:spacing w:before="0" w:after="460" w:line="240" w:lineRule="auto"/>
        <w:ind w:left="1220" w:right="0" w:firstLine="0"/>
        <w:jc w:val="left"/>
      </w:pPr>
      <w:bookmarkStart w:id="36" w:name="bookmark36"/>
      <w:r>
        <w:rPr>
          <w:rStyle w:val="CharStyle18"/>
          <w:b/>
          <w:bCs/>
          <w:color w:val="2B2B2B"/>
        </w:rPr>
        <w:t>(the “website”).</w:t>
      </w:r>
      <w:bookmarkEnd w:id="36"/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66" w:val="left"/>
        </w:tabs>
        <w:bidi w:val="0"/>
        <w:spacing w:before="0" w:after="260"/>
        <w:ind w:left="1220" w:right="0" w:hanging="320"/>
        <w:jc w:val="both"/>
      </w:pPr>
      <w:r>
        <w:rPr>
          <w:rStyle w:val="CharStyle20"/>
        </w:rPr>
        <w:t>One of the key principles of processing personal data is transparency, which is intrinsically linked</w:t>
        <w:br/>
        <w:t>to the principles of lawfulness and fairness. Altogether, this principle is laid down in article 5(l)(a)</w:t>
        <w:br/>
        <w:t xml:space="preserve">of the Regulation, which provision provides that personal data shall be </w:t>
      </w:r>
      <w:r>
        <w:rPr>
          <w:rStyle w:val="CharStyle20"/>
          <w:i/>
          <w:iCs/>
        </w:rPr>
        <w:t>“processed lawfully, fairly</w:t>
        <w:br/>
        <w:t>and in a transparent manner in relation to the data subject”.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66" w:val="left"/>
        </w:tabs>
        <w:bidi w:val="0"/>
        <w:spacing w:before="0" w:line="374" w:lineRule="auto"/>
        <w:ind w:left="1220" w:right="0" w:hanging="320"/>
        <w:jc w:val="both"/>
      </w:pPr>
      <w:r>
        <w:rPr>
          <w:rStyle w:val="CharStyle20"/>
        </w:rPr>
        <w:t>The rationale behind the principle of transparency and the related provisions, particularly articles</w:t>
        <w:br/>
        <w:t xml:space="preserve">13 and 14 of the Regulation, is that the data subject shall be made aware, </w:t>
      </w:r>
      <w:r>
        <w:rPr>
          <w:rStyle w:val="CharStyle20"/>
          <w:i/>
          <w:iCs/>
        </w:rPr>
        <w:t>inter alia,</w:t>
      </w:r>
      <w:r>
        <w:rPr>
          <w:rStyle w:val="CharStyle20"/>
        </w:rPr>
        <w:t xml:space="preserve"> of the existence</w:t>
        <w:br/>
        <w:t>of the processing activity and be provided with certain essential information about the processing</w:t>
        <w:br/>
        <w:t>activity. In its Guidelines on Transparency under Regulation 2016/679</w:t>
      </w:r>
      <w:r>
        <w:rPr>
          <w:rStyle w:val="CharStyle20"/>
          <w:vertAlign w:val="superscript"/>
        </w:rPr>
        <w:footnoteReference w:id="11"/>
      </w:r>
      <w:r>
        <w:rPr>
          <w:rStyle w:val="CharStyle20"/>
        </w:rPr>
        <w:t>, the Article 29 Working</w:t>
        <w:br/>
        <w:t>Party specified that transparency is an overarching obligation, which is necessary to enable data</w:t>
        <w:br/>
        <w:t>subjects to exercise their data protection rights in terms of articles 15 to 22 of the Regulation. In one</w:t>
        <w:br/>
        <w:t>if its judgments</w:t>
      </w:r>
      <w:r>
        <w:rPr>
          <w:rStyle w:val="CharStyle20"/>
          <w:vertAlign w:val="superscript"/>
        </w:rPr>
        <w:footnoteReference w:id="12"/>
      </w:r>
      <w:r>
        <w:rPr>
          <w:rStyle w:val="CharStyle20"/>
        </w:rPr>
        <w:t xml:space="preserve">, the C JEU highlighted that the </w:t>
      </w:r>
      <w:r>
        <w:rPr>
          <w:rStyle w:val="CharStyle20"/>
          <w:i/>
          <w:iCs/>
        </w:rPr>
        <w:t>“requirement to inform the data subjects about the</w:t>
        <w:br/>
        <w:t>processing of their personal data is all the more important since it ajfects the exercise by the data</w:t>
        <w:br/>
        <w:t>subjects of their right ofaccess to, and right to rectify, the data being processed, set out in Article 12</w:t>
        <w:br/>
        <w:t>of Directive 95/46, and their right to object to the processing of those data, set out in Article 14 of</w:t>
        <w:br/>
        <w:t>that directive ”.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66" w:val="left"/>
        </w:tabs>
        <w:bidi w:val="0"/>
        <w:spacing w:before="0" w:after="260"/>
        <w:ind w:left="1220" w:right="0" w:hanging="320"/>
        <w:jc w:val="both"/>
      </w:pPr>
      <w:r>
        <w:rPr>
          <w:rStyle w:val="CharStyle20"/>
        </w:rPr>
        <w:t xml:space="preserve">The Article 29 Working Party additionally provides that the </w:t>
      </w:r>
      <w:r>
        <w:rPr>
          <w:rStyle w:val="CharStyle20"/>
          <w:i/>
          <w:iCs/>
        </w:rPr>
        <w:t>“concept of transparency in the GDPR</w:t>
        <w:br/>
        <w:t>is user-centric rather than legalistic and is realised by way of specific practical requirements on</w:t>
        <w:br/>
        <w:t>data controllers and processors in a number of articles. The practical (information) requirements</w:t>
        <w:br/>
        <w:t>are outlined in Articles 12 - 14 of the GDPR”</w:t>
      </w:r>
      <w:r>
        <w:rPr>
          <w:rStyle w:val="CharStyle20"/>
          <w:i/>
          <w:iCs/>
          <w:vertAlign w:val="superscript"/>
        </w:rPr>
        <w:footnoteReference w:id="13"/>
      </w:r>
      <w:r>
        <w:rPr>
          <w:rStyle w:val="CharStyle20"/>
        </w:rPr>
        <w:t xml:space="preserve"> [emphasis has been added]. The transparency</w:t>
        <w:br/>
        <w:t xml:space="preserve">principle is further articulated in recital 39 of the Regulation, which specifies that </w:t>
      </w:r>
      <w:r>
        <w:rPr>
          <w:rStyle w:val="CharStyle20"/>
          <w:i/>
          <w:iCs/>
        </w:rPr>
        <w:t>“it should be</w:t>
        <w:br/>
        <w:t>transparent to natural persons that personal data concerning them are collected, used, consulted</w:t>
        <w:br/>
        <w:t>or otherwise processed and to what extent the personal data are or will be processed. The principle</w:t>
        <w:br/>
        <w:t>of transparency requires that any information and communication relating to the processing of</w:t>
        <w:br/>
        <w:t>those personal data be easily accessible and easy to understand, and that clear and plain language</w:t>
        <w:br/>
        <w:t>be used”</w:t>
      </w:r>
      <w:r>
        <w:rPr>
          <w:rStyle w:val="CharStyle20"/>
        </w:rPr>
        <w:t xml:space="preserve"> [emphasis has been added].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70" w:val="left"/>
        </w:tabs>
        <w:bidi w:val="0"/>
        <w:spacing w:before="0" w:after="300" w:line="379" w:lineRule="auto"/>
        <w:ind w:left="1220" w:right="0" w:hanging="320"/>
        <w:jc w:val="both"/>
      </w:pPr>
      <w:r>
        <w:rPr>
          <w:rStyle w:val="CharStyle20"/>
        </w:rPr>
        <w:t>The Commissioner stresses that the controller should be held accountable in relation to the</w:t>
        <w:br/>
        <w:t>transparency of the processing of personal data, not only at the point of collection of personal data,</w:t>
      </w:r>
      <w:r>
        <w:br w:type="page"/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both"/>
      </w:pPr>
      <w:bookmarkStart w:id="38" w:name="bookmark38"/>
      <w:r>
        <w:rPr>
          <w:rStyle w:val="CharStyle9"/>
        </w:rPr>
        <w:t>idpc.</w:t>
      </w:r>
      <w:bookmarkEnd w:id="38"/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/>
        <w:ind w:left="1320" w:right="0" w:firstLine="20"/>
        <w:jc w:val="both"/>
      </w:pPr>
      <w:r>
        <w:rPr>
          <w:rStyle w:val="CharStyle20"/>
        </w:rPr>
        <w:t>but throughout the processing life cycle</w:t>
      </w:r>
      <w:r>
        <w:rPr>
          <w:rStyle w:val="CharStyle20"/>
          <w:vertAlign w:val="superscript"/>
        </w:rPr>
        <w:footnoteReference w:id="14"/>
      </w:r>
      <w:r>
        <w:rPr>
          <w:rStyle w:val="CharStyle20"/>
        </w:rPr>
        <w:t>. The Regulation explicitly articulates transparency as one</w:t>
        <w:br/>
        <w:t>of the principles of processing, which requires that personal data should be processed in a manner</w:t>
        <w:br/>
        <w:t>that is transparent to the data subjects. The principle of transparency is a fundamental condition for</w:t>
        <w:br/>
        <w:t>enabling data subjects to exercise control over their own personal data and to ensure effective</w:t>
        <w:br/>
        <w:t>protection of their personal data and exercise of their rights.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66" w:val="left"/>
        </w:tabs>
        <w:bidi w:val="0"/>
        <w:spacing w:before="0" w:line="374" w:lineRule="auto"/>
        <w:ind w:left="1320" w:right="0" w:hanging="320"/>
        <w:jc w:val="both"/>
      </w:pPr>
      <w:r>
        <w:rPr>
          <w:rStyle w:val="CharStyle20"/>
        </w:rPr>
        <w:t xml:space="preserve">For this purpose, article 12(1) of the Regulation provides that the </w:t>
      </w:r>
      <w:r>
        <w:rPr>
          <w:rStyle w:val="CharStyle20"/>
          <w:i/>
          <w:iCs/>
        </w:rPr>
        <w:t>"controller shall take appropriate</w:t>
        <w:br/>
        <w:t>measures to provide any information referred to in Articles 13 and 14... to the data subject in a</w:t>
        <w:br/>
        <w:t>concise, transparent, intelligible and easily accessible form, using clear and plain language".</w:t>
        <w:br/>
      </w:r>
      <w:r>
        <w:rPr>
          <w:rStyle w:val="CharStyle20"/>
        </w:rPr>
        <w:t>Furthermore, the Guidelines on Transparency under Regulation 2016/679 establish that the</w:t>
        <w:br/>
      </w:r>
      <w:r>
        <w:rPr>
          <w:rStyle w:val="CharStyle20"/>
          <w:i/>
          <w:iCs/>
        </w:rPr>
        <w:t>"information should be concrete and definitive; it should not be phrased in abstract or ambivalent</w:t>
        <w:br/>
        <w:t>terms or leave room for different interpretations. In particular the purposes of, and legal basis for,</w:t>
        <w:br/>
        <w:t>processing the personal data should be clear.</w:t>
      </w:r>
      <w:r>
        <w:rPr>
          <w:rStyle w:val="CharStyle20"/>
        </w:rPr>
        <w:t xml:space="preserve"> ” Therefore, in accordance with articles 13 and 14 of</w:t>
        <w:br/>
        <w:t>the Regulation, which stipulate that where personal data relating to a data subject are collected from</w:t>
        <w:br/>
        <w:t>the data subject and where personal data have not been obtained from the data subject, the controller</w:t>
        <w:br/>
        <w:t>should provide the data subject with certain information to ensure transparent processing. In fact,</w:t>
        <w:br/>
        <w:t>articles 13 and 14 of the Regulation provide for a predetermined set of elements that must be</w:t>
        <w:br/>
        <w:t xml:space="preserve">incorporated in the data protection policy, including </w:t>
      </w:r>
      <w:r>
        <w:rPr>
          <w:rStyle w:val="CharStyle20"/>
          <w:i/>
          <w:iCs/>
        </w:rPr>
        <w:t>inter alia,</w:t>
      </w:r>
      <w:r>
        <w:rPr>
          <w:rStyle w:val="CharStyle20"/>
        </w:rPr>
        <w:t xml:space="preserve"> the contact details of the controller</w:t>
        <w:br/>
        <w:t xml:space="preserve">and where applicable, of the controller’s representative, the contact details of the DPO </w:t>
      </w:r>
      <w:r>
        <w:rPr>
          <w:rStyle w:val="CharStyle20"/>
          <w:i/>
          <w:iCs/>
        </w:rPr>
        <w:t>(if any),</w:t>
      </w:r>
      <w:r>
        <w:rPr>
          <w:rStyle w:val="CharStyle20"/>
        </w:rPr>
        <w:t xml:space="preserve"> the</w:t>
        <w:br/>
        <w:t>purposes of the processing for which the personal data are intended as well as the legal basis for the</w:t>
        <w:br/>
        <w:t>processing and the categories of personal data involved.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66" w:val="left"/>
        </w:tabs>
        <w:bidi w:val="0"/>
        <w:spacing w:before="0" w:after="260"/>
        <w:ind w:left="1320" w:right="0" w:hanging="320"/>
        <w:jc w:val="both"/>
      </w:pPr>
      <w:r>
        <w:rPr>
          <w:rStyle w:val="CharStyle20"/>
        </w:rPr>
        <w:t>For the purpose, the Commissioner examined the WP29 Guidelines of Transparency under</w:t>
        <w:br/>
        <w:t>Regulation 2016/679</w:t>
      </w:r>
      <w:r>
        <w:rPr>
          <w:rStyle w:val="CharStyle20"/>
          <w:vertAlign w:val="superscript"/>
        </w:rPr>
        <w:footnoteReference w:id="15"/>
      </w:r>
      <w:r>
        <w:rPr>
          <w:rStyle w:val="CharStyle20"/>
        </w:rPr>
        <w:t xml:space="preserve">, which stipulate that </w:t>
      </w:r>
      <w:r>
        <w:rPr>
          <w:rStyle w:val="CharStyle20"/>
          <w:i/>
          <w:iCs/>
        </w:rPr>
        <w:t>“[ejvery organisation that maintains a website should</w:t>
        <w:br/>
        <w:t>publish a privacy statement/ notice on the website. A direct link to this privacy statement/ notice</w:t>
        <w:br/>
        <w:t>should be clearly visible on each page of this website under a commonly used term (such as</w:t>
        <w:br/>
        <w:t>“Privacy”, “Privacy Policy” or “Data Protection Notice”)</w:t>
      </w:r>
      <w:r>
        <w:rPr>
          <w:rStyle w:val="CharStyle20"/>
        </w:rPr>
        <w:t xml:space="preserve"> ”</w:t>
      </w:r>
      <w:r>
        <w:rPr>
          <w:rStyle w:val="CharStyle20"/>
          <w:vertAlign w:val="superscript"/>
        </w:rPr>
        <w:footnoteReference w:id="16"/>
      </w:r>
      <w:r>
        <w:rPr>
          <w:rStyle w:val="CharStyle20"/>
        </w:rPr>
        <w:t xml:space="preserve"> [emphasis has been added].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70" w:val="left"/>
        </w:tabs>
        <w:bidi w:val="0"/>
        <w:spacing w:before="0" w:after="300" w:line="379" w:lineRule="auto"/>
        <w:ind w:left="1320" w:right="0" w:hanging="320"/>
        <w:jc w:val="both"/>
        <w:sectPr>
          <w:headerReference w:type="default" r:id="rId33"/>
          <w:footerReference w:type="default" r:id="rId34"/>
          <w:headerReference w:type="even" r:id="rId35"/>
          <w:footerReference w:type="even" r:id="rId36"/>
          <w:headerReference w:type="first" r:id="rId37"/>
          <w:footerReference w:type="first" r:id="rId38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2240" w:h="18720"/>
          <w:pgMar w:top="1813" w:right="1827" w:bottom="2519" w:left="1198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20"/>
        </w:rPr>
        <w:t>Having considered article 13 and article 14 of the Regulation, which stipulate that where personal</w:t>
        <w:br/>
        <w:t>data relating to a data subject are collected from the data subject and where personal data have not</w:t>
        <w:br/>
        <w:t>been obtained from the data subject, the controller shall provide the data subject with certain</w:t>
        <w:br/>
        <w:t>information to ensure transparent processing.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10" w:val="left"/>
        </w:tabs>
        <w:bidi w:val="0"/>
        <w:spacing w:before="0" w:line="374" w:lineRule="auto"/>
        <w:ind w:left="1280" w:right="0" w:hanging="340"/>
        <w:jc w:val="both"/>
      </w:pPr>
      <w:r>
        <w:rPr>
          <w:rStyle w:val="CharStyle20"/>
          <w:color w:val="000000"/>
        </w:rPr>
        <w:t xml:space="preserve">After examining the contents of the </w:t>
      </w:r>
      <w:r>
        <w:rPr>
          <w:rStyle w:val="CharStyle20"/>
          <w:i/>
          <w:iCs/>
          <w:color w:val="000000"/>
        </w:rPr>
        <w:t>‘Data Protection Policy ’</w:t>
      </w:r>
      <w:r>
        <w:rPr>
          <w:rStyle w:val="CharStyle20"/>
          <w:color w:val="000000"/>
        </w:rPr>
        <w:t xml:space="preserve"> available on the^^^’s website</w:t>
      </w:r>
      <w:r>
        <w:rPr>
          <w:rStyle w:val="CharStyle20"/>
          <w:color w:val="000000"/>
          <w:vertAlign w:val="superscript"/>
        </w:rPr>
        <w:t>24</w:t>
      </w:r>
      <w:r>
        <w:rPr>
          <w:rStyle w:val="CharStyle20"/>
          <w:color w:val="000000"/>
        </w:rPr>
        <w:t>, the</w:t>
        <w:br/>
        <w:t>Commissioner concludes that the Policy does not contain all the minimum information which shall</w:t>
        <w:br/>
        <w:t>be provided to the data subjects, pursuant to article 13 and article 14 of the Regulation.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1100" w:right="0" w:firstLine="0"/>
        <w:jc w:val="both"/>
      </w:pPr>
      <w:r>
        <w:rPr>
          <w:rStyle w:val="CharStyle20"/>
          <w:color w:val="000000"/>
          <w:u w:val="single"/>
        </w:rPr>
        <w:t>'s Internal Data Protection Policies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15" w:val="left"/>
        </w:tabs>
        <w:bidi w:val="0"/>
        <w:spacing w:before="0" w:after="0" w:line="379" w:lineRule="auto"/>
        <w:ind w:left="1280" w:right="0" w:hanging="340"/>
        <w:jc w:val="both"/>
      </w:pPr>
      <w:r>
        <w:rPr>
          <w:rStyle w:val="CharStyle20"/>
          <w:color w:val="000000"/>
        </w:rPr>
        <w:t>The Commissioner referred to the reply provided by the ^Hon the 1</w:t>
      </w:r>
      <w:r>
        <w:rPr>
          <w:rStyle w:val="CharStyle20"/>
          <w:color w:val="000000"/>
          <w:vertAlign w:val="superscript"/>
        </w:rPr>
        <w:t>st</w:t>
      </w:r>
      <w:r>
        <w:rPr>
          <w:rStyle w:val="CharStyle20"/>
          <w:color w:val="000000"/>
        </w:rPr>
        <w:t xml:space="preserve"> March 2023, when it</w:t>
        <w:br/>
        <w:t xml:space="preserve">submitted a copy of the complete retention policy entitled </w:t>
      </w:r>
      <w:r>
        <w:rPr>
          <w:rStyle w:val="CharStyle20"/>
          <w:i/>
          <w:iCs/>
          <w:color w:val="000000"/>
        </w:rPr>
        <w:t>‘Policy Regulating Retention of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310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407" behindDoc="0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12700</wp:posOffset>
                </wp:positionV>
                <wp:extent cx="935990" cy="152400"/>
                <wp:wrapSquare wrapText="right"/>
                <wp:docPr id="76" name="Shape 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3599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  <w:i/>
                                <w:iCs/>
                                <w:color w:val="000000"/>
                              </w:rPr>
                              <w:t>Documentation in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2" type="#_x0000_t202" style="position:absolute;margin-left:123.60000000000001pt;margin-top:1.pt;width:73.700000000000003pt;height:12.pt;z-index:-125829346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  <w:i/>
                          <w:iCs/>
                          <w:color w:val="000000"/>
                        </w:rPr>
                        <w:t>Documentation in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409" behindDoc="0" locked="0" layoutInCell="1" allowOverlap="1">
                <wp:simplePos x="0" y="0"/>
                <wp:positionH relativeFrom="page">
                  <wp:posOffset>1567180</wp:posOffset>
                </wp:positionH>
                <wp:positionV relativeFrom="paragraph">
                  <wp:posOffset>215900</wp:posOffset>
                </wp:positionV>
                <wp:extent cx="191770" cy="152400"/>
                <wp:wrapSquare wrapText="right"/>
                <wp:docPr id="78" name="Shape 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1770" cy="152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0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4" type="#_x0000_t202" style="position:absolute;margin-left:123.40000000000001pt;margin-top:17.pt;width:15.1pt;height:12.pt;z-index:-12582934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0"/>
                          <w:color w:val="000000"/>
                        </w:rPr>
                        <w:t>the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20"/>
          <w:color w:val="000000"/>
        </w:rPr>
        <w:t>’, which was finalised and published on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220"/>
        <w:jc w:val="both"/>
      </w:pPr>
      <w:r>
        <w:rPr>
          <w:rStyle w:val="CharStyle20"/>
          <w:color w:val="000000"/>
        </w:rPr>
        <w:t>| website on the 10</w:t>
      </w:r>
      <w:r>
        <w:rPr>
          <w:rStyle w:val="CharStyle20"/>
          <w:color w:val="000000"/>
          <w:vertAlign w:val="superscript"/>
        </w:rPr>
        <w:t>th</w:t>
      </w:r>
      <w:r>
        <w:rPr>
          <w:rStyle w:val="CharStyle20"/>
          <w:color w:val="000000"/>
        </w:rPr>
        <w:t xml:space="preserve"> November 2022, and the copy of the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10" w:val="left"/>
        </w:tabs>
        <w:bidi w:val="0"/>
        <w:spacing w:before="0" w:line="374" w:lineRule="auto"/>
        <w:ind w:left="1280" w:right="0" w:hanging="340"/>
        <w:jc w:val="both"/>
      </w:pPr>
      <w:r>
        <w:rPr>
          <w:rStyle w:val="CharStyle20"/>
          <w:color w:val="000000"/>
        </w:rPr>
        <w:t>In his assessment, the Commissioner noted that the controller did not have in place any internal</w:t>
        <w:br/>
        <w:t>policies and processes to implement relevant data protection requirements for the particular</w:t>
        <w:br/>
        <w:t>processing operations carried out by the which are binding on all employees handling</w:t>
        <w:br/>
        <w:t>personal data. These measures should be reflected in concrete practices and operationalised</w:t>
        <w:br/>
        <w:t>throughout the activities of the controller in order to reduce the risk of unauthorised access to</w:t>
        <w:br/>
        <w:t>personal data held by the controller. In fact, article 32(4) of the Regulation provides that the</w:t>
        <w:br/>
        <w:t xml:space="preserve">controller </w:t>
      </w:r>
      <w:r>
        <w:rPr>
          <w:rStyle w:val="CharStyle20"/>
          <w:i/>
          <w:iCs/>
          <w:color w:val="000000"/>
        </w:rPr>
        <w:t>"shall take steps to ensure that any natural person acting under the authority of the</w:t>
        <w:br/>
        <w:t>controller or the processor who has access to personal data does not process them except on</w:t>
        <w:br/>
        <w:t>instructions f-om the controller, unless he or she is required to do so by Union or Member State</w:t>
        <w:br/>
        <w:t>law”.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15" w:val="left"/>
        </w:tabs>
        <w:bidi w:val="0"/>
        <w:spacing w:before="0" w:after="420"/>
        <w:ind w:left="1280" w:right="0" w:hanging="340"/>
        <w:jc w:val="both"/>
        <w:sectPr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2240" w:h="18720"/>
          <w:pgMar w:top="3153" w:right="1838" w:bottom="3153" w:left="1186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  <w:color w:val="000000"/>
        </w:rPr>
        <w:t>Additionally, article 24(1) of the Regulation stipulates that, by virtue of the principle of</w:t>
        <w:br/>
        <w:t>accountability enshrined in the Regulation, the controller, taking into account the nature, scope,</w:t>
        <w:br/>
        <w:t>context and purposes of processing, as well as the risks of varying likelihood and severity for the</w:t>
        <w:br/>
        <w:t>rights and freedoms of natural persons, shall implement appropriate technical and organisational</w:t>
        <w:br/>
        <w:t>measures to ensure and be able to demonstrate that processing is performed in accordance with the</w:t>
        <w:br/>
        <w:t>same Regulation. This provision shall be read in combination with article 24(2) of the Regulation,</w:t>
        <w:br/>
        <w:t xml:space="preserve">which provides that </w:t>
      </w:r>
      <w:r>
        <w:rPr>
          <w:rStyle w:val="CharStyle20"/>
          <w:i/>
          <w:iCs/>
          <w:color w:val="000000"/>
        </w:rPr>
        <w:t>"[wjhere proportionate in relation to processing activities, the measures</w:t>
        <w:br/>
        <w:t>referred to in paragraph 1 shall include the implementation of appropriate data protection policies</w:t>
        <w:br/>
        <w:t>by the controller”</w:t>
      </w:r>
      <w:r>
        <w:rPr>
          <w:rStyle w:val="CharStyle20"/>
          <w:color w:val="000000"/>
        </w:rPr>
        <w:t xml:space="preserve"> [emphasis has been added].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1066800" cy="548640"/>
            <wp:docPr id="80" name="Picutre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ext cx="10668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30" w:val="left"/>
        </w:tabs>
        <w:bidi w:val="0"/>
        <w:spacing w:before="0"/>
        <w:ind w:left="1300" w:right="0" w:hanging="340"/>
        <w:jc w:val="both"/>
      </w:pPr>
      <w:r>
        <w:rPr>
          <w:rStyle w:val="CharStyle20"/>
        </w:rPr>
        <w:t>In one of its opinions</w:t>
      </w:r>
      <w:r>
        <w:rPr>
          <w:rStyle w:val="CharStyle20"/>
          <w:vertAlign w:val="superscript"/>
        </w:rPr>
        <w:footnoteReference w:id="17"/>
      </w:r>
      <w:r>
        <w:rPr>
          <w:rStyle w:val="CharStyle20"/>
        </w:rPr>
        <w:t>, the WP29 stressed the importance of having such data protection policies</w:t>
        <w:br/>
        <w:t>in place, pointing out that certain measures that controllers may take to comply with the</w:t>
        <w:br/>
        <w:t xml:space="preserve">accountability principle </w:t>
      </w:r>
      <w:r>
        <w:rPr>
          <w:rStyle w:val="CharStyle20"/>
          <w:i/>
          <w:iCs/>
        </w:rPr>
        <w:t>"[a]re 'staples' that will have to be implemented in most data processing</w:t>
        <w:br/>
        <w:t>operations. Drafting internal policies and procedures implementing the principles ”.</w:t>
      </w:r>
      <w:r>
        <w:rPr>
          <w:rStyle w:val="CharStyle20"/>
        </w:rPr>
        <w:t xml:space="preserve"> Accordingly,</w:t>
        <w:br/>
        <w:t>the controllers should not only ensure to have such policies in place, but also that such policies are</w:t>
        <w:br/>
        <w:t>aligned with the spirit and the scope of the Regulation. It is crucial for the controller to take active</w:t>
        <w:br/>
        <w:t>responsibility for ensuring compliance and develop an accountability culture at all levels of the</w:t>
        <w:br/>
        <w:t>department [emphasis has been added].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640"/>
        <w:jc w:val="both"/>
      </w:pPr>
      <w:r>
        <w:rPr>
          <w:rStyle w:val="CharStyle20"/>
          <w:u w:val="single"/>
        </w:rPr>
        <w:t>Training of employees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35" w:val="left"/>
        </w:tabs>
        <w:bidi w:val="0"/>
        <w:spacing w:before="0" w:line="374" w:lineRule="auto"/>
        <w:ind w:left="1300" w:right="0" w:hanging="340"/>
        <w:jc w:val="both"/>
      </w:pPr>
      <w:r>
        <w:rPr>
          <w:rStyle w:val="CharStyle20"/>
        </w:rPr>
        <w:t>On the 12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September 2022, the Commissioner made a specific request to the^^to confirm</w:t>
        <w:br/>
        <w:t>whether the employees in question had attended data protection training and to provide evidence of</w:t>
        <w:br/>
        <w:t>their attendance. However, when the ^^^replied on the 3</w:t>
      </w:r>
      <w:r>
        <w:rPr>
          <w:rStyle w:val="CharStyle20"/>
          <w:vertAlign w:val="superscript"/>
        </w:rPr>
        <w:t>rd</w:t>
      </w:r>
      <w:r>
        <w:rPr>
          <w:rStyle w:val="CharStyle20"/>
        </w:rPr>
        <w:t xml:space="preserve"> October 2022, the^| only provided</w:t>
        <w:br/>
        <w:t>the training certificate of the ^■Director, which was obtained on the 1</w:t>
      </w:r>
      <w:r>
        <w:rPr>
          <w:rStyle w:val="CharStyle20"/>
          <w:vertAlign w:val="superscript"/>
        </w:rPr>
        <w:t>st</w:t>
      </w:r>
      <w:r>
        <w:rPr>
          <w:rStyle w:val="CharStyle20"/>
        </w:rPr>
        <w:t xml:space="preserve"> June 2022. In his</w:t>
        <w:br/>
        <w:t>consideration, the Commissioner noted that not all employees in this particular case received the</w:t>
        <w:br/>
        <w:t>necessary training on data protection legislation despite being responsible for the handling of</w:t>
        <w:br/>
        <w:t>personal data, including special categories of personal data as part of her day-to-day duties.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35" w:val="left"/>
        </w:tabs>
        <w:bidi w:val="0"/>
        <w:spacing w:before="0"/>
        <w:ind w:left="1300" w:right="0" w:hanging="340"/>
        <w:jc w:val="both"/>
      </w:pPr>
      <w:r>
        <w:rPr>
          <w:rStyle w:val="CharStyle20"/>
        </w:rPr>
        <w:t>The controller should ensure that all the employees handling personal data are provided with and</w:t>
        <w:br/>
        <w:t>are required to attend initial and ongoing data protection training in order to foster a culture of data</w:t>
        <w:br/>
        <w:t>protection and raise awareness among the employees about their responsibilities. This is also in line</w:t>
        <w:br/>
        <w:t>with article 39(1 )(b) of the Regulation, which provides that the DPO shall provide training to</w:t>
        <w:br/>
        <w:t>personnel having permanent or regular access to personal data. The Article 29 Working Party</w:t>
      </w:r>
      <w:r>
        <w:rPr>
          <w:rStyle w:val="CharStyle20"/>
          <w:vertAlign w:val="superscript"/>
        </w:rPr>
        <w:footnoteReference w:id="18"/>
      </w:r>
      <w:r>
        <w:rPr>
          <w:rStyle w:val="CharStyle20"/>
          <w:vertAlign w:val="superscript"/>
        </w:rPr>
        <w:br/>
      </w:r>
      <w:r>
        <w:rPr>
          <w:rStyle w:val="CharStyle20"/>
        </w:rPr>
        <w:t xml:space="preserve">provides that </w:t>
      </w:r>
      <w:r>
        <w:rPr>
          <w:rStyle w:val="CharStyle20"/>
          <w:i/>
          <w:iCs/>
        </w:rPr>
        <w:t>''the implementation of these measures and processes may also be done in an effective</w:t>
        <w:br/>
        <w:t>manner through the assignment of responsibilities and through the training of staff involved in the</w:t>
        <w:br/>
        <w:t>processing operations”.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335" w:val="left"/>
        </w:tabs>
        <w:bidi w:val="0"/>
        <w:spacing w:before="0"/>
        <w:ind w:left="1300" w:right="0" w:hanging="340"/>
        <w:jc w:val="both"/>
      </w:pPr>
      <w:r>
        <w:rPr>
          <w:rStyle w:val="CharStyle20"/>
        </w:rPr>
        <w:t>The Commissioner outlined that the complainant’s subject access request received on the 24</w:t>
      </w:r>
      <w:r>
        <w:rPr>
          <w:rStyle w:val="CharStyle20"/>
          <w:vertAlign w:val="superscript"/>
        </w:rPr>
        <w:t>th</w:t>
      </w:r>
      <w:r>
        <w:rPr>
          <w:rStyle w:val="CharStyle20"/>
        </w:rPr>
        <w:t xml:space="preserve"> May</w:t>
        <w:br/>
        <w:t>2022, sent by means of an email to an occupational therapist and a speech therapist, was not</w:t>
        <w:br/>
        <w:t>forwarded to the^^’ DPO to be dealt within the time-period stipulated by the Regulation. In this</w:t>
        <w:br/>
        <w:t>regard, the Commissioner proceeded to examine article 3 8 (1) of the Regulation, which provides that</w:t>
        <w:br/>
      </w:r>
      <w:r>
        <w:rPr>
          <w:rStyle w:val="CharStyle20"/>
          <w:i/>
          <w:iCs/>
        </w:rPr>
        <w:t>‘ft]he controller and the processor shall ensure that the data protection officer is involved,</w:t>
        <w:br/>
        <w:t>properly and in a timely manner, in all issues which relate to the protection of personal data”</w:t>
      </w:r>
      <w:r>
        <w:br w:type="page"/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1045210" cy="539750"/>
            <wp:docPr id="81" name="Picutr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ext cx="1045210" cy="53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/>
        <w:ind w:left="1220" w:right="0" w:firstLine="0"/>
        <w:jc w:val="both"/>
      </w:pPr>
      <w:r>
        <w:rPr>
          <w:rStyle w:val="CharStyle20"/>
        </w:rPr>
        <w:t>[emphasis has been added]. Such inherent principle of good governance was further developed by</w:t>
        <w:br/>
        <w:t xml:space="preserve">the Article 29 Working Party in the sense that </w:t>
      </w:r>
      <w:r>
        <w:rPr>
          <w:rStyle w:val="CharStyle20"/>
          <w:i/>
          <w:iCs/>
        </w:rPr>
        <w:t>“[i]t is crucial that the DPO, or his/her team, is</w:t>
        <w:br/>
        <w:t>involved from the earliest stage possible in all issues relating to data protection ”</w:t>
      </w:r>
      <w:r>
        <w:rPr>
          <w:rStyle w:val="CharStyle20"/>
          <w:i/>
          <w:iCs/>
          <w:vertAlign w:val="superscript"/>
        </w:rPr>
        <w:footnoteReference w:id="19"/>
      </w:r>
      <w:r>
        <w:rPr>
          <w:rStyle w:val="CharStyle20"/>
          <w:i/>
          <w:iCs/>
        </w:rPr>
        <w:t>.</w:t>
      </w:r>
      <w:r>
        <w:rPr>
          <w:rStyle w:val="CharStyle20"/>
        </w:rPr>
        <w:t xml:space="preserve"> The Belgian</w:t>
        <w:br/>
        <w:t>supervisory authority adopted the same approach in one of its decisions</w:t>
      </w:r>
      <w:r>
        <w:rPr>
          <w:rStyle w:val="CharStyle20"/>
          <w:vertAlign w:val="superscript"/>
        </w:rPr>
        <w:footnoteReference w:id="20"/>
      </w:r>
      <w:r>
        <w:rPr>
          <w:rStyle w:val="CharStyle20"/>
        </w:rPr>
        <w:t>, whereby it underlined the</w:t>
        <w:br/>
        <w:t>crucial importance of consulting and not merely informing the DPO on matters relating to data</w:t>
        <w:br/>
        <w:t xml:space="preserve">protection in view of ensuring, </w:t>
      </w:r>
      <w:r>
        <w:rPr>
          <w:rStyle w:val="CharStyle20"/>
          <w:i/>
          <w:iCs/>
        </w:rPr>
        <w:t>inter alia,</w:t>
      </w:r>
      <w:r>
        <w:rPr>
          <w:rStyle w:val="CharStyle20"/>
        </w:rPr>
        <w:t xml:space="preserve"> compliance with the law.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50" w:val="left"/>
        </w:tabs>
        <w:bidi w:val="0"/>
        <w:spacing w:before="0" w:after="280" w:line="374" w:lineRule="auto"/>
        <w:ind w:left="1220" w:right="0" w:hanging="340"/>
        <w:jc w:val="both"/>
      </w:pPr>
      <w:r>
        <w:rPr>
          <w:rStyle w:val="CharStyle20"/>
        </w:rPr>
        <w:t>In this respect, the Commissioner examined the Guidelines 01/2022</w:t>
      </w:r>
      <w:r>
        <w:rPr>
          <w:rStyle w:val="CharStyle20"/>
          <w:vertAlign w:val="superscript"/>
        </w:rPr>
        <w:footnoteReference w:id="21"/>
      </w:r>
      <w:r>
        <w:rPr>
          <w:rStyle w:val="CharStyle20"/>
        </w:rPr>
        <w:t xml:space="preserve"> outlining that </w:t>
      </w:r>
      <w:r>
        <w:rPr>
          <w:rStyle w:val="CharStyle20"/>
          <w:i/>
          <w:iCs/>
        </w:rPr>
        <w:t>“the controller</w:t>
        <w:br/>
        <w:t>should make all reasonable efforts, to handle such a request so that it can be redirected to the</w:t>
        <w:br/>
        <w:t>contact point and answered within the time limits provided for by the GDPR</w:t>
      </w:r>
      <w:r>
        <w:rPr>
          <w:rStyle w:val="CharStyle20"/>
        </w:rPr>
        <w:t xml:space="preserve"> ” [emphasis has been</w:t>
        <w:br/>
        <w:t>added],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41" w:val="left"/>
        </w:tabs>
        <w:bidi w:val="0"/>
        <w:spacing w:before="0" w:after="280" w:line="374" w:lineRule="auto"/>
        <w:ind w:left="1220" w:right="0" w:hanging="340"/>
        <w:jc w:val="both"/>
      </w:pPr>
      <w:r>
        <w:rPr>
          <w:rStyle w:val="CharStyle20"/>
        </w:rPr>
        <w:t>The Commissioner recognises the importance that all the employees handling personal data have</w:t>
        <w:br/>
        <w:t>the necessary data protection training to recognise when a SAR has been lodged, understanding the</w:t>
        <w:br/>
        <w:t>process for directing it to the DPO or designated contact point, and providing a response within the</w:t>
        <w:br/>
        <w:t>specified time frame. Therefore, the Commissioner stresses that comprehensive training on data</w:t>
        <w:br/>
        <w:t>protection is an essential tool to reduce delayed responses, missed deadlines, or even non</w:t>
        <w:t>-</w:t>
        <w:br/>
        <w:t>compliance with the Regulation. The controller should ensure that all the employees handling</w:t>
        <w:br/>
        <w:t>personal data are provided with and are required to attend initial and ongoing data protection</w:t>
        <w:br/>
        <w:t>training.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80" w:line="374" w:lineRule="auto"/>
        <w:ind w:left="0" w:right="0" w:firstLine="540"/>
        <w:jc w:val="left"/>
      </w:pPr>
      <w:r>
        <w:rPr>
          <w:rStyle w:val="CharStyle20"/>
          <w:u w:val="single"/>
        </w:rPr>
        <w:t>Exercise of corrective powers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41" w:val="left"/>
        </w:tabs>
        <w:bidi w:val="0"/>
        <w:spacing w:before="0" w:line="374" w:lineRule="auto"/>
        <w:ind w:left="1220" w:right="0" w:hanging="340"/>
        <w:jc w:val="both"/>
      </w:pPr>
      <w:r>
        <w:rPr>
          <w:rStyle w:val="CharStyle20"/>
        </w:rPr>
        <w:t>Having scrutinised the set of corrective tools at the disposal of the Commissioner in its capacity of</w:t>
        <w:br/>
        <w:t>a supervisory authority pursuant to article 58(2) of the Regulation where the processing operation</w:t>
        <w:br/>
        <w:t xml:space="preserve">infringes the provisions of the Regulation, which include </w:t>
      </w:r>
      <w:r>
        <w:rPr>
          <w:rStyle w:val="CharStyle20"/>
          <w:i/>
          <w:iCs/>
        </w:rPr>
        <w:t>inter alia</w:t>
      </w:r>
      <w:r>
        <w:rPr>
          <w:rStyle w:val="CharStyle20"/>
        </w:rPr>
        <w:t xml:space="preserve"> the power to impose an</w:t>
        <w:br/>
        <w:t>administrative fine pursuant to the general conditions laid down in article 83 of the Regulation.</w:t>
      </w:r>
    </w:p>
    <w:p>
      <w:pPr>
        <w:pStyle w:val="Style1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46" w:val="left"/>
        </w:tabs>
        <w:bidi w:val="0"/>
        <w:spacing w:before="0" w:after="320"/>
        <w:ind w:left="1220" w:right="0" w:hanging="340"/>
        <w:jc w:val="both"/>
        <w:sectPr>
          <w:footnotePr>
            <w:pos w:val="pageBottom"/>
            <w:numFmt w:val="decimal"/>
            <w:numStart w:val="10"/>
            <w:numRestart w:val="continuous"/>
            <w15:footnoteColumns w:val="1"/>
          </w:footnotePr>
          <w:pgSz w:w="12240" w:h="18720"/>
          <w:pgMar w:top="1997" w:right="1781" w:bottom="2464" w:left="1244" w:header="0" w:footer="3" w:gutter="0"/>
          <w:cols w:space="720"/>
          <w:noEndnote/>
          <w:rtlGutter w:val="0"/>
          <w:docGrid w:linePitch="360"/>
        </w:sectPr>
      </w:pPr>
      <w:r>
        <w:rPr>
          <w:rStyle w:val="CharStyle20"/>
        </w:rPr>
        <w:t>The Commissioner therefore proceeded to examine article 83(2) of the Regulation, which provides</w:t>
        <w:br/>
        <w:t>certain guiding criteria in deciding whether to impose an administrative fine and on the amount of</w:t>
        <w:br/>
        <w:t>the administrative fine in each individual case. Having read such provision, the Commissioner</w:t>
        <w:br/>
        <w:t>established that these sub-paragraphs (a), (b), (f), (g) and (h) of article 83(2) of the Regulation are</w:t>
        <w:br/>
        <w:t>relevant to the present case.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20" w:right="0"/>
        <w:jc w:val="both"/>
      </w:pPr>
      <w:r>
        <w:rPr>
          <w:rStyle w:val="CharStyle3"/>
          <w:vertAlign w:val="superscript"/>
        </w:rPr>
        <w:t>9</w:t>
      </w:r>
      <w:r>
        <w:rPr>
          <w:rStyle w:val="CharStyle3"/>
        </w:rPr>
        <w:t xml:space="preserve"> European Data Protection Board, </w:t>
      </w:r>
      <w:r>
        <w:rPr>
          <w:rStyle w:val="CharStyle3"/>
          <w:i/>
          <w:iCs/>
        </w:rPr>
        <w:t>‘Guidelines 07/2020 on the concepts of controller and processor in the GDPR",</w:t>
        <w:br/>
      </w:r>
      <w:r>
        <w:rPr>
          <w:rStyle w:val="CharStyle3"/>
        </w:rPr>
        <w:t>Version 2.1 adopted on the 7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July 2021.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60"/>
        <w:jc w:val="left"/>
      </w:pPr>
      <w:r>
        <w:rPr>
          <w:rStyle w:val="CharStyle3"/>
        </w:rPr>
        <w:t>" Ibid 9.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left"/>
      </w:pPr>
      <w:r>
        <w:rPr>
          <w:rStyle w:val="CharStyle3"/>
          <w:vertAlign w:val="superscript"/>
        </w:rPr>
        <w:t>13</w:t>
      </w:r>
      <w:r>
        <w:rPr>
          <w:rStyle w:val="CharStyle3"/>
        </w:rPr>
        <w:t xml:space="preserve"> CJEU, Joined Cases C-141/12 and C-372/12, ECLI:EU:C:2014:2081, rule n. 2.</w:t>
      </w:r>
    </w:p>
    <w:sectPr>
      <w:footnotePr>
        <w:pos w:val="pageBottom"/>
        <w:numFmt w:val="decimal"/>
        <w:numStart w:val="10"/>
        <w:numRestart w:val="continuous"/>
        <w15:footnoteColumns w:val="1"/>
      </w:footnotePr>
      <w:type w:val="continuous"/>
      <w:pgSz w:w="12240" w:h="18720"/>
      <w:pgMar w:top="1997" w:right="1781" w:bottom="2464" w:left="1244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60.35000000000002pt;margin-top:822.85000000000002pt;width:56.649999999999999pt;height:9.5999999999999996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460.35000000000002pt;margin-top:822.85000000000002pt;width:56.649999999999999pt;height:9.5999999999999996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14" name="Shape 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position:absolute;margin-left:460.35000000000002pt;margin-top:822.85000000000002pt;width:56.649999999999999pt;height:9.5999999999999996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1341120</wp:posOffset>
              </wp:positionH>
              <wp:positionV relativeFrom="page">
                <wp:posOffset>10298430</wp:posOffset>
              </wp:positionV>
              <wp:extent cx="338455" cy="97790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38455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7"/>
                              <w:szCs w:val="17"/>
                              <w:vertAlign w:val="superscript"/>
                            </w:rPr>
                            <w:t>5</w:t>
                          </w:r>
                          <w:r>
                            <w:rPr>
                              <w:rStyle w:val="CharStyle11"/>
                              <w:color w:val="2B2B2B"/>
                              <w:sz w:val="17"/>
                              <w:szCs w:val="17"/>
                            </w:rPr>
                            <w:t xml:space="preserve"> Ibid 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105.60000000000001pt;margin-top:810.89999999999998pt;width:26.650000000000002pt;height:7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1"/>
                        <w:color w:val="2B2B2B"/>
                        <w:sz w:val="17"/>
                        <w:szCs w:val="17"/>
                        <w:vertAlign w:val="superscript"/>
                      </w:rPr>
                      <w:t>5</w:t>
                    </w:r>
                    <w:r>
                      <w:rPr>
                        <w:rStyle w:val="CharStyle11"/>
                        <w:color w:val="2B2B2B"/>
                        <w:sz w:val="17"/>
                        <w:szCs w:val="17"/>
                      </w:rPr>
                      <w:t xml:space="preserve"> Ibid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6065520</wp:posOffset>
              </wp:positionH>
              <wp:positionV relativeFrom="page">
                <wp:posOffset>10645775</wp:posOffset>
              </wp:positionV>
              <wp:extent cx="655320" cy="118745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5532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of 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477.60000000000002pt;margin-top:838.25pt;width:51.600000000000001pt;height:9.3499999999999996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of 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30" name="Shape 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6" type="#_x0000_t202" style="position:absolute;margin-left:460.35000000000002pt;margin-top:822.85000000000002pt;width:56.649999999999999pt;height:9.5999999999999996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32" name="Shape 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8" type="#_x0000_t202" style="position:absolute;margin-left:460.35000000000002pt;margin-top:822.85000000000002pt;width:56.649999999999999pt;height:9.5999999999999996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7" behindDoc="1" locked="0" layoutInCell="1" allowOverlap="1">
              <wp:simplePos x="0" y="0"/>
              <wp:positionH relativeFrom="page">
                <wp:posOffset>5873115</wp:posOffset>
              </wp:positionH>
              <wp:positionV relativeFrom="page">
                <wp:posOffset>10404475</wp:posOffset>
              </wp:positionV>
              <wp:extent cx="722630" cy="118745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2263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of 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462.44999999999999pt;margin-top:819.25pt;width:56.899999999999999pt;height:9.3499999999999996pt;z-index:-18874404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of 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9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460.35000000000002pt;margin-top:822.85000000000002pt;width:56.649999999999999pt;height:9.5999999999999996pt;z-index:-18874404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3" behindDoc="1" locked="0" layoutInCell="1" allowOverlap="1">
              <wp:simplePos x="0" y="0"/>
              <wp:positionH relativeFrom="page">
                <wp:posOffset>5824855</wp:posOffset>
              </wp:positionH>
              <wp:positionV relativeFrom="page">
                <wp:posOffset>10422890</wp:posOffset>
              </wp:positionV>
              <wp:extent cx="719455" cy="118745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of 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458.65000000000003pt;margin-top:820.70000000000005pt;width:56.649999999999999pt;height:9.3499999999999996pt;z-index:-18874404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of 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7" behindDoc="1" locked="0" layoutInCell="1" allowOverlap="1">
              <wp:simplePos x="0" y="0"/>
              <wp:positionH relativeFrom="page">
                <wp:posOffset>5824855</wp:posOffset>
              </wp:positionH>
              <wp:positionV relativeFrom="page">
                <wp:posOffset>10422890</wp:posOffset>
              </wp:positionV>
              <wp:extent cx="719455" cy="118745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of 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458.65000000000003pt;margin-top:820.70000000000005pt;width:56.649999999999999pt;height:9.3499999999999996pt;z-index:-18874403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of 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9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460.35000000000002pt;margin-top:822.85000000000002pt;width:56.649999999999999pt;height:9.5999999999999996pt;z-index:-18874403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1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460.35000000000002pt;margin-top:822.85000000000002pt;width:56.649999999999999pt;height:9.5999999999999996pt;z-index:-18874403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3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68" name="Shape 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4" type="#_x0000_t202" style="position:absolute;margin-left:460.35000000000002pt;margin-top:822.85000000000002pt;width:56.649999999999999pt;height:9.5999999999999996pt;z-index:-18874403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5" behindDoc="1" locked="0" layoutInCell="1" allowOverlap="1">
              <wp:simplePos x="0" y="0"/>
              <wp:positionH relativeFrom="page">
                <wp:posOffset>5846445</wp:posOffset>
              </wp:positionH>
              <wp:positionV relativeFrom="page">
                <wp:posOffset>10450195</wp:posOffset>
              </wp:positionV>
              <wp:extent cx="719455" cy="121920"/>
              <wp:wrapNone/>
              <wp:docPr id="70" name="Shape 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945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Style w:val="CharStyle11"/>
                              <w:color w:val="2B2B2B"/>
                              <w:sz w:val="19"/>
                              <w:szCs w:val="19"/>
                            </w:rPr>
                            <w:t xml:space="preserve">of </w:t>
                          </w: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>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6" type="#_x0000_t202" style="position:absolute;margin-left:460.35000000000002pt;margin-top:822.85000000000002pt;width:56.649999999999999pt;height:9.5999999999999996pt;z-index:-18874402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Style w:val="CharStyle11"/>
                        <w:color w:val="2B2B2B"/>
                        <w:sz w:val="19"/>
                        <w:szCs w:val="19"/>
                      </w:rPr>
                      <w:t xml:space="preserve">of </w:t>
                    </w: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7" behindDoc="1" locked="0" layoutInCell="1" allowOverlap="1">
              <wp:simplePos x="0" y="0"/>
              <wp:positionH relativeFrom="page">
                <wp:posOffset>1165860</wp:posOffset>
              </wp:positionH>
              <wp:positionV relativeFrom="page">
                <wp:posOffset>10351135</wp:posOffset>
              </wp:positionV>
              <wp:extent cx="399415" cy="103505"/>
              <wp:wrapNone/>
              <wp:docPr id="72" name="Shape 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941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Style w:val="CharStyle11"/>
                              <w:color w:val="2B2B2B"/>
                              <w:sz w:val="17"/>
                              <w:szCs w:val="17"/>
                              <w:vertAlign w:val="superscript"/>
                            </w:rPr>
                            <w:t>17</w:t>
                          </w:r>
                          <w:r>
                            <w:rPr>
                              <w:rStyle w:val="CharStyle11"/>
                              <w:color w:val="2B2B2B"/>
                              <w:sz w:val="17"/>
                              <w:szCs w:val="17"/>
                            </w:rPr>
                            <w:t xml:space="preserve"> Ibid 6.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8" type="#_x0000_t202" style="position:absolute;margin-left:91.799999999999997pt;margin-top:815.05000000000007pt;width:31.449999999999999pt;height:8.1500000000000004pt;z-index:-18874402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Style w:val="CharStyle11"/>
                        <w:color w:val="2B2B2B"/>
                        <w:sz w:val="17"/>
                        <w:szCs w:val="17"/>
                        <w:vertAlign w:val="superscript"/>
                      </w:rPr>
                      <w:t>17</w:t>
                    </w:r>
                    <w:r>
                      <w:rPr>
                        <w:rStyle w:val="CharStyle11"/>
                        <w:color w:val="2B2B2B"/>
                        <w:sz w:val="17"/>
                        <w:szCs w:val="17"/>
                      </w:rPr>
                      <w:t xml:space="preserve"> Ibid 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4729" behindDoc="1" locked="0" layoutInCell="1" allowOverlap="1">
              <wp:simplePos x="0" y="0"/>
              <wp:positionH relativeFrom="page">
                <wp:posOffset>5814060</wp:posOffset>
              </wp:positionH>
              <wp:positionV relativeFrom="page">
                <wp:posOffset>10704830</wp:posOffset>
              </wp:positionV>
              <wp:extent cx="722630" cy="121920"/>
              <wp:wrapNone/>
              <wp:docPr id="74" name="Shape 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22630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11"/>
                                <w:b/>
                                <w:bCs/>
                                <w:color w:val="2B2B2B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1"/>
                              <w:b/>
                              <w:bCs/>
                              <w:color w:val="2B2B2B"/>
                              <w:sz w:val="19"/>
                              <w:szCs w:val="19"/>
                            </w:rPr>
                            <w:t xml:space="preserve"> of 29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0" type="#_x0000_t202" style="position:absolute;margin-left:457.80000000000001pt;margin-top:842.89999999999998pt;width:56.899999999999999pt;height:9.5999999999999996pt;z-index:-18874402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11"/>
                          <w:b/>
                          <w:bCs/>
                          <w:color w:val="2B2B2B"/>
                          <w:sz w:val="19"/>
                          <w:szCs w:val="19"/>
                        </w:rPr>
                        <w:t>#</w:t>
                      </w:r>
                    </w:fldSimple>
                    <w:r>
                      <w:rPr>
                        <w:rStyle w:val="CharStyle11"/>
                        <w:b/>
                        <w:bCs/>
                        <w:color w:val="2B2B2B"/>
                        <w:sz w:val="19"/>
                        <w:szCs w:val="19"/>
                      </w:rPr>
                      <w:t xml:space="preserve"> of 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  <w:color w:val="000000"/>
          <w:vertAlign w:val="superscript"/>
        </w:rPr>
        <w:footnoteRef/>
      </w:r>
      <w:r>
        <w:rPr>
          <w:rStyle w:val="CharStyle3"/>
          <w:color w:val="000000"/>
        </w:rPr>
        <w:t xml:space="preserve"> Regulation (EU) 2016/679 of the European Parliament and of the Council of 27 April 2016 on the protection of</w:t>
        <w:br/>
        <w:t>natural persons with regard to the processing of personal data and on the free movement of such data, and repealing</w:t>
        <w:br/>
        <w:t>Directive 95/46/EC.</w:t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60"/>
        <w:jc w:val="both"/>
      </w:pPr>
      <w:r>
        <w:rPr>
          <w:rStyle w:val="CharStyle3"/>
        </w:rPr>
        <w:t xml:space="preserve">■ </w:t>
      </w:r>
      <w:r>
        <w:fldChar w:fldCharType="begin"/>
      </w:r>
      <w:r>
        <w:rPr/>
        <w:instrText> HYPERLINK "https://education.gov.mt/en/Pages/educ.aspxf-" </w:instrText>
      </w:r>
      <w:r>
        <w:fldChar w:fldCharType="separate"/>
      </w:r>
      <w:r>
        <w:rPr>
          <w:rStyle w:val="CharStyle3"/>
          <w:color w:val="4C5E86"/>
          <w:u w:val="single"/>
        </w:rPr>
        <w:t>https://education.gov.mt/en/Pages/educ.aspxf-</w:t>
      </w:r>
      <w:r>
        <w:fldChar w:fldCharType="end"/>
      </w:r>
    </w:p>
  </w:footnote>
  <w:footnote w:id="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" w:right="0" w:firstLine="0"/>
        <w:jc w:val="both"/>
      </w:pPr>
      <w:r>
        <w:rPr>
          <w:rStyle w:val="CharStyle3"/>
          <w:vertAlign w:val="superscript"/>
        </w:rPr>
        <w:t>J</w:t>
      </w:r>
      <w:r>
        <w:rPr>
          <w:rStyle w:val="CharStyle3"/>
        </w:rPr>
        <w:t xml:space="preserve"> European Data Protection Board, </w:t>
      </w:r>
      <w:r>
        <w:rPr>
          <w:rStyle w:val="CharStyle3"/>
          <w:i/>
          <w:iCs/>
        </w:rPr>
        <w:t>'Guidelines 4/2019 on Article 25 Data Protection by Design and by Default ’.</w:t>
        <w:br/>
      </w:r>
      <w:r>
        <w:rPr>
          <w:rStyle w:val="CharStyle3"/>
        </w:rPr>
        <w:t>Version 2.0 adopted on the 20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October 2020.</w:t>
      </w:r>
    </w:p>
  </w:footnote>
  <w:footnote w:id="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77" w:lineRule="auto"/>
        <w:ind w:left="1320" w:right="0" w:hanging="300"/>
        <w:jc w:val="both"/>
      </w:pPr>
      <w:r>
        <w:rPr>
          <w:rStyle w:val="CharStyle3"/>
        </w:rPr>
        <w:footnoteRef/>
      </w:r>
      <w:r>
        <w:rPr>
          <w:rStyle w:val="CharStyle3"/>
        </w:rPr>
        <w:t xml:space="preserve"> Accordingly, the Commissioner examined article 4(7) of the Regulation, which defines the term</w:t>
        <w:br/>
        <w:t xml:space="preserve">controller as </w:t>
      </w:r>
      <w:r>
        <w:rPr>
          <w:rStyle w:val="CharStyle3"/>
          <w:i/>
          <w:iCs/>
        </w:rPr>
        <w:t>“the natural or legal person, public authority, agency or other body which, alone or</w:t>
        <w:br/>
        <w:t>jointly with others, determines the purposes and means of the processing ofpersonal data', where</w:t>
        <w:br/>
        <w:t>the purposes and means of such processing are determined by Union or Member State law, the</w:t>
        <w:br/>
        <w:t>controller or the specific criteria for its nomination may be provided for by Union or Member State</w:t>
        <w:br/>
        <w:t>law ”.</w:t>
      </w:r>
    </w:p>
  </w:footnote>
  <w:footnote w:id="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0"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Judgement of the Court (Grand Chamber) of the 13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May 2014, </w:t>
      </w:r>
      <w:r>
        <w:rPr>
          <w:rStyle w:val="CharStyle3"/>
          <w:i/>
          <w:iCs/>
        </w:rPr>
        <w:t>‘Google Spain SL and Google Inc. v Agenda</w:t>
        <w:br/>
        <w:t>Espanola de Proteccion de Datos (AEPD) and Mario Costeja Gonzalez',</w:t>
      </w:r>
      <w:r>
        <w:rPr>
          <w:rStyle w:val="CharStyle3"/>
        </w:rPr>
        <w:t xml:space="preserve"> C-131/12, ECLI:EU:C:2014:317; and</w:t>
        <w:br/>
        <w:t>Judgement of the Court (Grand Chamber) of the 5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June 2018, </w:t>
      </w:r>
      <w:r>
        <w:rPr>
          <w:rStyle w:val="CharStyle3"/>
          <w:i/>
          <w:iCs/>
        </w:rPr>
        <w:t>‘Unabhdngiges Landeszentrum fur Datenschutz</w:t>
        <w:br/>
        <w:t>Schleswig-Holstein v Wirtschaftsakademie Schleswig-Holstein GmbH’,</w:t>
      </w:r>
      <w:r>
        <w:rPr>
          <w:rStyle w:val="CharStyle3"/>
        </w:rPr>
        <w:t xml:space="preserve"> C-210/16, ECLI:EU:C:2018:388.</w:t>
      </w:r>
    </w:p>
  </w:footnote>
  <w:footnote w:id="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6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9.</w:t>
      </w:r>
    </w:p>
  </w:footnote>
  <w:footnote w:id="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20"/>
        <w:jc w:val="left"/>
        <w:rPr>
          <w:sz w:val="17"/>
          <w:szCs w:val="17"/>
        </w:rPr>
      </w:pPr>
      <w:r>
        <w:rPr>
          <w:rStyle w:val="CharStyle3"/>
          <w:color w:val="000000"/>
          <w:sz w:val="17"/>
          <w:szCs w:val="17"/>
          <w:vertAlign w:val="superscript"/>
        </w:rPr>
        <w:footnoteRef/>
      </w:r>
      <w:r>
        <w:rPr>
          <w:rStyle w:val="CharStyle3"/>
          <w:color w:val="000000"/>
          <w:sz w:val="17"/>
          <w:szCs w:val="17"/>
        </w:rPr>
        <w:t xml:space="preserve"> Ibid 6.</w:t>
      </w:r>
    </w:p>
  </w:footnote>
  <w:footnote w:id="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20"/>
        <w:jc w:val="both"/>
        <w:rPr>
          <w:sz w:val="17"/>
          <w:szCs w:val="17"/>
        </w:rPr>
      </w:pPr>
      <w:r>
        <w:rPr>
          <w:rStyle w:val="CharStyle3"/>
          <w:color w:val="000000"/>
          <w:sz w:val="17"/>
          <w:szCs w:val="17"/>
          <w:vertAlign w:val="superscript"/>
        </w:rPr>
        <w:footnoteRef/>
      </w:r>
      <w:r>
        <w:rPr>
          <w:rStyle w:val="CharStyle3"/>
          <w:color w:val="000000"/>
          <w:sz w:val="17"/>
          <w:szCs w:val="17"/>
        </w:rPr>
        <w:t xml:space="preserve"> Ibid 6.</w:t>
      </w:r>
    </w:p>
  </w:footnote>
  <w:footnote w:id="1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left"/>
      </w:pPr>
      <w:r>
        <w:rPr>
          <w:rStyle w:val="CharStyle3"/>
          <w:i/>
          <w:iCs/>
          <w:vertAlign w:val="superscript"/>
        </w:rPr>
        <w:footnoteRef/>
      </w:r>
      <w:r>
        <w:rPr>
          <w:rStyle w:val="CharStyle3"/>
          <w:i/>
          <w:iCs/>
        </w:rPr>
        <w:t xml:space="preserve"> ‘Peter Nowak vs Data Protection Commissioner'</w:t>
      </w:r>
      <w:r>
        <w:rPr>
          <w:rStyle w:val="CharStyle3"/>
        </w:rPr>
        <w:t xml:space="preserve"> (Case-434/16), decided on the 20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December 2017.</w:t>
      </w:r>
    </w:p>
  </w:footnote>
  <w:footnote w:id="1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Article 29 Working Party, </w:t>
      </w:r>
      <w:r>
        <w:rPr>
          <w:rStyle w:val="CharStyle3"/>
          <w:i/>
          <w:iCs/>
        </w:rPr>
        <w:t>Guidelines on Transparency under Regulation 2016/679,</w:t>
      </w:r>
      <w:r>
        <w:rPr>
          <w:rStyle w:val="CharStyle3"/>
        </w:rPr>
        <w:t xml:space="preserve"> (17/EN, WP260 rev.01).</w:t>
      </w:r>
    </w:p>
  </w:footnote>
  <w:footnote w:id="1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right="0" w:firstLine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Judgment of the Court (Third Chamber) of the l</w:t>
      </w:r>
      <w:r>
        <w:rPr>
          <w:rStyle w:val="CharStyle3"/>
          <w:vertAlign w:val="superscript"/>
        </w:rPr>
        <w:t>sl</w:t>
      </w:r>
      <w:r>
        <w:rPr>
          <w:rStyle w:val="CharStyle3"/>
        </w:rPr>
        <w:t xml:space="preserve"> October 2015, </w:t>
      </w:r>
      <w:r>
        <w:rPr>
          <w:rStyle w:val="CharStyle3"/>
          <w:i/>
          <w:iCs/>
        </w:rPr>
        <w:t>‘Smaranda Bara and Others v. Casa Nafionald</w:t>
        <w:br/>
        <w:t>de Asigurari de Sanatate and Others ’,</w:t>
      </w:r>
      <w:r>
        <w:rPr>
          <w:rStyle w:val="CharStyle3"/>
        </w:rPr>
        <w:t xml:space="preserve"> (C-201/14, ECLI:EU:C:2015:638).</w:t>
      </w:r>
    </w:p>
  </w:footnote>
  <w:footnote w:id="1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18.</w:t>
      </w:r>
    </w:p>
  </w:footnote>
  <w:footnote w:id="14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18.</w:t>
      </w:r>
    </w:p>
  </w:footnote>
  <w:footnote w:id="15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60" w:right="0"/>
        <w:jc w:val="both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17/EN, WP 260 rev. 01, Section 11, Page 8, Example box: </w:t>
      </w:r>
      <w:r>
        <w:rPr>
          <w:rStyle w:val="CharStyle3"/>
          <w:i/>
          <w:iCs/>
        </w:rPr>
        <w:t>“Every organisation that maintains a website should</w:t>
        <w:br/>
        <w:t>publish a privacy statement/ notice on the website. A direct link to this privacy statement/notice should be clearly</w:t>
        <w:br/>
        <w:t>visible on each page of this website under a commonly used term (such as “Privacy”, “Privaty Policy” or “Data</w:t>
        <w:br/>
        <w:t>Protection Notice”)”</w:t>
      </w:r>
      <w:r>
        <w:rPr>
          <w:rStyle w:val="CharStyle3"/>
        </w:rPr>
        <w:t xml:space="preserve"> [emphasis has been added],</w:t>
      </w:r>
    </w:p>
  </w:footnote>
  <w:footnote w:id="16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18.</w:t>
      </w:r>
    </w:p>
  </w:footnote>
  <w:footnote w:id="17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Ibid.</w:t>
      </w:r>
    </w:p>
  </w:footnote>
  <w:footnote w:id="18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0" w:right="0" w:firstLine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Article 29 Working Party, </w:t>
      </w:r>
      <w:r>
        <w:rPr>
          <w:rStyle w:val="CharStyle3"/>
          <w:i/>
          <w:iCs/>
        </w:rPr>
        <w:t>‘Opinion 3/2010 on the principle of accountability</w:t>
      </w:r>
      <w:r>
        <w:rPr>
          <w:rStyle w:val="CharStyle3"/>
        </w:rPr>
        <w:t xml:space="preserve"> ’ (00062/10/EN, WP 173),</w:t>
        <w:br/>
        <w:t>adopted on the 13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July 2010.</w:t>
      </w:r>
    </w:p>
  </w:footnote>
  <w:footnote w:id="19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520" w:right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Article 29 Working Party, </w:t>
      </w:r>
      <w:r>
        <w:rPr>
          <w:rStyle w:val="CharStyle3"/>
          <w:i/>
          <w:iCs/>
        </w:rPr>
        <w:t>‘Guidelines on Data Protection Officers (‘DPOs’),</w:t>
      </w:r>
      <w:r>
        <w:rPr>
          <w:rStyle w:val="CharStyle3"/>
        </w:rPr>
        <w:t xml:space="preserve"> (16/EN WP 243 rev. 01),</w:t>
        <w:br/>
        <w:t>endorsed by the European Data Protection Board.</w:t>
      </w:r>
    </w:p>
  </w:footnote>
  <w:footnote w:id="20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520" w:right="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Decision APD/GBA - 18/2020 of the 28</w:t>
      </w:r>
      <w:r>
        <w:rPr>
          <w:rStyle w:val="CharStyle3"/>
          <w:vertAlign w:val="superscript"/>
        </w:rPr>
        <w:t>th</w:t>
      </w:r>
      <w:r>
        <w:rPr>
          <w:rStyle w:val="CharStyle3"/>
        </w:rPr>
        <w:t xml:space="preserve"> April 2020 of the Litigation Chamber of the Belgian supervisory</w:t>
        <w:br/>
        <w:t>authority.</w:t>
      </w:r>
    </w:p>
  </w:footnote>
  <w:footnote w:id="21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40"/>
        <w:jc w:val="left"/>
      </w:pPr>
      <w:r>
        <w:rPr>
          <w:rStyle w:val="CharStyle3"/>
          <w:vertAlign w:val="superscript"/>
        </w:rPr>
        <w:footnoteRef/>
      </w:r>
      <w:r>
        <w:rPr>
          <w:rStyle w:val="CharStyle3"/>
        </w:rPr>
        <w:t xml:space="preserve"> Ibid 6.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5" behindDoc="1" locked="0" layoutInCell="1" allowOverlap="1">
              <wp:simplePos x="0" y="0"/>
              <wp:positionH relativeFrom="page">
                <wp:posOffset>816610</wp:posOffset>
              </wp:positionH>
              <wp:positionV relativeFrom="page">
                <wp:posOffset>1275715</wp:posOffset>
              </wp:positionV>
              <wp:extent cx="987425" cy="48768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87425" cy="4876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76"/>
                              <w:szCs w:val="76"/>
                            </w:rPr>
                          </w:pPr>
                          <w:r>
                            <w:rPr>
                              <w:rStyle w:val="CharStyle11"/>
                              <w:rFonts w:ascii="Arial" w:eastAsia="Arial" w:hAnsi="Arial" w:cs="Arial"/>
                              <w:color w:val="1A3060"/>
                              <w:sz w:val="76"/>
                              <w:szCs w:val="76"/>
                            </w:rPr>
                            <w:t>idpc.</w:t>
                          </w:r>
                        </w:p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CharStyle11"/>
                              <w:rFonts w:ascii="Arial" w:eastAsia="Arial" w:hAnsi="Arial" w:cs="Arial"/>
                              <w:b/>
                              <w:bCs/>
                              <w:color w:val="1A3060"/>
                              <w:sz w:val="8"/>
                              <w:szCs w:val="8"/>
                            </w:rPr>
                            <w:t xml:space="preserve">■ - f. </w:t>
                          </w:r>
                          <w:r>
                            <w:rPr>
                              <w:rStyle w:val="CharStyle11"/>
                              <w:rFonts w:ascii="Arial" w:eastAsia="Arial" w:hAnsi="Arial" w:cs="Arial"/>
                              <w:b/>
                              <w:bCs/>
                              <w:color w:val="8996AC"/>
                              <w:sz w:val="8"/>
                              <w:szCs w:val="8"/>
                            </w:rPr>
                            <w:t>. .M CA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64.299999999999997pt;margin-top:100.45pt;width:77.75pt;height:38.399999999999999pt;z-index:-18874404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76"/>
                        <w:szCs w:val="76"/>
                      </w:rPr>
                    </w:pPr>
                    <w:r>
                      <w:rPr>
                        <w:rStyle w:val="CharStyle11"/>
                        <w:rFonts w:ascii="Arial" w:eastAsia="Arial" w:hAnsi="Arial" w:cs="Arial"/>
                        <w:color w:val="1A3060"/>
                        <w:sz w:val="76"/>
                        <w:szCs w:val="76"/>
                      </w:rPr>
                      <w:t>idpc.</w:t>
                    </w:r>
                  </w:p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Style w:val="CharStyle11"/>
                        <w:rFonts w:ascii="Arial" w:eastAsia="Arial" w:hAnsi="Arial" w:cs="Arial"/>
                        <w:b/>
                        <w:bCs/>
                        <w:color w:val="1A3060"/>
                        <w:sz w:val="8"/>
                        <w:szCs w:val="8"/>
                      </w:rPr>
                      <w:t xml:space="preserve">■ - f. </w:t>
                    </w:r>
                    <w:r>
                      <w:rPr>
                        <w:rStyle w:val="CharStyle11"/>
                        <w:rFonts w:ascii="Arial" w:eastAsia="Arial" w:hAnsi="Arial" w:cs="Arial"/>
                        <w:b/>
                        <w:bCs/>
                        <w:color w:val="8996AC"/>
                        <w:sz w:val="8"/>
                        <w:szCs w:val="8"/>
                      </w:rPr>
                      <w:t>. .M 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1" behindDoc="1" locked="0" layoutInCell="1" allowOverlap="1">
              <wp:simplePos x="0" y="0"/>
              <wp:positionH relativeFrom="page">
                <wp:posOffset>771525</wp:posOffset>
              </wp:positionH>
              <wp:positionV relativeFrom="page">
                <wp:posOffset>1299845</wp:posOffset>
              </wp:positionV>
              <wp:extent cx="987425" cy="481330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87425" cy="481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76"/>
                              <w:szCs w:val="76"/>
                            </w:rPr>
                          </w:pPr>
                          <w:r>
                            <w:rPr>
                              <w:rStyle w:val="CharStyle11"/>
                              <w:rFonts w:ascii="Arial" w:eastAsia="Arial" w:hAnsi="Arial" w:cs="Arial"/>
                              <w:color w:val="1A3060"/>
                              <w:sz w:val="76"/>
                              <w:szCs w:val="76"/>
                            </w:rPr>
                            <w:t>idpc.</w:t>
                          </w:r>
                        </w:p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CharStyle11"/>
                              <w:rFonts w:ascii="Arial" w:eastAsia="Arial" w:hAnsi="Arial" w:cs="Arial"/>
                              <w:b/>
                              <w:bCs/>
                              <w:color w:val="1A3060"/>
                              <w:sz w:val="8"/>
                              <w:szCs w:val="8"/>
                            </w:rPr>
                            <w:t xml:space="preserve">■ </w:t>
                          </w:r>
                          <w:r>
                            <w:rPr>
                              <w:rStyle w:val="CharStyle11"/>
                              <w:rFonts w:ascii="Arial" w:eastAsia="Arial" w:hAnsi="Arial" w:cs="Arial"/>
                              <w:b/>
                              <w:bCs/>
                              <w:color w:val="8996AC"/>
                              <w:sz w:val="8"/>
                              <w:szCs w:val="8"/>
                            </w:rPr>
                            <w:t>"wyi'iwMrtM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60.75pt;margin-top:102.35000000000001pt;width:77.75pt;height:37.899999999999999pt;z-index:-18874404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76"/>
                        <w:szCs w:val="76"/>
                      </w:rPr>
                    </w:pPr>
                    <w:r>
                      <w:rPr>
                        <w:rStyle w:val="CharStyle11"/>
                        <w:rFonts w:ascii="Arial" w:eastAsia="Arial" w:hAnsi="Arial" w:cs="Arial"/>
                        <w:color w:val="1A3060"/>
                        <w:sz w:val="76"/>
                        <w:szCs w:val="76"/>
                      </w:rPr>
                      <w:t>idpc.</w:t>
                    </w:r>
                  </w:p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Style w:val="CharStyle11"/>
                        <w:rFonts w:ascii="Arial" w:eastAsia="Arial" w:hAnsi="Arial" w:cs="Arial"/>
                        <w:b/>
                        <w:bCs/>
                        <w:color w:val="1A3060"/>
                        <w:sz w:val="8"/>
                        <w:szCs w:val="8"/>
                      </w:rPr>
                      <w:t xml:space="preserve">■ </w:t>
                    </w:r>
                    <w:r>
                      <w:rPr>
                        <w:rStyle w:val="CharStyle11"/>
                        <w:rFonts w:ascii="Arial" w:eastAsia="Arial" w:hAnsi="Arial" w:cs="Arial"/>
                        <w:b/>
                        <w:bCs/>
                        <w:color w:val="8996AC"/>
                        <w:sz w:val="8"/>
                        <w:szCs w:val="8"/>
                      </w:rPr>
                      <w:t>"wyi'iwMrtM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5" behindDoc="1" locked="0" layoutInCell="1" allowOverlap="1">
              <wp:simplePos x="0" y="0"/>
              <wp:positionH relativeFrom="page">
                <wp:posOffset>771525</wp:posOffset>
              </wp:positionH>
              <wp:positionV relativeFrom="page">
                <wp:posOffset>1299845</wp:posOffset>
              </wp:positionV>
              <wp:extent cx="987425" cy="48133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87425" cy="481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76"/>
                              <w:szCs w:val="76"/>
                            </w:rPr>
                          </w:pPr>
                          <w:r>
                            <w:rPr>
                              <w:rStyle w:val="CharStyle11"/>
                              <w:rFonts w:ascii="Arial" w:eastAsia="Arial" w:hAnsi="Arial" w:cs="Arial"/>
                              <w:color w:val="1A3060"/>
                              <w:sz w:val="76"/>
                              <w:szCs w:val="76"/>
                            </w:rPr>
                            <w:t>idpc.</w:t>
                          </w:r>
                        </w:p>
                        <w:p>
                          <w:pPr>
                            <w:pStyle w:val="Style1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Style w:val="CharStyle11"/>
                              <w:rFonts w:ascii="Arial" w:eastAsia="Arial" w:hAnsi="Arial" w:cs="Arial"/>
                              <w:b/>
                              <w:bCs/>
                              <w:color w:val="1A3060"/>
                              <w:sz w:val="8"/>
                              <w:szCs w:val="8"/>
                            </w:rPr>
                            <w:t xml:space="preserve">■ </w:t>
                          </w:r>
                          <w:r>
                            <w:rPr>
                              <w:rStyle w:val="CharStyle11"/>
                              <w:rFonts w:ascii="Arial" w:eastAsia="Arial" w:hAnsi="Arial" w:cs="Arial"/>
                              <w:b/>
                              <w:bCs/>
                              <w:color w:val="8996AC"/>
                              <w:sz w:val="8"/>
                              <w:szCs w:val="8"/>
                            </w:rPr>
                            <w:t>"wyi'iwMrtM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60.75pt;margin-top:102.35000000000001pt;width:77.75pt;height:37.899999999999999pt;z-index:-18874403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76"/>
                        <w:szCs w:val="76"/>
                      </w:rPr>
                    </w:pPr>
                    <w:r>
                      <w:rPr>
                        <w:rStyle w:val="CharStyle11"/>
                        <w:rFonts w:ascii="Arial" w:eastAsia="Arial" w:hAnsi="Arial" w:cs="Arial"/>
                        <w:color w:val="1A3060"/>
                        <w:sz w:val="76"/>
                        <w:szCs w:val="76"/>
                      </w:rPr>
                      <w:t>idpc.</w:t>
                    </w:r>
                  </w:p>
                  <w:p>
                    <w:pPr>
                      <w:pStyle w:val="Style1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Style w:val="CharStyle11"/>
                        <w:rFonts w:ascii="Arial" w:eastAsia="Arial" w:hAnsi="Arial" w:cs="Arial"/>
                        <w:b/>
                        <w:bCs/>
                        <w:color w:val="1A3060"/>
                        <w:sz w:val="8"/>
                        <w:szCs w:val="8"/>
                      </w:rPr>
                      <w:t xml:space="preserve">■ </w:t>
                    </w:r>
                    <w:r>
                      <w:rPr>
                        <w:rStyle w:val="CharStyle11"/>
                        <w:rFonts w:ascii="Arial" w:eastAsia="Arial" w:hAnsi="Arial" w:cs="Arial"/>
                        <w:b/>
                        <w:bCs/>
                        <w:color w:val="8996AC"/>
                        <w:sz w:val="8"/>
                        <w:szCs w:val="8"/>
                      </w:rPr>
                      <w:t>"wyi'iwMrtM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2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3"/>
      <w:numFmt w:val="low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8"/>
      <w:numFmt w:val="low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singl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singl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11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singl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4"/>
      <w:numFmt w:val="lowerRoman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singl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1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3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1"/>
      <w:numFmt w:val="low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4"/>
      <w:numFmt w:val="low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13"/>
      <w:numFmt w:val="low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4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8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B2B2B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JhengHei Light" w:eastAsia="Microsoft JhengHei Light" w:hAnsi="Microsoft JhengHei Light" w:cs="Microsoft JhengHei Light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Footnote_"/>
    <w:basedOn w:val="DefaultParagraphFont"/>
    <w:link w:val="Style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B2B2B"/>
      <w:sz w:val="19"/>
      <w:szCs w:val="19"/>
      <w:u w:val="none"/>
    </w:rPr>
  </w:style>
  <w:style w:type="character" w:customStyle="1" w:styleId="CharStyle9">
    <w:name w:val="Heading #1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color w:val="1A3060"/>
      <w:sz w:val="76"/>
      <w:szCs w:val="76"/>
      <w:u w:val="none"/>
    </w:rPr>
  </w:style>
  <w:style w:type="character" w:customStyle="1" w:styleId="CharStyle11">
    <w:name w:val="Header or footer (2)_"/>
    <w:basedOn w:val="DefaultParagraphFont"/>
    <w:link w:val="Sty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5">
    <w:name w:val="Body text (3)_"/>
    <w:basedOn w:val="DefaultParagraphFont"/>
    <w:link w:val="Style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8996AC"/>
      <w:sz w:val="9"/>
      <w:szCs w:val="9"/>
      <w:u w:val="none"/>
    </w:rPr>
  </w:style>
  <w:style w:type="character" w:customStyle="1" w:styleId="CharStyle18">
    <w:name w:val="Heading #2_"/>
    <w:basedOn w:val="DefaultParagraphFont"/>
    <w:link w:val="Style1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20">
    <w:name w:val="Body text_"/>
    <w:basedOn w:val="DefaultParagraphFont"/>
    <w:link w:val="Style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B2B2B"/>
      <w:sz w:val="19"/>
      <w:szCs w:val="19"/>
      <w:u w:val="none"/>
    </w:rPr>
  </w:style>
  <w:style w:type="character" w:customStyle="1" w:styleId="CharStyle26">
    <w:name w:val="Body text (2)_"/>
    <w:basedOn w:val="DefaultParagraphFont"/>
    <w:link w:val="Style25"/>
    <w:rPr>
      <w:rFonts w:ascii="Arial" w:eastAsia="Arial" w:hAnsi="Arial" w:cs="Arial"/>
      <w:b/>
      <w:bCs/>
      <w:i w:val="0"/>
      <w:iCs w:val="0"/>
      <w:smallCaps w:val="0"/>
      <w:strike w:val="0"/>
      <w:color w:val="8996AC"/>
      <w:sz w:val="8"/>
      <w:szCs w:val="8"/>
      <w:u w:val="none"/>
    </w:rPr>
  </w:style>
  <w:style w:type="character" w:customStyle="1" w:styleId="CharStyle34">
    <w:name w:val="Body text (5)_"/>
    <w:basedOn w:val="DefaultParagraphFont"/>
    <w:link w:val="Style33"/>
    <w:rPr>
      <w:rFonts w:ascii="Courier New" w:eastAsia="Courier New" w:hAnsi="Courier New" w:cs="Courier New"/>
      <w:b/>
      <w:bCs/>
      <w:i w:val="0"/>
      <w:iCs w:val="0"/>
      <w:smallCaps w:val="0"/>
      <w:strike w:val="0"/>
      <w:color w:val="2B2B2B"/>
      <w:sz w:val="14"/>
      <w:szCs w:val="14"/>
      <w:u w:val="none"/>
    </w:rPr>
  </w:style>
  <w:style w:type="character" w:customStyle="1" w:styleId="CharStyle46">
    <w:name w:val="Body text (4)_"/>
    <w:basedOn w:val="DefaultParagraphFont"/>
    <w:link w:val="Style4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8996AC"/>
      <w:sz w:val="8"/>
      <w:szCs w:val="8"/>
      <w:u w:val="none"/>
    </w:rPr>
  </w:style>
  <w:style w:type="paragraph" w:customStyle="1" w:styleId="Style2">
    <w:name w:val="Footnote"/>
    <w:basedOn w:val="Normal"/>
    <w:link w:val="CharStyle3"/>
    <w:pPr>
      <w:widowControl w:val="0"/>
      <w:shd w:val="clear" w:color="auto" w:fill="auto"/>
      <w:ind w:left="560" w:firstLine="20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B2B2B"/>
      <w:sz w:val="19"/>
      <w:szCs w:val="19"/>
      <w:u w:val="none"/>
    </w:rPr>
  </w:style>
  <w:style w:type="paragraph" w:customStyle="1" w:styleId="Style8">
    <w:name w:val="Heading #1"/>
    <w:basedOn w:val="Normal"/>
    <w:link w:val="CharStyle9"/>
    <w:pPr>
      <w:widowControl w:val="0"/>
      <w:shd w:val="clear" w:color="auto" w:fill="auto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1A3060"/>
      <w:sz w:val="76"/>
      <w:szCs w:val="76"/>
      <w:u w:val="none"/>
    </w:rPr>
  </w:style>
  <w:style w:type="paragraph" w:customStyle="1" w:styleId="Style10">
    <w:name w:val="Header or footer (2)"/>
    <w:basedOn w:val="Normal"/>
    <w:link w:val="CharStyle11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4">
    <w:name w:val="Body text (3)"/>
    <w:basedOn w:val="Normal"/>
    <w:link w:val="CharStyle15"/>
    <w:pPr>
      <w:widowControl w:val="0"/>
      <w:shd w:val="clear" w:color="auto" w:fill="auto"/>
      <w:spacing w:after="400"/>
      <w:ind w:firstLine="6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8996AC"/>
      <w:sz w:val="9"/>
      <w:szCs w:val="9"/>
      <w:u w:val="none"/>
    </w:rPr>
  </w:style>
  <w:style w:type="paragraph" w:customStyle="1" w:styleId="Style17">
    <w:name w:val="Heading #2"/>
    <w:basedOn w:val="Normal"/>
    <w:link w:val="CharStyle18"/>
    <w:pPr>
      <w:widowControl w:val="0"/>
      <w:shd w:val="clear" w:color="auto" w:fill="auto"/>
      <w:spacing w:after="40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paragraph" w:styleId="Style19">
    <w:name w:val="Body text"/>
    <w:basedOn w:val="Normal"/>
    <w:link w:val="CharStyle20"/>
    <w:qFormat/>
    <w:pPr>
      <w:widowControl w:val="0"/>
      <w:shd w:val="clear" w:color="auto" w:fill="auto"/>
      <w:spacing w:after="340" w:line="37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B2B2B"/>
      <w:sz w:val="19"/>
      <w:szCs w:val="19"/>
      <w:u w:val="none"/>
    </w:rPr>
  </w:style>
  <w:style w:type="paragraph" w:customStyle="1" w:styleId="Style25">
    <w:name w:val="Body text (2)"/>
    <w:basedOn w:val="Normal"/>
    <w:link w:val="CharStyle26"/>
    <w:pPr>
      <w:widowControl w:val="0"/>
      <w:shd w:val="clear" w:color="auto" w:fill="auto"/>
      <w:spacing w:after="400"/>
      <w:ind w:firstLine="660"/>
    </w:pPr>
    <w:rPr>
      <w:rFonts w:ascii="Arial" w:eastAsia="Arial" w:hAnsi="Arial" w:cs="Arial"/>
      <w:b/>
      <w:bCs/>
      <w:i w:val="0"/>
      <w:iCs w:val="0"/>
      <w:smallCaps w:val="0"/>
      <w:strike w:val="0"/>
      <w:color w:val="8996AC"/>
      <w:sz w:val="8"/>
      <w:szCs w:val="8"/>
      <w:u w:val="none"/>
    </w:rPr>
  </w:style>
  <w:style w:type="paragraph" w:customStyle="1" w:styleId="Style33">
    <w:name w:val="Body text (5)"/>
    <w:basedOn w:val="Normal"/>
    <w:link w:val="CharStyle34"/>
    <w:pPr>
      <w:widowControl w:val="0"/>
      <w:shd w:val="clear" w:color="auto" w:fill="auto"/>
    </w:pPr>
    <w:rPr>
      <w:rFonts w:ascii="Courier New" w:eastAsia="Courier New" w:hAnsi="Courier New" w:cs="Courier New"/>
      <w:b/>
      <w:bCs/>
      <w:i w:val="0"/>
      <w:iCs w:val="0"/>
      <w:smallCaps w:val="0"/>
      <w:strike w:val="0"/>
      <w:color w:val="2B2B2B"/>
      <w:sz w:val="14"/>
      <w:szCs w:val="14"/>
      <w:u w:val="none"/>
    </w:rPr>
  </w:style>
  <w:style w:type="paragraph" w:customStyle="1" w:styleId="Style45">
    <w:name w:val="Body text (4)"/>
    <w:basedOn w:val="Normal"/>
    <w:link w:val="CharStyle46"/>
    <w:pPr>
      <w:widowControl w:val="0"/>
      <w:shd w:val="clear" w:color="auto" w:fill="auto"/>
      <w:spacing w:after="400"/>
      <w:ind w:firstLine="620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8996AC"/>
      <w:sz w:val="8"/>
      <w:szCs w:val="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image" Target="media/image1.jpeg" TargetMode="Externa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image2.jpeg"/><Relationship Id="rId12" Type="http://schemas.openxmlformats.org/officeDocument/2006/relationships/image" Target="media/image2.jpeg" TargetMode="Externa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3.jpeg"/><Relationship Id="rId16" Type="http://schemas.openxmlformats.org/officeDocument/2006/relationships/image" Target="media/image3.jpeg" TargetMode="External"/><Relationship Id="rId17" Type="http://schemas.openxmlformats.org/officeDocument/2006/relationships/image" Target="media/image4.jpeg"/><Relationship Id="rId18" Type="http://schemas.openxmlformats.org/officeDocument/2006/relationships/image" Target="media/image4.jpeg" TargetMode="External"/><Relationship Id="rId19" Type="http://schemas.openxmlformats.org/officeDocument/2006/relationships/header" Target="header1.xml"/><Relationship Id="rId20" Type="http://schemas.openxmlformats.org/officeDocument/2006/relationships/footer" Target="footer7.xml"/><Relationship Id="rId21" Type="http://schemas.openxmlformats.org/officeDocument/2006/relationships/header" Target="header2.xml"/><Relationship Id="rId22" Type="http://schemas.openxmlformats.org/officeDocument/2006/relationships/footer" Target="footer8.xml"/><Relationship Id="rId23" Type="http://schemas.openxmlformats.org/officeDocument/2006/relationships/header" Target="header3.xml"/><Relationship Id="rId24" Type="http://schemas.openxmlformats.org/officeDocument/2006/relationships/footer" Target="footer9.xml"/><Relationship Id="rId25" Type="http://schemas.openxmlformats.org/officeDocument/2006/relationships/header" Target="header4.xml"/><Relationship Id="rId26" Type="http://schemas.openxmlformats.org/officeDocument/2006/relationships/footer" Target="footer10.xml"/><Relationship Id="rId27" Type="http://schemas.openxmlformats.org/officeDocument/2006/relationships/header" Target="header5.xml"/><Relationship Id="rId28" Type="http://schemas.openxmlformats.org/officeDocument/2006/relationships/footer" Target="footer11.xml"/><Relationship Id="rId29" Type="http://schemas.openxmlformats.org/officeDocument/2006/relationships/header" Target="header6.xml"/><Relationship Id="rId30" Type="http://schemas.openxmlformats.org/officeDocument/2006/relationships/footer" Target="footer12.xml"/><Relationship Id="rId31" Type="http://schemas.openxmlformats.org/officeDocument/2006/relationships/image" Target="media/image5.png"/><Relationship Id="rId32" Type="http://schemas.openxmlformats.org/officeDocument/2006/relationships/image" Target="media/image5.png" TargetMode="External"/><Relationship Id="rId33" Type="http://schemas.openxmlformats.org/officeDocument/2006/relationships/header" Target="header7.xml"/><Relationship Id="rId34" Type="http://schemas.openxmlformats.org/officeDocument/2006/relationships/footer" Target="footer13.xml"/><Relationship Id="rId35" Type="http://schemas.openxmlformats.org/officeDocument/2006/relationships/header" Target="header8.xml"/><Relationship Id="rId36" Type="http://schemas.openxmlformats.org/officeDocument/2006/relationships/footer" Target="footer14.xml"/><Relationship Id="rId37" Type="http://schemas.openxmlformats.org/officeDocument/2006/relationships/header" Target="header9.xml"/><Relationship Id="rId38" Type="http://schemas.openxmlformats.org/officeDocument/2006/relationships/footer" Target="footer15.xml"/><Relationship Id="rId39" Type="http://schemas.openxmlformats.org/officeDocument/2006/relationships/image" Target="media/image6.jpeg"/><Relationship Id="rId40" Type="http://schemas.openxmlformats.org/officeDocument/2006/relationships/image" Target="media/image6.jpeg" TargetMode="External"/><Relationship Id="rId41" Type="http://schemas.openxmlformats.org/officeDocument/2006/relationships/image" Target="media/image7.jpeg"/><Relationship Id="rId42" Type="http://schemas.openxmlformats.org/officeDocument/2006/relationships/image" Target="media/image7.jpeg" TargetMode="External"/></Relationships>
</file>