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10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bookmarkStart w:id="0" w:name="bookmark0"/>
      <w:r>
        <w:rPr>
          <w:rStyle w:val="CharStyle11"/>
          <w:b/>
          <w:bCs/>
        </w:rPr>
        <w:t>ICO.</w:t>
      </w:r>
      <w:bookmarkEnd w:id="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right="0" w:firstLine="0"/>
        <w:jc w:val="left"/>
      </w:pPr>
      <w:r>
        <w:rPr>
          <w:rStyle w:val="CharStyle16"/>
          <w:b/>
          <w:bCs/>
        </w:rPr>
        <w:t>rto»HMt&gt;on ConuntMionev*! OfAc*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" w:name="bookmark2"/>
      <w:r>
        <w:rPr>
          <w:rStyle w:val="CharStyle18"/>
          <w:b/>
          <w:bCs/>
        </w:rPr>
        <w:t>PENALTY NOTICE</w:t>
      </w:r>
      <w:bookmarkEnd w:id="2"/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firstLine="0"/>
        <w:jc w:val="right"/>
      </w:pPr>
      <w:r>
        <w:rPr>
          <w:rStyle w:val="CharStyle20"/>
        </w:rPr>
        <w:t>ADVANCED COMPUTER SOFTWARE GROUP LIMITED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firstLine="0"/>
        <w:jc w:val="right"/>
      </w:pPr>
      <w:r>
        <w:rPr>
          <w:rStyle w:val="CharStyle20"/>
        </w:rPr>
        <w:t>ADVANCED HEALTH AND CARE LIMITED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280" w:line="240" w:lineRule="auto"/>
        <w:ind w:left="0" w:firstLine="0"/>
        <w:jc w:val="right"/>
      </w:pPr>
      <w:r>
        <w:rPr>
          <w:rStyle w:val="CharStyle20"/>
        </w:rPr>
        <w:t>ASTON MIDCO LIMITED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firstLine="0"/>
        <w:jc w:val="right"/>
        <w:rPr>
          <w:sz w:val="22"/>
          <w:szCs w:val="22"/>
        </w:rPr>
      </w:pPr>
      <w:r>
        <w:rPr>
          <w:rStyle w:val="CharStyle20"/>
          <w:b/>
          <w:bCs/>
          <w:color w:val="000000"/>
          <w:sz w:val="22"/>
          <w:szCs w:val="22"/>
        </w:rPr>
        <w:t>26 MARCH 2025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410" w:lineRule="auto"/>
        <w:ind w:left="0" w:right="0" w:firstLine="0"/>
        <w:jc w:val="center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DATA PROTECTION ACT 2018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410" w:lineRule="auto"/>
        <w:ind w:left="0" w:right="0" w:firstLine="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ENFORCEMENT POWERS OF THE INFORMATION COMMISSIONER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410" w:lineRule="auto"/>
        <w:ind w:left="0" w:right="0" w:firstLine="0"/>
        <w:jc w:val="center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PENALTY NOTICE</w:t>
      </w:r>
    </w:p>
    <w:p>
      <w:pPr>
        <w:pStyle w:val="Style22"/>
        <w:keepNext w:val="0"/>
        <w:keepLines w:val="0"/>
        <w:widowControl w:val="0"/>
        <w:shd w:val="clear" w:color="auto" w:fill="auto"/>
        <w:tabs>
          <w:tab w:pos="1071" w:val="left"/>
        </w:tabs>
        <w:bidi w:val="0"/>
        <w:spacing w:before="0" w:after="0" w:line="384" w:lineRule="auto"/>
        <w:ind w:left="0" w:right="0" w:firstLine="0"/>
        <w:jc w:val="left"/>
      </w:pPr>
      <w:r>
        <w:rPr>
          <w:rStyle w:val="CharStyle23"/>
        </w:rPr>
        <w:t>To:</w:t>
        <w:tab/>
        <w:t>Advanced Computer Software Group Limited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1080" w:right="0" w:firstLine="0"/>
        <w:jc w:val="both"/>
      </w:pPr>
      <w:r>
        <w:rPr>
          <w:rStyle w:val="CharStyle23"/>
        </w:rPr>
        <w:t>Advanced Health and Care Limited</w:t>
      </w:r>
    </w:p>
    <w:p>
      <w:pPr>
        <w:pStyle w:val="Style22"/>
        <w:keepNext w:val="0"/>
        <w:keepLines w:val="0"/>
        <w:widowControl w:val="0"/>
        <w:shd w:val="clear" w:color="auto" w:fill="auto"/>
        <w:tabs>
          <w:tab w:pos="1071" w:val="left"/>
        </w:tabs>
        <w:bidi w:val="0"/>
        <w:spacing w:before="0" w:after="0" w:line="384" w:lineRule="auto"/>
        <w:ind w:left="0" w:right="0" w:firstLine="0"/>
        <w:jc w:val="left"/>
      </w:pPr>
      <w:r>
        <w:rPr>
          <w:rStyle w:val="CharStyle23"/>
        </w:rPr>
        <w:t>Of:</w:t>
        <w:tab/>
        <w:t>The Mailbox Level 3, 101 Wharfside Street, Birmingham,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1080" w:right="0" w:firstLine="0"/>
        <w:jc w:val="both"/>
      </w:pPr>
      <w:r>
        <w:rPr>
          <w:rStyle w:val="CharStyle23"/>
        </w:rPr>
        <w:t>United Kingdom, Bl 1RF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410" w:lineRule="auto"/>
        <w:ind w:left="0" w:right="0" w:firstLine="0"/>
        <w:jc w:val="left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And</w:t>
      </w:r>
    </w:p>
    <w:p>
      <w:pPr>
        <w:pStyle w:val="Style22"/>
        <w:keepNext w:val="0"/>
        <w:keepLines w:val="0"/>
        <w:widowControl w:val="0"/>
        <w:shd w:val="clear" w:color="auto" w:fill="auto"/>
        <w:tabs>
          <w:tab w:pos="1071" w:val="left"/>
        </w:tabs>
        <w:bidi w:val="0"/>
        <w:spacing w:before="0" w:line="384" w:lineRule="auto"/>
        <w:ind w:left="0" w:right="0" w:firstLine="0"/>
        <w:jc w:val="both"/>
      </w:pPr>
      <w:r>
        <w:rPr>
          <w:rStyle w:val="CharStyle23"/>
        </w:rPr>
        <w:t>To:</w:t>
        <w:tab/>
        <w:t>Aston Midco Limited</w:t>
      </w:r>
    </w:p>
    <w:p>
      <w:pPr>
        <w:pStyle w:val="Style22"/>
        <w:keepNext w:val="0"/>
        <w:keepLines w:val="0"/>
        <w:widowControl w:val="0"/>
        <w:shd w:val="clear" w:color="auto" w:fill="auto"/>
        <w:tabs>
          <w:tab w:pos="1071" w:val="left"/>
        </w:tabs>
        <w:bidi w:val="0"/>
        <w:spacing w:before="0" w:after="660" w:line="384" w:lineRule="auto"/>
        <w:ind w:left="0" w:right="0" w:firstLine="0"/>
        <w:jc w:val="both"/>
      </w:pPr>
      <w:r>
        <w:rPr>
          <w:rStyle w:val="CharStyle23"/>
        </w:rPr>
        <w:t>Of:</w:t>
        <w:tab/>
        <w:t>26 New Street, St Helier, Jersey, JE2 3RA</w:t>
      </w:r>
    </w:p>
    <w:p>
      <w:pPr>
        <w:pStyle w:val="Style2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76" w:val="left"/>
        </w:tabs>
        <w:bidi w:val="0"/>
        <w:spacing w:before="0" w:line="410" w:lineRule="auto"/>
        <w:ind w:left="0" w:right="0" w:firstLine="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INTRODUCTION AND SUMMARY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476" w:val="left"/>
        </w:tabs>
        <w:bidi w:val="0"/>
        <w:spacing w:before="0" w:line="389" w:lineRule="auto"/>
        <w:ind w:left="540" w:right="0" w:hanging="540"/>
        <w:jc w:val="both"/>
      </w:pPr>
      <w:r>
        <w:rPr>
          <w:rStyle w:val="CharStyle23"/>
        </w:rPr>
        <w:t xml:space="preserve">Pursuant to section 155(1) of the Data Protection Act 2018 </w:t>
      </w:r>
      <w:r>
        <w:rPr>
          <w:rStyle w:val="CharStyle23"/>
          <w:b/>
          <w:bCs/>
          <w:sz w:val="16"/>
          <w:szCs w:val="16"/>
        </w:rPr>
        <w:t>("DPA"),</w:t>
        <w:br/>
      </w:r>
      <w:r>
        <w:rPr>
          <w:rStyle w:val="CharStyle23"/>
        </w:rPr>
        <w:t xml:space="preserve">the Information Commissioner </w:t>
      </w:r>
      <w:r>
        <w:rPr>
          <w:rStyle w:val="CharStyle23"/>
          <w:b/>
          <w:bCs/>
          <w:sz w:val="16"/>
          <w:szCs w:val="16"/>
        </w:rPr>
        <w:t xml:space="preserve">("the Commissioner"), </w:t>
      </w:r>
      <w:r>
        <w:rPr>
          <w:rStyle w:val="CharStyle23"/>
        </w:rPr>
        <w:t>by this</w:t>
        <w:br/>
        <w:t xml:space="preserve">written notice </w:t>
      </w:r>
      <w:r>
        <w:rPr>
          <w:rStyle w:val="CharStyle23"/>
          <w:b/>
          <w:bCs/>
          <w:sz w:val="16"/>
          <w:szCs w:val="16"/>
        </w:rPr>
        <w:t xml:space="preserve">("Penalty Notice") </w:t>
      </w:r>
      <w:r>
        <w:rPr>
          <w:rStyle w:val="CharStyle23"/>
        </w:rPr>
        <w:t>requires Advanced Computer</w:t>
        <w:br/>
        <w:t>Software Group Limited ("ACSG"), Advanced Health and Care Limited</w:t>
        <w:br/>
      </w:r>
      <w:r>
        <w:rPr>
          <w:rStyle w:val="CharStyle23"/>
          <w:b/>
          <w:bCs/>
          <w:sz w:val="16"/>
          <w:szCs w:val="16"/>
        </w:rPr>
        <w:t xml:space="preserve">("AHC") </w:t>
      </w:r>
      <w:r>
        <w:rPr>
          <w:rStyle w:val="CharStyle23"/>
        </w:rPr>
        <w:t xml:space="preserve">and its parent company, Aston Midco Limited </w:t>
      </w:r>
      <w:r>
        <w:rPr>
          <w:rStyle w:val="CharStyle23"/>
          <w:b/>
          <w:bCs/>
          <w:sz w:val="16"/>
          <w:szCs w:val="16"/>
        </w:rPr>
        <w:t>("Aston" -</w:t>
        <w:br/>
      </w:r>
      <w:r>
        <w:rPr>
          <w:rStyle w:val="CharStyle23"/>
        </w:rPr>
        <w:t xml:space="preserve">collectively referred to as </w:t>
      </w:r>
      <w:r>
        <w:rPr>
          <w:rStyle w:val="CharStyle23"/>
          <w:b/>
          <w:bCs/>
          <w:sz w:val="16"/>
          <w:szCs w:val="16"/>
        </w:rPr>
        <w:t xml:space="preserve">"Advanced") </w:t>
      </w:r>
      <w:r>
        <w:rPr>
          <w:rStyle w:val="CharStyle23"/>
        </w:rPr>
        <w:t>to pay the Commissioner</w:t>
        <w:br/>
        <w:t>£3,076,320.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/>
        <w:ind w:left="540" w:right="0" w:hanging="540"/>
        <w:jc w:val="both"/>
      </w:pPr>
      <w:r>
        <w:rPr>
          <w:rStyle w:val="CharStyle23"/>
        </w:rPr>
        <w:t>This Penalty Notice is given in respect of an infringement of the UK</w:t>
        <w:br/>
        <w:t xml:space="preserve">General Data Protection Regulation </w:t>
      </w:r>
      <w:r>
        <w:rPr>
          <w:rStyle w:val="CharStyle23"/>
          <w:b/>
          <w:bCs/>
          <w:sz w:val="16"/>
          <w:szCs w:val="16"/>
        </w:rPr>
        <w:t>("UK GDPR").</w:t>
      </w:r>
      <w:r>
        <w:rPr>
          <w:rStyle w:val="CharStyle23"/>
          <w:b/>
          <w:bCs/>
          <w:sz w:val="16"/>
          <w:szCs w:val="16"/>
          <w:vertAlign w:val="superscript"/>
        </w:rPr>
        <w:footnoteReference w:id="2"/>
      </w:r>
      <w:r>
        <w:rPr>
          <w:rStyle w:val="CharStyle23"/>
          <w:b/>
          <w:bCs/>
          <w:sz w:val="16"/>
          <w:szCs w:val="16"/>
        </w:rPr>
        <w:t xml:space="preserve"> </w:t>
      </w:r>
      <w:r>
        <w:rPr>
          <w:rStyle w:val="CharStyle23"/>
        </w:rPr>
        <w:t>This Penalty</w:t>
        <w:br/>
        <w:t>Notice contains the reasons why the Commissioner has decided to</w:t>
        <w:br/>
        <w:t>impose a penalty, including the circumstances of the infringement</w:t>
        <w:br/>
        <w:t>and the nature of the personal data involved.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after="200"/>
        <w:ind w:left="540" w:right="0" w:hanging="540"/>
        <w:jc w:val="both"/>
      </w:pPr>
      <w:r>
        <w:rPr>
          <w:rStyle w:val="CharStyle23"/>
        </w:rPr>
        <w:t>In accordance with paragraph 2 Schedule 16 to the DPA, the</w:t>
        <w:br/>
        <w:t>Commissioner gave a notice of intent ("NOI") to Advanced on 6</w:t>
        <w:br/>
        <w:t>August 2024, setting out the reasons why the Commissioner</w:t>
        <w:br/>
        <w:t>proposed to give Advanced a penalty notice. In that NOI, the</w:t>
        <w:br/>
        <w:t>Commissioner indicated the amount of the penalty he proposed to</w:t>
        <w:br/>
        <w:t>impose was £6,090,000.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after="200"/>
        <w:ind w:left="540" w:right="0" w:hanging="540"/>
        <w:jc w:val="both"/>
      </w:pPr>
      <w:r>
        <w:rPr>
          <w:rStyle w:val="CharStyle23"/>
        </w:rPr>
        <w:t>On 23 September 2024, Advanced made written representations</w:t>
        <w:br/>
        <w:t>about the Commissioner's intention to give a penalty notice. On 25</w:t>
        <w:br/>
        <w:t>October 2024, the Commissioner sought clarification on the written</w:t>
        <w:br/>
        <w:t>representations, which Advanced provided on 22 November 2024.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after="260"/>
        <w:ind w:left="540" w:right="0" w:hanging="54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5840"/>
          <w:pgMar w:top="2333" w:right="2445" w:bottom="2737" w:left="2970" w:header="0" w:footer="3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23"/>
        </w:rPr>
        <w:t>On 14 March 2024, Advanced entered into a settlement agreement</w:t>
        <w:br/>
        <w:t>with the Commissioner to resolve this investigation. Advanced</w:t>
        <w:br/>
        <w:t>acknowledged the Commissioner's decision and agreed to pay a</w:t>
        <w:br/>
        <w:t xml:space="preserve">penalty of </w:t>
      </w:r>
      <w:r>
        <w:rPr>
          <w:rStyle w:val="CharStyle23"/>
          <w:b/>
          <w:bCs/>
          <w:sz w:val="16"/>
          <w:szCs w:val="16"/>
        </w:rPr>
        <w:t xml:space="preserve">£3,076,320. </w:t>
      </w:r>
      <w:r>
        <w:rPr>
          <w:rStyle w:val="CharStyle23"/>
        </w:rPr>
        <w:t>This Penalty Notice takes into account the</w:t>
        <w:br/>
        <w:t>written representations from Advanced on the NOI and penalty</w:t>
        <w:br/>
        <w:t>calculation and where appropriate makes specific reference to them.</w:t>
        <w:br/>
        <w:t>As part of the settlement, Advanced has agreed not to appeal this</w:t>
        <w:br/>
        <w:t>Penalty Notice.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after="300" w:line="384" w:lineRule="auto"/>
        <w:ind w:left="520" w:right="0" w:hanging="520"/>
        <w:jc w:val="both"/>
      </w:pPr>
      <w:r>
        <w:rPr>
          <w:rStyle w:val="CharStyle23"/>
        </w:rPr>
        <w:t>The penalty includes a 20% reduction following a voluntary</w:t>
        <w:br/>
        <w:t>settlement with the Commissioner.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after="220" w:line="384" w:lineRule="auto"/>
        <w:ind w:left="520" w:right="0" w:hanging="520"/>
        <w:jc w:val="both"/>
      </w:pPr>
      <w:r>
        <w:rPr>
          <w:rStyle w:val="CharStyle23"/>
        </w:rPr>
        <w:t>The Commissioner finds that between 25 May 2018</w:t>
      </w:r>
      <w:r>
        <w:rPr>
          <w:rStyle w:val="CharStyle23"/>
          <w:vertAlign w:val="superscript"/>
        </w:rPr>
        <w:footnoteReference w:id="3"/>
      </w:r>
      <w:r>
        <w:rPr>
          <w:rStyle w:val="CharStyle23"/>
        </w:rPr>
        <w:t xml:space="preserve"> and 22 August</w:t>
        <w:br/>
        <w:t>2022</w:t>
      </w:r>
      <w:r>
        <w:rPr>
          <w:rStyle w:val="CharStyle23"/>
          <w:vertAlign w:val="superscript"/>
        </w:rPr>
        <w:footnoteReference w:id="4"/>
      </w:r>
      <w:r>
        <w:rPr>
          <w:rStyle w:val="CharStyle23"/>
        </w:rPr>
        <w:t xml:space="preserve"> </w:t>
      </w:r>
      <w:r>
        <w:rPr>
          <w:rStyle w:val="CharStyle23"/>
          <w:b/>
          <w:bCs/>
          <w:sz w:val="16"/>
          <w:szCs w:val="16"/>
        </w:rPr>
        <w:t xml:space="preserve">("the Relevant Period") </w:t>
      </w:r>
      <w:r>
        <w:rPr>
          <w:rStyle w:val="CharStyle23"/>
        </w:rPr>
        <w:t>Advanced infringed Article 32(1) UK</w:t>
        <w:br/>
        <w:t>GDPR for the reasons set out in this Penalty Notice. In summary: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63" w:val="left"/>
        </w:tabs>
        <w:bidi w:val="0"/>
        <w:spacing w:before="0" w:after="300"/>
        <w:ind w:left="1140" w:right="0" w:hanging="260"/>
        <w:jc w:val="both"/>
      </w:pPr>
      <w:r>
        <w:rPr>
          <w:rStyle w:val="CharStyle23"/>
        </w:rPr>
        <w:t>AHC failed to implement appropriate technical and</w:t>
        <w:br/>
        <w:t>organisational measures in processing personal data, including</w:t>
        <w:br/>
        <w:t>special category data, on behalf of data controller customer</w:t>
        <w:br/>
        <w:t>entities, which left the security of this data at risk.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70" w:val="left"/>
        </w:tabs>
        <w:bidi w:val="0"/>
        <w:spacing w:before="0" w:after="220"/>
        <w:ind w:left="1140" w:right="0" w:hanging="260"/>
        <w:jc w:val="both"/>
        <w:rPr>
          <w:sz w:val="16"/>
          <w:szCs w:val="16"/>
        </w:rPr>
      </w:pPr>
      <w:r>
        <w:rPr>
          <w:rStyle w:val="CharStyle23"/>
        </w:rPr>
        <w:t>Advanced's technical and organisational measures, particularly</w:t>
        <w:br/>
        <w:t>with regards to parts of their AHC IT environment, fell short of</w:t>
        <w:br/>
        <w:t>fundamental cyber security principles, with deficiencies found</w:t>
        <w:br/>
        <w:t>in respect of vulnerability scanning, patch management and</w:t>
        <w:br/>
        <w:t xml:space="preserve">multi-factor authentication </w:t>
      </w:r>
      <w:r>
        <w:rPr>
          <w:rStyle w:val="CharStyle23"/>
          <w:b/>
          <w:bCs/>
          <w:sz w:val="16"/>
          <w:szCs w:val="16"/>
        </w:rPr>
        <w:t>("MFA").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55" w:val="left"/>
        </w:tabs>
        <w:bidi w:val="0"/>
        <w:spacing w:before="0" w:after="220" w:line="386" w:lineRule="auto"/>
        <w:ind w:left="1140" w:right="0" w:hanging="260"/>
        <w:jc w:val="both"/>
        <w:rPr>
          <w:sz w:val="16"/>
          <w:szCs w:val="16"/>
        </w:rPr>
      </w:pPr>
      <w:r>
        <w:rPr>
          <w:rStyle w:val="CharStyle23"/>
        </w:rPr>
        <w:t>As a consequence, personal data, including special category</w:t>
        <w:br/>
        <w:t>data such as medical and health-related records, relating to</w:t>
        <w:br/>
        <w:t>82,946 individuals, (74,584 of which were associated with UK</w:t>
        <w:br/>
        <w:t>based data controllers) were exfiltrated by an attacker</w:t>
        <w:br/>
      </w:r>
      <w:r>
        <w:rPr>
          <w:rStyle w:val="CharStyle23"/>
          <w:b/>
          <w:bCs/>
          <w:sz w:val="16"/>
          <w:szCs w:val="16"/>
        </w:rPr>
        <w:t xml:space="preserve">("Threat Actor") </w:t>
      </w:r>
      <w:r>
        <w:rPr>
          <w:rStyle w:val="CharStyle23"/>
        </w:rPr>
        <w:t>who gained unauthorised access to AHC's IT</w:t>
        <w:br/>
        <w:t>environment via a ransomware attack between 2 to 4 August</w:t>
        <w:br/>
        <w:t xml:space="preserve">2022 </w:t>
      </w:r>
      <w:r>
        <w:rPr>
          <w:rStyle w:val="CharStyle23"/>
          <w:b/>
          <w:bCs/>
          <w:sz w:val="16"/>
          <w:szCs w:val="16"/>
        </w:rPr>
        <w:t>("the Incident").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70" w:val="left"/>
        </w:tabs>
        <w:bidi w:val="0"/>
        <w:spacing w:before="0" w:after="260" w:line="384" w:lineRule="auto"/>
        <w:ind w:left="1140" w:right="0" w:hanging="26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5840"/>
          <w:pgMar w:top="2775" w:right="2707" w:bottom="2512" w:left="2715" w:header="0" w:footer="2084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The personal data of 79,404 data subjects was exfiltrated</w:t>
        <w:br/>
        <w:t>during the Incident. Of those data subjects, 41,196 had special</w:t>
        <w:br/>
        <w:t>category data exfiltrated (38,208 did not).</w:t>
      </w:r>
      <w:r>
        <w:rPr>
          <w:rStyle w:val="CharStyle23"/>
          <w:vertAlign w:val="superscript"/>
        </w:rPr>
        <w:footnoteReference w:id="5"/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63" w:val="left"/>
        </w:tabs>
        <w:bidi w:val="0"/>
        <w:spacing w:before="0" w:after="200" w:line="391" w:lineRule="auto"/>
        <w:ind w:left="1140" w:right="0" w:hanging="260"/>
        <w:jc w:val="both"/>
        <w:rPr>
          <w:sz w:val="16"/>
          <w:szCs w:val="16"/>
        </w:rPr>
      </w:pPr>
      <w:r>
        <w:rPr>
          <w:rStyle w:val="CharStyle23"/>
        </w:rPr>
        <w:t>The data exfiltrated by the Threat Actor included details of how</w:t>
        <w:br/>
        <w:t xml:space="preserve">to gain entry to the homes of 890 data subjects </w:t>
      </w:r>
      <w:r>
        <w:rPr>
          <w:rStyle w:val="CharStyle23"/>
          <w:b/>
          <w:bCs/>
          <w:sz w:val="16"/>
          <w:szCs w:val="16"/>
        </w:rPr>
        <w:t>("home</w:t>
        <w:br/>
        <w:t>access information").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50" w:val="left"/>
        </w:tabs>
        <w:bidi w:val="0"/>
        <w:spacing w:before="0" w:after="200" w:line="386" w:lineRule="auto"/>
        <w:ind w:left="1140" w:right="0" w:hanging="260"/>
        <w:jc w:val="both"/>
      </w:pPr>
      <w:r>
        <w:rPr>
          <w:rStyle w:val="CharStyle23"/>
        </w:rPr>
        <w:t>The data exfiltrated was linked to 16 data controller</w:t>
        <w:br/>
        <w:t>customers. Overall, 658 data controller customers were</w:t>
        <w:br/>
        <w:t>impacted by the unavailability of products following the</w:t>
        <w:br/>
        <w:t>containment actions taken by Advanced to limit any further</w:t>
        <w:br/>
        <w:t>impact.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70" w:val="left"/>
        </w:tabs>
        <w:bidi w:val="0"/>
        <w:spacing w:before="0" w:after="200" w:line="384" w:lineRule="auto"/>
        <w:ind w:left="1140" w:right="0" w:hanging="260"/>
        <w:jc w:val="both"/>
      </w:pPr>
      <w:r>
        <w:rPr>
          <w:rStyle w:val="CharStyle23"/>
        </w:rPr>
        <w:t>Data controllers, particularly those offering healthcare services</w:t>
        <w:br/>
        <w:t>which form part of the UK's Critical National Infrastructure,</w:t>
        <w:br/>
        <w:t>such as NHS 111, suffered disruption, and faced delays in</w:t>
        <w:br/>
        <w:t>accessing information during the Incident and for some time</w:t>
        <w:br/>
        <w:t>afterwards.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70" w:val="left"/>
        </w:tabs>
        <w:bidi w:val="0"/>
        <w:spacing w:before="0" w:after="200"/>
        <w:ind w:left="1140" w:right="0" w:hanging="260"/>
        <w:jc w:val="both"/>
      </w:pPr>
      <w:r>
        <w:rPr>
          <w:rStyle w:val="CharStyle23"/>
        </w:rPr>
        <w:t>Following the Incident, Advanced proactively took multiple</w:t>
        <w:br/>
        <w:t>systems offline to re-build them from the ground up and</w:t>
        <w:br/>
        <w:t>reconnect data controllers one by one. The first data controller</w:t>
        <w:br/>
        <w:t>was reconnected on 22 August 2022 and the final data</w:t>
        <w:br/>
        <w:t>controller was reconnected on 23 May 2023.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50" w:val="left"/>
        </w:tabs>
        <w:bidi w:val="0"/>
        <w:spacing w:before="0" w:line="384" w:lineRule="auto"/>
        <w:ind w:left="1140" w:right="0" w:hanging="260"/>
        <w:jc w:val="both"/>
      </w:pPr>
      <w:r>
        <w:rPr>
          <w:rStyle w:val="CharStyle23"/>
        </w:rPr>
        <w:t>Other systems outside of Advanced's Health and Care</w:t>
        <w:br/>
        <w:t>environment were also made unavailable due to containment</w:t>
        <w:br/>
        <w:t>measures implemented by Advanced post the Incident.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after="200"/>
        <w:ind w:left="520" w:right="0" w:hanging="52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5840"/>
          <w:pgMar w:top="2985" w:right="2707" w:bottom="2745" w:left="2715" w:header="0" w:footer="3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The Commissioner is satisfied that, on the balance of probabilities,</w:t>
        <w:br/>
        <w:t>during the Relevant Period, AHC failed to implement appropriate</w:t>
        <w:br/>
        <w:t>technical and organisational measures to ensure a level of security</w:t>
        <w:br/>
        <w:t>appropriate to the risks of varying likelihood and severity for the</w:t>
        <w:br/>
        <w:t>rights and freedoms of natural persons in breach of Article 32 UK</w:t>
        <w:br/>
        <w:t>GDPR.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200" w:line="384" w:lineRule="auto"/>
        <w:ind w:left="600" w:right="0" w:hanging="600"/>
        <w:jc w:val="both"/>
      </w:pPr>
      <w:r>
        <w:rPr>
          <w:rStyle w:val="CharStyle23"/>
        </w:rPr>
        <w:t>For the reasons set out in this Notice, the Commissioner considers a</w:t>
        <w:br/>
        <w:t xml:space="preserve">penalty of </w:t>
      </w:r>
      <w:r>
        <w:rPr>
          <w:rStyle w:val="CharStyle23"/>
          <w:b/>
          <w:bCs/>
          <w:sz w:val="16"/>
          <w:szCs w:val="16"/>
        </w:rPr>
        <w:t xml:space="preserve">£3,076,320 </w:t>
      </w:r>
      <w:r>
        <w:rPr>
          <w:rStyle w:val="CharStyle23"/>
        </w:rPr>
        <w:t>adequately reflects the seriousness of the</w:t>
        <w:br/>
        <w:t>infringement and is effective, proportionate and dissuasive. It also</w:t>
        <w:br/>
        <w:t>takes into account Advanced's agreement to settle.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408" w:lineRule="auto"/>
        <w:ind w:left="0" w:right="0" w:firstLine="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II. RELEVANT LEGAL FRAMEWORK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line="384" w:lineRule="auto"/>
        <w:ind w:left="600" w:right="0" w:hanging="600"/>
        <w:jc w:val="both"/>
      </w:pPr>
      <w:r>
        <w:rPr>
          <w:rStyle w:val="CharStyle23"/>
        </w:rPr>
        <w:t>Section 155 DPA provides that, if the Commissioner is satisfied that</w:t>
        <w:br/>
        <w:t>a person has failed, or is failing, as described in section 149(2) DPA,</w:t>
        <w:br/>
        <w:t>the Commissioner may, by written notice, require the person to pay</w:t>
        <w:br/>
        <w:t>the Commissioner an amount in sterling specified in the notice.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line="384" w:lineRule="auto"/>
        <w:ind w:left="600" w:right="0" w:hanging="600"/>
        <w:jc w:val="both"/>
      </w:pPr>
      <w:r>
        <w:rPr>
          <w:rStyle w:val="CharStyle23"/>
        </w:rPr>
        <w:t>The types of failure described in section 149(2) DPA include, at</w:t>
        <w:br/>
        <w:t xml:space="preserve">section 149(2)(c) </w:t>
      </w:r>
      <w:r>
        <w:rPr>
          <w:rStyle w:val="CharStyle23"/>
          <w:i/>
          <w:iCs/>
        </w:rPr>
        <w:t>"where a controller or processor has failed, or is</w:t>
        <w:br/>
        <w:t>failing, to comply with ... a provision of Articles 25 to 39 of the UK</w:t>
        <w:br/>
        <w:t>GDPR ... (obligations of controllers and processors). "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18" w:val="left"/>
        </w:tabs>
        <w:bidi w:val="0"/>
        <w:spacing w:before="0" w:line="384" w:lineRule="auto"/>
        <w:ind w:left="600" w:right="0" w:hanging="600"/>
        <w:jc w:val="both"/>
      </w:pPr>
      <w:r>
        <w:rPr>
          <w:rStyle w:val="CharStyle23"/>
        </w:rPr>
        <w:t>Article 32(1) UK GDPR relates to the security of processing and</w:t>
        <w:br/>
        <w:t>states: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384" w:lineRule="auto"/>
        <w:ind w:left="340" w:right="0" w:firstLine="20"/>
        <w:jc w:val="both"/>
      </w:pPr>
      <w:r>
        <w:rPr>
          <w:rStyle w:val="CharStyle23"/>
          <w:i/>
          <w:iCs/>
        </w:rPr>
        <w:t>"1. Taking into account the state of the art, the costs of implementation</w:t>
        <w:br/>
        <w:t>and the nature, scope, context and purposes of processing as well as</w:t>
        <w:br/>
        <w:t>the risk of varying likelihood and severity for the rights and freedoms of</w:t>
        <w:br/>
        <w:t>natural persons, the controller and the processor shall implement</w:t>
        <w:br/>
        <w:t>appropriate technical and organisational measures to ensure a level of</w:t>
        <w:br/>
        <w:t>security appropriate to the risk, including inter alia as appropriate:</w:t>
      </w:r>
    </w:p>
    <w:p>
      <w:pPr>
        <w:pStyle w:val="Style2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80" w:val="left"/>
        </w:tabs>
        <w:bidi w:val="0"/>
        <w:spacing w:before="0" w:after="0" w:line="384" w:lineRule="auto"/>
        <w:ind w:left="0" w:right="0" w:firstLine="340"/>
        <w:jc w:val="both"/>
      </w:pPr>
      <w:r>
        <w:rPr>
          <w:rStyle w:val="CharStyle23"/>
          <w:i/>
          <w:iCs/>
        </w:rPr>
        <w:t>the pseudonymisation and encryption of personal data;</w:t>
      </w:r>
    </w:p>
    <w:p>
      <w:pPr>
        <w:pStyle w:val="Style2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900" w:val="left"/>
        </w:tabs>
        <w:bidi w:val="0"/>
        <w:spacing w:before="0" w:after="0" w:line="384" w:lineRule="auto"/>
        <w:ind w:left="880" w:right="0" w:hanging="520"/>
        <w:jc w:val="both"/>
      </w:pPr>
      <w:r>
        <w:rPr>
          <w:rStyle w:val="CharStyle23"/>
          <w:i/>
          <w:iCs/>
        </w:rPr>
        <w:t>the ability to ensure the ongoing confidentiality, integrity,</w:t>
        <w:br/>
        <w:t>availability and resilience of processing systems and services;</w:t>
      </w:r>
    </w:p>
    <w:p>
      <w:pPr>
        <w:pStyle w:val="Style2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900" w:val="left"/>
        </w:tabs>
        <w:bidi w:val="0"/>
        <w:spacing w:before="0" w:after="0" w:line="384" w:lineRule="auto"/>
        <w:ind w:left="880" w:right="0" w:hanging="520"/>
        <w:jc w:val="both"/>
      </w:pPr>
      <w:r>
        <w:rPr>
          <w:rStyle w:val="CharStyle23"/>
          <w:i/>
          <w:iCs/>
        </w:rPr>
        <w:t>the ability to restore the availability and access to personal data</w:t>
        <w:br/>
        <w:t>in a timely manner in the event of a physical or technical incident;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Style w:val="CharStyle23"/>
        </w:rPr>
        <w:t>6</w:t>
      </w:r>
    </w:p>
    <w:p>
      <w:pPr>
        <w:pStyle w:val="Style2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929" w:val="left"/>
        </w:tabs>
        <w:bidi w:val="0"/>
        <w:spacing w:before="0" w:line="379" w:lineRule="auto"/>
        <w:ind w:left="900" w:right="0" w:hanging="540"/>
        <w:jc w:val="both"/>
      </w:pPr>
      <w:r>
        <w:rPr>
          <w:rStyle w:val="CharStyle23"/>
          <w:i/>
          <w:iCs/>
        </w:rPr>
        <w:t>a process for regularly testing, assessing and evaluating the</w:t>
        <w:br/>
        <w:t>effectiveness of technical and organisational measures for</w:t>
        <w:br/>
        <w:t>ensuring the security of the processing.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37" w:val="left"/>
        </w:tabs>
        <w:bidi w:val="0"/>
        <w:spacing w:before="0" w:line="396" w:lineRule="auto"/>
        <w:ind w:left="600" w:right="0" w:hanging="600"/>
        <w:jc w:val="both"/>
      </w:pPr>
      <w:r>
        <w:rPr>
          <w:rStyle w:val="CharStyle23"/>
        </w:rPr>
        <w:t xml:space="preserve">The legal framework for setting penalties is set out in </w:t>
      </w:r>
      <w:r>
        <w:rPr>
          <w:rStyle w:val="CharStyle23"/>
          <w:b/>
          <w:bCs/>
          <w:sz w:val="16"/>
          <w:szCs w:val="16"/>
        </w:rPr>
        <w:t>Section V:</w:t>
        <w:br/>
        <w:t xml:space="preserve">Decision to Impose Penalty </w:t>
      </w:r>
      <w:r>
        <w:rPr>
          <w:rStyle w:val="CharStyle23"/>
        </w:rPr>
        <w:t>below.</w:t>
      </w:r>
    </w:p>
    <w:p>
      <w:pPr>
        <w:pStyle w:val="Style2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37" w:val="left"/>
        </w:tabs>
        <w:bidi w:val="0"/>
        <w:spacing w:before="0" w:line="406" w:lineRule="auto"/>
        <w:ind w:left="0" w:right="0" w:firstLine="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BACKGROUND TO THE INFRINGMENET</w:t>
      </w:r>
    </w:p>
    <w:p>
      <w:pPr>
        <w:pStyle w:val="Style2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45" w:val="left"/>
        </w:tabs>
        <w:bidi w:val="0"/>
        <w:spacing w:before="0"/>
        <w:ind w:left="0" w:right="0" w:firstLine="340"/>
        <w:jc w:val="both"/>
      </w:pPr>
      <w:r>
        <w:rPr>
          <w:rStyle w:val="CharStyle23"/>
          <w:i/>
          <w:iCs/>
          <w:u w:val="single"/>
        </w:rPr>
        <w:t>Background regarding Advanced</w:t>
      </w:r>
    </w:p>
    <w:p>
      <w:pPr>
        <w:pStyle w:val="Style2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37" w:val="left"/>
        </w:tabs>
        <w:bidi w:val="0"/>
        <w:spacing w:before="0"/>
        <w:ind w:left="600" w:right="0" w:hanging="600"/>
        <w:jc w:val="both"/>
      </w:pPr>
      <w:r>
        <w:rPr>
          <w:rStyle w:val="CharStyle23"/>
        </w:rPr>
        <w:t>Advanced is a sector-focused SaaS provider, headquartered in</w:t>
        <w:br/>
        <w:t>Birmingham. On its website, Advanced refers to itself as</w:t>
        <w:br/>
        <w:t>'OneAdvanced'.</w:t>
      </w:r>
      <w:r>
        <w:rPr>
          <w:rStyle w:val="CharStyle23"/>
          <w:vertAlign w:val="superscript"/>
        </w:rPr>
        <w:footnoteReference w:id="6"/>
      </w:r>
      <w:r>
        <w:rPr>
          <w:rStyle w:val="CharStyle23"/>
        </w:rPr>
        <w:t xml:space="preserve"> It provides information technology services across a</w:t>
        <w:br/>
        <w:t>wide range of sectors, such as healthcare, the legal industry and the</w:t>
        <w:br/>
        <w:t>education sector.</w:t>
      </w:r>
    </w:p>
    <w:p>
      <w:pPr>
        <w:pStyle w:val="Style2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37" w:val="left"/>
        </w:tabs>
        <w:bidi w:val="0"/>
        <w:spacing w:before="0" w:after="200"/>
        <w:ind w:left="600" w:right="0" w:hanging="600"/>
        <w:jc w:val="both"/>
      </w:pPr>
      <w:r>
        <w:rPr>
          <w:rStyle w:val="CharStyle23"/>
        </w:rPr>
        <w:t>All UK based employees of Advanced and its subsidiaries, including</w:t>
        <w:br/>
        <w:t>employees who process data relevant to AHC, are employed by</w:t>
        <w:br/>
        <w:t>Advanced Business Software Solutions Limited ("ABBS"). Employees</w:t>
        <w:br/>
        <w:t>are allocated to a division or function within the wider business, such</w:t>
        <w:br/>
        <w:t>as the Health &amp; Care Division (which operates through AHC) but are</w:t>
        <w:br/>
        <w:t>paid and contracted through ABSS.</w:t>
      </w:r>
      <w:r>
        <w:rPr>
          <w:rStyle w:val="CharStyle23"/>
          <w:vertAlign w:val="superscript"/>
        </w:rPr>
        <w:footnoteReference w:id="7"/>
      </w:r>
    </w:p>
    <w:p>
      <w:pPr>
        <w:pStyle w:val="Style2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37" w:val="left"/>
        </w:tabs>
        <w:bidi w:val="0"/>
        <w:spacing w:before="0" w:line="386" w:lineRule="auto"/>
        <w:ind w:left="600" w:right="0" w:hanging="600"/>
        <w:jc w:val="both"/>
      </w:pPr>
      <w:r>
        <w:rPr>
          <w:rStyle w:val="CharStyle23"/>
        </w:rPr>
        <w:t>AHC offers a number of software products to data controller</w:t>
        <w:br/>
        <w:t>customers including clinical patient management software, electronic</w:t>
        <w:br/>
        <w:t>patient record software, clinical decision support software, care</w:t>
        <w:br/>
        <w:t>planning software and workforce management software.</w:t>
      </w:r>
    </w:p>
    <w:p>
      <w:pPr>
        <w:pStyle w:val="Style2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06" w:val="left"/>
        </w:tabs>
        <w:bidi w:val="0"/>
        <w:spacing w:before="0" w:after="300" w:line="377" w:lineRule="auto"/>
        <w:ind w:left="540" w:right="0" w:hanging="540"/>
        <w:jc w:val="both"/>
      </w:pPr>
      <w:r>
        <w:rPr>
          <w:rStyle w:val="CharStyle23"/>
        </w:rPr>
        <w:t>In relation to the Incident, AHC was acting as a data processor, as</w:t>
        <w:br/>
        <w:t>defined by Article 4(8) UK GDPR. The Commissioner has therefore</w:t>
        <w:br/>
        <w:t>considered Advanced's obligations in the context of its role as a data</w:t>
        <w:br/>
        <w:t>processor only.</w:t>
      </w:r>
    </w:p>
    <w:p>
      <w:pPr>
        <w:pStyle w:val="Style2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0" w:val="left"/>
        </w:tabs>
        <w:bidi w:val="0"/>
        <w:spacing w:before="0" w:after="0" w:line="379" w:lineRule="auto"/>
        <w:ind w:left="0" w:right="0" w:firstLine="280"/>
        <w:jc w:val="both"/>
      </w:pPr>
      <w:r>
        <w:rPr>
          <w:rStyle w:val="CharStyle23"/>
          <w:i/>
          <w:iCs/>
          <w:u w:val="single"/>
        </w:rPr>
        <w:t>Processing of Personal Data and Information Security Governance at</w:t>
      </w:r>
    </w:p>
    <w:p>
      <w:pPr>
        <w:pStyle w:val="Style27"/>
        <w:keepNext/>
        <w:keepLines/>
        <w:widowControl w:val="0"/>
        <w:shd w:val="clear" w:color="auto" w:fill="auto"/>
        <w:bidi w:val="0"/>
        <w:spacing w:before="0" w:after="300" w:line="379" w:lineRule="auto"/>
        <w:ind w:left="0" w:right="0" w:firstLine="540"/>
        <w:jc w:val="both"/>
      </w:pPr>
      <w:bookmarkStart w:id="4" w:name="bookmark4"/>
      <w:r>
        <w:rPr>
          <w:rStyle w:val="CharStyle28"/>
          <w:rFonts w:ascii="Times New Roman" w:eastAsia="Times New Roman" w:hAnsi="Times New Roman" w:cs="Times New Roman"/>
          <w:i/>
          <w:iCs/>
          <w:u w:val="none"/>
        </w:rPr>
        <w:t>Advanced</w:t>
      </w:r>
      <w:bookmarkEnd w:id="4"/>
    </w:p>
    <w:p>
      <w:pPr>
        <w:pStyle w:val="Style2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06" w:val="left"/>
        </w:tabs>
        <w:bidi w:val="0"/>
        <w:spacing w:before="0" w:after="0"/>
        <w:ind w:left="540" w:right="0" w:hanging="540"/>
        <w:jc w:val="both"/>
      </w:pPr>
      <w:r>
        <w:rPr>
          <w:rStyle w:val="CharStyle23"/>
        </w:rPr>
        <w:t>The policies, standards and procedures regarding information</w:t>
        <w:br/>
        <w:t>security governance and data processing are authored and controlled</w:t>
        <w:br/>
        <w:t>by ACSG for the entire Advanced Group and implemented by the</w:t>
        <w:br/>
        <w:t>Advanced subsidiaries.</w:t>
      </w:r>
      <w:r>
        <w:rPr>
          <w:rStyle w:val="CharStyle23"/>
          <w:vertAlign w:val="superscript"/>
        </w:rPr>
        <w:footnoteReference w:id="8"/>
      </w:r>
      <w:r>
        <w:rPr>
          <w:rStyle w:val="CharStyle23"/>
        </w:rPr>
        <w:t xml:space="preserve"> The diagram below</w:t>
      </w:r>
      <w:r>
        <w:rPr>
          <w:rStyle w:val="CharStyle23"/>
          <w:vertAlign w:val="superscript"/>
        </w:rPr>
        <w:footnoteReference w:id="9"/>
      </w:r>
      <w:r>
        <w:rPr>
          <w:rStyle w:val="CharStyle23"/>
        </w:rPr>
        <w:t xml:space="preserve"> sets out the relevant</w:t>
        <w:br/>
        <w:t>boards at Group level who have influence over and create information</w:t>
        <w:br/>
        <w:t>security policies, and the relevant individuals within each subdivision</w:t>
        <w:br/>
        <w:t>of Advanced Group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1"/>
        </w:rPr>
        <w:t>who are expected to create procedures</w:t>
        <w:br/>
        <w:t>to implement the policies for their division: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491355" cy="2486025"/>
            <wp:docPr id="21" name="Picut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4491355" cy="2486025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2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20" w:val="left"/>
        </w:tabs>
        <w:bidi w:val="0"/>
        <w:spacing w:before="0" w:after="0" w:line="374" w:lineRule="auto"/>
        <w:ind w:left="540" w:right="0" w:hanging="540"/>
        <w:jc w:val="both"/>
      </w:pPr>
      <w:r>
        <w:rPr>
          <w:rStyle w:val="CharStyle23"/>
        </w:rPr>
        <w:t>At the time of the Incident, Advanced had several functions at Group</w:t>
        <w:br/>
        <w:t>level relevant to the processing of personal data and information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1"/>
        </w:rPr>
        <w:t>security governance. The relevant decision-making bodies are as</w:t>
      </w:r>
    </w:p>
    <w:p>
      <w:pPr>
        <w:widowControl w:val="0"/>
        <w:jc w:val="right"/>
        <w:rPr>
          <w:sz w:val="2"/>
          <w:szCs w:val="2"/>
        </w:rPr>
      </w:pPr>
      <w:r>
        <w:drawing>
          <wp:inline>
            <wp:extent cx="4024630" cy="2676525"/>
            <wp:docPr id="22" name="Picut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4024630" cy="2676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39" w:line="1" w:lineRule="exact"/>
      </w:pPr>
    </w:p>
    <w:p>
      <w:pPr>
        <w:pStyle w:val="Style2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20" w:val="left"/>
        </w:tabs>
        <w:bidi w:val="0"/>
        <w:spacing w:before="0" w:after="180" w:line="384" w:lineRule="auto"/>
        <w:ind w:left="540" w:right="0" w:hanging="540"/>
        <w:jc w:val="both"/>
      </w:pPr>
      <w:r>
        <w:rPr>
          <w:rStyle w:val="CharStyle23"/>
        </w:rPr>
        <w:t>The policies created and controlled by Advanced at the time of the</w:t>
        <w:br/>
        <w:t>Incident were intended to apply across all of the Advanced legal</w:t>
        <w:br/>
        <w:t>entities and create a set of baseline policies to be applied across the</w:t>
        <w:br/>
        <w:t>Advanced Group to ensure standardisation.</w:t>
      </w:r>
      <w:r>
        <w:rPr>
          <w:rStyle w:val="CharStyle23"/>
          <w:vertAlign w:val="superscript"/>
        </w:rPr>
        <w:t>10</w:t>
      </w:r>
    </w:p>
    <w:p>
      <w:pPr>
        <w:pStyle w:val="Style2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0" w:val="left"/>
        </w:tabs>
        <w:bidi w:val="0"/>
        <w:spacing w:before="0" w:after="340" w:line="384" w:lineRule="auto"/>
        <w:ind w:left="540" w:right="0" w:hanging="260"/>
        <w:jc w:val="both"/>
      </w:pPr>
      <w:r>
        <w:rPr>
          <w:rStyle w:val="CharStyle23"/>
          <w:i/>
          <w:iCs/>
          <w:u w:val="single"/>
        </w:rPr>
        <w:t>Relevant Policies, Procedures and standards Prior to and During the</w:t>
        <w:br/>
        <w:t>Incident</w:t>
      </w:r>
    </w:p>
    <w:p>
      <w:pPr>
        <w:pStyle w:val="Style22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20" w:val="left"/>
        </w:tabs>
        <w:bidi w:val="0"/>
        <w:spacing w:before="0" w:after="260" w:line="384" w:lineRule="auto"/>
        <w:ind w:left="540" w:right="0" w:hanging="540"/>
        <w:jc w:val="both"/>
        <w:sectPr>
          <w:headerReference w:type="default" r:id="rId21"/>
          <w:footerReference w:type="default" r:id="rId22"/>
          <w:headerReference w:type="even" r:id="rId23"/>
          <w:footerReference w:type="even" r:id="rId24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5840"/>
          <w:pgMar w:top="2775" w:right="2680" w:bottom="2512" w:left="2643" w:header="0" w:footer="2084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The key information management policies relevant to the Incident are</w:t>
        <w:br/>
        <w:t>set out below:</w:t>
      </w:r>
    </w:p>
    <w:p>
      <w:pPr>
        <w:pStyle w:val="Style27"/>
        <w:keepNext/>
        <w:keepLines/>
        <w:widowControl w:val="0"/>
        <w:numPr>
          <w:ilvl w:val="0"/>
          <w:numId w:val="11"/>
        </w:numPr>
        <w:shd w:val="clear" w:color="auto" w:fill="auto"/>
        <w:tabs>
          <w:tab w:pos="653" w:val="left"/>
        </w:tabs>
        <w:bidi w:val="0"/>
        <w:spacing w:before="0" w:after="0" w:line="240" w:lineRule="auto"/>
        <w:ind w:left="0" w:right="0" w:firstLine="280"/>
        <w:jc w:val="both"/>
      </w:pPr>
      <w:bookmarkStart w:id="6" w:name="bookmark6"/>
      <w:r>
        <w:rPr>
          <w:rStyle w:val="CharStyle28"/>
          <w:i/>
          <w:iCs/>
        </w:rPr>
        <w:t>Relevant Events Prior to the Incident</w:t>
      </w:r>
      <w:bookmarkEnd w:id="6"/>
    </w:p>
    <w:p>
      <w:pPr>
        <w:widowControl w:val="0"/>
        <w:spacing w:line="1" w:lineRule="exact"/>
        <w:sectPr>
          <w:headerReference w:type="default" r:id="rId25"/>
          <w:footerReference w:type="default" r:id="rId26"/>
          <w:headerReference w:type="even" r:id="rId27"/>
          <w:footerReference w:type="even" r:id="rId28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5840"/>
          <w:pgMar w:top="4748" w:right="2715" w:bottom="2895" w:left="2700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2474595" distB="1080770" distL="0" distR="0" simplePos="0" relativeHeight="125829378" behindDoc="0" locked="0" layoutInCell="1" allowOverlap="1">
                <wp:simplePos x="0" y="0"/>
                <wp:positionH relativeFrom="page">
                  <wp:posOffset>1724025</wp:posOffset>
                </wp:positionH>
                <wp:positionV relativeFrom="paragraph">
                  <wp:posOffset>2474595</wp:posOffset>
                </wp:positionV>
                <wp:extent cx="209550" cy="147955"/>
                <wp:wrapTopAndBottom/>
                <wp:docPr id="35" name="Shape 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9550" cy="1479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24.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1" type="#_x0000_t202" style="position:absolute;margin-left:135.75pt;margin-top:194.84999999999999pt;width:16.5pt;height:11.65pt;z-index:-125829375;mso-wrap-distance-left:0;mso-wrap-distance-top:194.84999999999999pt;mso-wrap-distance-right:0;mso-wrap-distance-bottom:85.100000000000009pt;mso-position-horizontal-relative:page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24.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165100" distB="2938145" distL="0" distR="0" simplePos="0" relativeHeight="125829380" behindDoc="0" locked="0" layoutInCell="1" allowOverlap="1">
            <wp:simplePos x="0" y="0"/>
            <wp:positionH relativeFrom="page">
              <wp:posOffset>2038350</wp:posOffset>
            </wp:positionH>
            <wp:positionV relativeFrom="paragraph">
              <wp:posOffset>165100</wp:posOffset>
            </wp:positionV>
            <wp:extent cx="4053205" cy="600075"/>
            <wp:wrapTopAndBottom/>
            <wp:docPr id="37" name="Shap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box 38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ext cx="4053205" cy="6000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998220" distB="1471295" distL="0" distR="0" simplePos="0" relativeHeight="125829381" behindDoc="0" locked="0" layoutInCell="1" allowOverlap="1">
            <wp:simplePos x="0" y="0"/>
            <wp:positionH relativeFrom="page">
              <wp:posOffset>2052320</wp:posOffset>
            </wp:positionH>
            <wp:positionV relativeFrom="paragraph">
              <wp:posOffset>998220</wp:posOffset>
            </wp:positionV>
            <wp:extent cx="4048125" cy="1233805"/>
            <wp:wrapTopAndBottom/>
            <wp:docPr id="39" name="Shape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box 40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ext cx="4048125" cy="12338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2860675" distB="623570" distL="0" distR="1285875" simplePos="0" relativeHeight="125829382" behindDoc="0" locked="0" layoutInCell="1" allowOverlap="1">
            <wp:simplePos x="0" y="0"/>
            <wp:positionH relativeFrom="page">
              <wp:posOffset>2028825</wp:posOffset>
            </wp:positionH>
            <wp:positionV relativeFrom="paragraph">
              <wp:posOffset>2860675</wp:posOffset>
            </wp:positionV>
            <wp:extent cx="2762250" cy="219075"/>
            <wp:wrapTopAndBottom/>
            <wp:docPr id="41" name="Shap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box 42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ext cx="2762250" cy="2190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ragraph">
                  <wp:posOffset>2465070</wp:posOffset>
                </wp:positionV>
                <wp:extent cx="4019550" cy="390525"/>
                <wp:wrapNone/>
                <wp:docPr id="43" name="Shape 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19550" cy="3905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01" w:lineRule="auto"/>
                              <w:ind w:left="0" w:right="1000" w:firstLine="0"/>
                              <w:jc w:val="right"/>
                            </w:pPr>
                            <w:r>
                              <w:rPr>
                                <w:rStyle w:val="CharStyle31"/>
                              </w:rPr>
                              <w:t>KiCS ^^^^^^^^^| AdS</w:t>
                              <w:br/>
                              <w:t>mature vulnerability management scanning mechanisms, ^^^^Hi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position:absolute;margin-left:162.pt;margin-top:194.09999999999999pt;width:316.5pt;height:30.7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01" w:lineRule="auto"/>
                        <w:ind w:left="0" w:right="1000" w:firstLine="0"/>
                        <w:jc w:val="right"/>
                      </w:pPr>
                      <w:r>
                        <w:rPr>
                          <w:rStyle w:val="CharStyle31"/>
                        </w:rPr>
                        <w:t>KiCS ^^^^^^^^^| AdS</w:t>
                        <w:br/>
                        <w:t>mature vulnerability management scanning mechanisms, ^^^^Hi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3251200" distB="0" distL="0" distR="0" simplePos="0" relativeHeight="125829383" behindDoc="0" locked="0" layoutInCell="1" allowOverlap="1">
            <wp:simplePos x="0" y="0"/>
            <wp:positionH relativeFrom="page">
              <wp:posOffset>2038350</wp:posOffset>
            </wp:positionH>
            <wp:positionV relativeFrom="paragraph">
              <wp:posOffset>3251200</wp:posOffset>
            </wp:positionV>
            <wp:extent cx="4038600" cy="452755"/>
            <wp:wrapTopAndBottom/>
            <wp:docPr id="45" name="Shap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box 46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ext cx="4038600" cy="4527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08" w:after="108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2240" w:h="15840"/>
          <w:pgMar w:top="4748" w:right="0" w:bottom="289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r>
        <w:rPr>
          <w:rStyle w:val="CharStyle34"/>
          <w:smallCaps/>
          <w:lang w:val="fr-FR" w:eastAsia="fr-FR"/>
        </w:rPr>
        <w:t>h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2240" w:h="15840"/>
          <w:pgMar w:top="4748" w:right="2714" w:bottom="2895" w:left="2707" w:header="0" w:footer="3" w:gutter="0"/>
          <w:cols w:space="720"/>
          <w:noEndnote/>
          <w:rtlGutter w:val="0"/>
          <w:docGrid w:linePitch="360"/>
        </w:sectPr>
      </w:pPr>
      <w:r>
        <w:rPr>
          <w:rStyle w:val="CharStyle34"/>
        </w:rPr>
        <w:t>” Letter from Norton Rose Fulbright to ICO dated 9 October 2022. point 23.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right"/>
      </w:pPr>
      <w:r>
        <mc:AlternateContent>
          <mc:Choice Requires="wps">
            <w:drawing>
              <wp:anchor distT="0" distB="0" distL="114300" distR="114300" simplePos="0" relativeHeight="125829384" behindDoc="0" locked="0" layoutInCell="1" allowOverlap="1">
                <wp:simplePos x="0" y="0"/>
                <wp:positionH relativeFrom="page">
                  <wp:posOffset>1724025</wp:posOffset>
                </wp:positionH>
                <wp:positionV relativeFrom="paragraph">
                  <wp:posOffset>12700</wp:posOffset>
                </wp:positionV>
                <wp:extent cx="209550" cy="147955"/>
                <wp:wrapSquare wrapText="right"/>
                <wp:docPr id="47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9550" cy="1479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26.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position:absolute;margin-left:135.75pt;margin-top:1.pt;width:16.5pt;height:11.65pt;z-index:-12582936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26.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3"/>
        </w:rPr>
        <w:t>vulnerability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540"/>
        <w:jc w:val="both"/>
      </w:pPr>
      <w:r>
        <w:rPr>
          <w:rStyle w:val="CharStyle23"/>
        </w:rPr>
        <w:t>scanning was rated as (jointly) the highest priority security risk to the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540"/>
        <w:jc w:val="both"/>
      </w:pPr>
      <w:r>
        <w:rPr>
          <w:rStyle w:val="CharStyle23"/>
        </w:rPr>
        <w:t>IT infrastructure.</w:t>
      </w:r>
      <w:r>
        <w:rPr>
          <w:rStyle w:val="CharStyle23"/>
          <w:vertAlign w:val="superscript"/>
        </w:rPr>
        <w:footnoteReference w:id="10"/>
      </w:r>
    </w:p>
    <w:p>
      <w:pPr>
        <w:pStyle w:val="Style2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25" w:val="left"/>
        </w:tabs>
        <w:bidi w:val="0"/>
        <w:spacing w:before="0"/>
        <w:ind w:left="540" w:right="0" w:hanging="540"/>
        <w:jc w:val="both"/>
      </w:pPr>
      <w:r>
        <w:rPr>
          <w:rStyle w:val="CharStyle23"/>
        </w:rPr>
        <w:t>Separately, on 11 August 2020 Microsoft released a security update</w:t>
        <w:br/>
        <w:t>including a patch for a critical vulnerability in the</w:t>
        <w:br/>
        <w:t>NETLOGON ^protocol (known as ZeroLogon CVE-2020-1472).</w:t>
      </w:r>
      <w:r>
        <w:rPr>
          <w:rStyle w:val="CharStyle23"/>
          <w:vertAlign w:val="superscript"/>
        </w:rPr>
        <w:t>17</w:t>
      </w:r>
      <w:r>
        <w:rPr>
          <w:rStyle w:val="CharStyle23"/>
        </w:rPr>
        <w:t xml:space="preserve"> The</w:t>
        <w:br/>
        <w:t>ZeroLogon vulnerability can allow a cyber threat actor to bypass</w:t>
        <w:br/>
        <w:t>authentication and gain administrator-level privileges on the domain.</w:t>
        <w:br/>
        <w:t>Microsoft produced detailed guidance on how to address the</w:t>
        <w:br/>
        <w:t>vulnerability.</w:t>
      </w:r>
      <w:r>
        <w:rPr>
          <w:rStyle w:val="CharStyle23"/>
          <w:vertAlign w:val="superscript"/>
        </w:rPr>
        <w:t>18</w:t>
      </w:r>
      <w:r>
        <w:rPr>
          <w:rStyle w:val="CharStyle23"/>
        </w:rPr>
        <w:t xml:space="preserve"> Any patch released by Microsoft on 11 August 2020</w:t>
        <w:br/>
        <w:t>or later would have addressed this particular vulnerability.</w:t>
      </w:r>
    </w:p>
    <w:p>
      <w:pPr>
        <w:pStyle w:val="Style2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25" w:val="left"/>
        </w:tabs>
        <w:bidi w:val="0"/>
        <w:spacing w:before="0" w:after="200" w:line="379" w:lineRule="auto"/>
        <w:ind w:left="540" w:right="0" w:hanging="540"/>
        <w:jc w:val="both"/>
        <w:sectPr>
          <w:headerReference w:type="default" r:id="rId37"/>
          <w:footerReference w:type="default" r:id="rId38"/>
          <w:headerReference w:type="even" r:id="rId39"/>
          <w:footerReference w:type="even" r:id="rId40"/>
          <w:footnotePr>
            <w:pos w:val="pageBottom"/>
            <w:numFmt w:val="decimal"/>
            <w:numStart w:val="7"/>
            <w:numRestart w:val="continuous"/>
            <w15:footnoteColumns w:val="1"/>
          </w:footnotePr>
          <w:pgSz w:w="12240" w:h="15840"/>
          <w:pgMar w:top="5745" w:right="2714" w:bottom="2505" w:left="2707" w:header="0" w:footer="2077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The NCSC also published an alert regarding the ZeroLogon</w:t>
        <w:br/>
        <w:t>vulnerability on 25 September 2020</w:t>
      </w:r>
      <w:r>
        <w:rPr>
          <w:rStyle w:val="CharStyle23"/>
          <w:vertAlign w:val="superscript"/>
        </w:rPr>
        <w:t>19</w:t>
      </w:r>
      <w:r>
        <w:rPr>
          <w:rStyle w:val="CharStyle23"/>
        </w:rPr>
        <w:t xml:space="preserve"> with advice that the</w:t>
        <w:br/>
        <w:t>vulnerability was being actively exploited and organisations should</w:t>
      </w:r>
    </w:p>
    <w:p>
      <w:pPr>
        <w:widowControl w:val="0"/>
        <w:spacing w:line="11" w:lineRule="exact"/>
        <w:rPr>
          <w:sz w:val="2"/>
          <w:szCs w:val="2"/>
        </w:rPr>
      </w:pPr>
    </w:p>
    <w:p>
      <w:pPr>
        <w:widowControl w:val="0"/>
        <w:spacing w:line="1" w:lineRule="exact"/>
        <w:sectPr>
          <w:headerReference w:type="default" r:id="rId41"/>
          <w:footerReference w:type="default" r:id="rId42"/>
          <w:headerReference w:type="even" r:id="rId43"/>
          <w:footerReference w:type="even" r:id="rId44"/>
          <w:headerReference w:type="first" r:id="rId45"/>
          <w:footerReference w:type="first" r:id="rId46"/>
          <w:footnotePr>
            <w:pos w:val="pageBottom"/>
            <w:numFmt w:val="decimal"/>
            <w:numStart w:val="7"/>
            <w:numRestart w:val="continuous"/>
            <w15:footnoteColumns w:val="1"/>
          </w:footnotePr>
          <w:pgSz w:w="12240" w:h="15840"/>
          <w:pgMar w:top="2775" w:right="2707" w:bottom="3292" w:left="2707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540" w:right="0" w:firstLine="0"/>
        <w:jc w:val="both"/>
      </w:pPr>
      <w:r>
        <w:rPr>
          <w:rStyle w:val="CharStyle23"/>
        </w:rPr>
        <w:t>install necessary updates as soon as possible. A further security</w:t>
        <w:br/>
        <w:t>update was made available by Microsoft in February 2021.</w:t>
      </w:r>
    </w:p>
    <w:p>
      <w:pPr>
        <w:pStyle w:val="Style2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525" w:val="left"/>
        </w:tabs>
        <w:bidi w:val="0"/>
        <w:spacing w:before="0" w:after="360" w:line="379" w:lineRule="auto"/>
        <w:ind w:left="540" w:right="0" w:hanging="540"/>
        <w:jc w:val="left"/>
      </w:pPr>
      <w:r>
        <w:rPr>
          <w:rStyle w:val="CharStyle23"/>
        </w:rPr>
        <w:t>The National Institute of Standards and Technology ("NIST") graded</w:t>
        <w:br/>
        <w:t>the ZeroLogon vulnerability with a CVSS v3 10.0/10.0 which made it</w:t>
        <w:br/>
        <w:t>one of the most serious, active vulnerabilities in existence.</w:t>
      </w:r>
      <w:r>
        <w:rPr>
          <w:rStyle w:val="CharStyle23"/>
          <w:vertAlign w:val="superscript"/>
        </w:rPr>
        <w:footnoteReference w:id="11"/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Style w:val="CharStyle23"/>
          <w:i/>
          <w:iCs/>
        </w:rPr>
        <w:t xml:space="preserve">E. </w:t>
      </w:r>
      <w:r>
        <w:rPr>
          <w:rStyle w:val="CharStyle23"/>
          <w:i/>
          <w:iCs/>
          <w:lang w:val="fr-FR" w:eastAsia="fr-FR"/>
        </w:rPr>
        <w:t>JOieJa£isi£ûL=-2JQAAuQUSt2Q22.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1"/>
            <w:numRestart w:val="continuous"/>
            <w15:footnoteColumns w:val="1"/>
          </w:footnotePr>
          <w:type w:val="continuous"/>
          <w:pgSz w:w="12240" w:h="15840"/>
          <w:pgMar w:top="2775" w:right="2707" w:bottom="3292" w:left="2707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82245" distB="4445" distL="0" distR="0" simplePos="0" relativeHeight="125829386" behindDoc="0" locked="0" layoutInCell="1" allowOverlap="1">
                <wp:simplePos x="0" y="0"/>
                <wp:positionH relativeFrom="page">
                  <wp:posOffset>1724660</wp:posOffset>
                </wp:positionH>
                <wp:positionV relativeFrom="paragraph">
                  <wp:posOffset>182245</wp:posOffset>
                </wp:positionV>
                <wp:extent cx="209550" cy="147955"/>
                <wp:wrapTopAndBottom/>
                <wp:docPr id="65" name="Shape 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9550" cy="1479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30.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1" type="#_x0000_t202" style="position:absolute;margin-left:135.80000000000001pt;margin-top:14.35pt;width:16.5pt;height:11.65pt;z-index:-125829367;mso-wrap-distance-left:0;mso-wrap-distance-top:14.35pt;mso-wrap-distance-right:0;mso-wrap-distance-bottom:0.35000000000000003pt;mso-position-horizontal-relative:page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30.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7800" distB="9525" distL="0" distR="0" simplePos="0" relativeHeight="125829388" behindDoc="0" locked="0" layoutInCell="1" allowOverlap="1">
                <wp:simplePos x="0" y="0"/>
                <wp:positionH relativeFrom="page">
                  <wp:posOffset>2058035</wp:posOffset>
                </wp:positionH>
                <wp:positionV relativeFrom="paragraph">
                  <wp:posOffset>177800</wp:posOffset>
                </wp:positionV>
                <wp:extent cx="175895" cy="147320"/>
                <wp:wrapTopAndBottom/>
                <wp:docPr id="67" name="Shape 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5895" cy="1473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An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3" type="#_x0000_t202" style="position:absolute;margin-left:162.05000000000001pt;margin-top:14.pt;width:13.85pt;height:11.6pt;z-index:-125829365;mso-wrap-distance-left:0;mso-wrap-distance-top:14.pt;mso-wrap-distance-right:0;mso-wrap-distance-bottom:0.75pt;mso-position-horizontal-relative:page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7800" distB="0" distL="0" distR="0" simplePos="0" relativeHeight="125829390" behindDoc="0" locked="0" layoutInCell="1" allowOverlap="1">
                <wp:simplePos x="0" y="0"/>
                <wp:positionH relativeFrom="page">
                  <wp:posOffset>2772410</wp:posOffset>
                </wp:positionH>
                <wp:positionV relativeFrom="paragraph">
                  <wp:posOffset>177800</wp:posOffset>
                </wp:positionV>
                <wp:extent cx="1252220" cy="156845"/>
                <wp:wrapTopAndBottom/>
                <wp:docPr id="69" name="Shape 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52220" cy="1568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forensic investigation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5" type="#_x0000_t202" style="position:absolute;margin-left:218.30000000000001pt;margin-top:14.pt;width:98.600000000000009pt;height:12.35pt;z-index:-125829363;mso-wrap-distance-left:0;mso-wrap-distance-top:14.pt;mso-wrap-distance-right:0;mso-position-horizontal-relative:page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forensic investigation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right"/>
        <w:rPr>
          <w:sz w:val="16"/>
          <w:szCs w:val="16"/>
        </w:rPr>
      </w:pPr>
      <w:r>
        <w:rPr>
          <w:rStyle w:val="CharStyle23"/>
        </w:rPr>
        <w:t xml:space="preserve">("the </w:t>
      </w:r>
      <w:r>
        <w:rPr>
          <w:rStyle w:val="CharStyle23"/>
          <w:b/>
          <w:bCs/>
          <w:sz w:val="16"/>
          <w:szCs w:val="16"/>
        </w:rPr>
        <w:t>Forensic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right"/>
      </w:pPr>
      <w:r>
        <w:rPr>
          <w:rStyle w:val="CharStyle23"/>
          <w:b/>
          <w:bCs/>
          <w:sz w:val="16"/>
          <w:szCs w:val="16"/>
        </w:rPr>
        <w:t xml:space="preserve">Investigation") </w:t>
      </w:r>
      <w:r>
        <w:rPr>
          <w:rStyle w:val="CharStyle23"/>
        </w:rPr>
        <w:t>established the following in relation to the Incident:</w:t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223" w:val="left"/>
        </w:tabs>
        <w:bidi w:val="0"/>
        <w:spacing w:before="0" w:after="0" w:line="240" w:lineRule="auto"/>
        <w:ind w:left="0" w:right="0" w:firstLine="880"/>
        <w:jc w:val="both"/>
      </w:pPr>
      <w:r>
        <w:rPr>
          <w:rStyle w:val="CharStyle23"/>
        </w:rPr>
        <w:t>The earliest evidence of Threat Actor activity occurred on 2</w:t>
      </w:r>
    </w:p>
    <w:p>
      <w:pPr>
        <w:widowControl w:val="0"/>
        <w:spacing w:line="1" w:lineRule="exact"/>
      </w:pPr>
      <w:r>
        <w:drawing>
          <wp:anchor distT="209550" distB="833755" distL="0" distR="0" simplePos="0" relativeHeight="125829392" behindDoc="0" locked="0" layoutInCell="1" allowOverlap="1">
            <wp:simplePos x="0" y="0"/>
            <wp:positionH relativeFrom="page">
              <wp:posOffset>2395855</wp:posOffset>
            </wp:positionH>
            <wp:positionV relativeFrom="paragraph">
              <wp:posOffset>209550</wp:posOffset>
            </wp:positionV>
            <wp:extent cx="3676650" cy="386080"/>
            <wp:wrapTopAndBottom/>
            <wp:docPr id="71" name="Shape 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box 72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ext cx="3676650" cy="3860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2448560</wp:posOffset>
                </wp:positionH>
                <wp:positionV relativeFrom="paragraph">
                  <wp:posOffset>0</wp:posOffset>
                </wp:positionV>
                <wp:extent cx="3595370" cy="161925"/>
                <wp:wrapNone/>
                <wp:docPr id="73" name="Shape 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95370" cy="1619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1"/>
                              </w:rPr>
                              <w:t>August 2022, at 20:50:48, when the Threat Actor first logged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9" type="#_x0000_t202" style="position:absolute;margin-left:192.80000000000001pt;margin-top:0;width:283.10000000000002pt;height:12.75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1"/>
                        </w:rPr>
                        <w:t>August 2022, at 20:50:48, when the Threat Actor first logged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2448560</wp:posOffset>
                </wp:positionH>
                <wp:positionV relativeFrom="paragraph">
                  <wp:posOffset>623570</wp:posOffset>
                </wp:positionV>
                <wp:extent cx="3614420" cy="643255"/>
                <wp:wrapNone/>
                <wp:docPr id="75" name="Shape 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14420" cy="6432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8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1"/>
                              </w:rPr>
                              <w:t>Authentication to the Staffplan environment via Citrix was</w:t>
                              <w:br/>
                              <w:t>provided using a username and password; despite extensive</w:t>
                              <w:br/>
                              <w:t>enquiries, it is not known how the credentials,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1" type="#_x0000_t202" style="position:absolute;margin-left:192.80000000000001pt;margin-top:49.100000000000001pt;width:284.60000000000002pt;height:50.649999999999999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84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1"/>
                        </w:rPr>
                        <w:t>Authentication to the Staffplan environment via Citrix was</w:t>
                        <w:br/>
                        <w:t>provided using a username and password; despite extensive</w:t>
                        <w:br/>
                        <w:t>enquiries, it is not known how the credentials,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1209675" distB="0" distL="0" distR="0" simplePos="0" relativeHeight="125829393" behindDoc="0" locked="0" layoutInCell="1" allowOverlap="1">
            <wp:simplePos x="0" y="0"/>
            <wp:positionH relativeFrom="page">
              <wp:posOffset>2429510</wp:posOffset>
            </wp:positionH>
            <wp:positionV relativeFrom="paragraph">
              <wp:posOffset>1209675</wp:posOffset>
            </wp:positionV>
            <wp:extent cx="3067050" cy="219075"/>
            <wp:wrapTopAndBottom/>
            <wp:docPr id="77" name="Shape 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box 78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3067050" cy="219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78" w:val="left"/>
        </w:tabs>
        <w:bidi w:val="0"/>
        <w:spacing w:before="0" w:line="384" w:lineRule="auto"/>
        <w:ind w:left="1160" w:right="0" w:hanging="280"/>
        <w:jc w:val="both"/>
      </w:pPr>
      <w:r>
        <w:rPr>
          <w:rStyle w:val="CharStyle23"/>
        </w:rPr>
        <w:t>From this initial foothold, the Threat Actor utilised techniques</w:t>
        <w:br/>
        <w:t>to pivot further into AHC's IT environment.</w:t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63" w:val="left"/>
        </w:tabs>
        <w:bidi w:val="0"/>
        <w:spacing w:before="0" w:after="0" w:line="384" w:lineRule="auto"/>
        <w:ind w:left="1160" w:right="0" w:hanging="280"/>
        <w:jc w:val="both"/>
      </w:pPr>
      <w:r>
        <w:rPr>
          <w:rStyle w:val="CharStyle23"/>
        </w:rPr>
        <w:t>At 02:21:52 on 3 August 2022, a file was likely executed to</w:t>
        <w:br/>
        <w:t>exploit ZeroLogon vulnerability. From this point the Threat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1140" w:right="0" w:firstLine="0"/>
        <w:jc w:val="both"/>
      </w:pPr>
      <w:r>
        <w:rPr>
          <w:rStyle w:val="CharStyle23"/>
        </w:rPr>
        <w:t>Actor was able to escalate their privileges to a domain</w:t>
        <w:br/>
        <w:t>administrator account.</w:t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70" w:val="left"/>
        </w:tabs>
        <w:bidi w:val="0"/>
        <w:spacing w:before="0" w:line="384" w:lineRule="auto"/>
        <w:ind w:left="1140" w:right="0" w:hanging="260"/>
        <w:jc w:val="both"/>
      </w:pPr>
      <w:r>
        <w:rPr>
          <w:rStyle w:val="CharStyle23"/>
        </w:rPr>
        <w:t>Between 02:24:33 on 3 August 2022 and the early hours of 4</w:t>
        <w:br/>
        <w:t>August 2022, the Threat Actor leveraged the domain</w:t>
        <w:br/>
        <w:t>administrator account to traverse through numerous Advanced</w:t>
        <w:br/>
        <w:t>domains, disabled antivirus software and performed additional</w:t>
        <w:br/>
        <w:t>reconnaissance and exploration of resources. During this</w:t>
        <w:br/>
        <w:t>period, the Threat Actor also navigated to cloud storage and</w:t>
        <w:br/>
        <w:t>file hosting services and downloaded infrastructure</w:t>
        <w:br/>
        <w:t>management utilities that enabled them to exfiltrate data.</w:t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63" w:val="left"/>
        </w:tabs>
        <w:bidi w:val="0"/>
        <w:spacing w:before="0" w:line="384" w:lineRule="auto"/>
        <w:ind w:left="1140" w:right="0" w:hanging="260"/>
        <w:jc w:val="both"/>
      </w:pPr>
      <w:r>
        <w:rPr>
          <w:rStyle w:val="CharStyle23"/>
        </w:rPr>
        <w:t>The Threat Actor also deployed ransomware, with the earliest</w:t>
        <w:br/>
        <w:t>evidence of execution taking place on 4 August 2022 at</w:t>
        <w:br/>
        <w:t>02:05:10.</w:t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43" w:val="left"/>
        </w:tabs>
        <w:bidi w:val="0"/>
        <w:spacing w:before="0" w:line="374" w:lineRule="auto"/>
        <w:ind w:left="1140" w:right="0" w:hanging="260"/>
        <w:jc w:val="both"/>
      </w:pPr>
      <w:r>
        <w:rPr>
          <w:rStyle w:val="CharStyle23"/>
        </w:rPr>
        <w:t>The last evidence of Threat Actor activity was seen at 08:13:36</w:t>
        <w:br/>
        <w:t>on 4 August 2022.</w:t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70" w:val="left"/>
        </w:tabs>
        <w:bidi w:val="0"/>
        <w:spacing w:before="0" w:line="384" w:lineRule="auto"/>
        <w:ind w:left="1140" w:right="0" w:hanging="260"/>
        <w:jc w:val="both"/>
      </w:pPr>
      <w:r>
        <w:rPr>
          <w:rStyle w:val="CharStyle23"/>
        </w:rPr>
        <w:t>Approximately 395 endpoints were infected by the Threat</w:t>
        <w:br/>
        <w:t>Actor during the intrusion.</w:t>
      </w:r>
    </w:p>
    <w:p>
      <w:pPr>
        <w:pStyle w:val="Style22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70" w:val="left"/>
        </w:tabs>
        <w:bidi w:val="0"/>
        <w:spacing w:before="0" w:line="384" w:lineRule="auto"/>
        <w:ind w:left="0" w:right="0" w:firstLine="880"/>
        <w:jc w:val="both"/>
      </w:pPr>
      <w:r>
        <w:rPr>
          <w:rStyle w:val="CharStyle23"/>
        </w:rPr>
        <w:t>Approximately 19GB of data had been exfiltrated.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after="200" w:line="401" w:lineRule="auto"/>
        <w:ind w:left="520" w:right="0" w:hanging="520"/>
        <w:jc w:val="both"/>
      </w:pPr>
      <w:r>
        <w:rPr>
          <w:rStyle w:val="CharStyle23"/>
        </w:rPr>
        <w:t>Advanced identified evidence of compromise in the early hours of 4</w:t>
        <w:br/>
        <w:t>August 2022.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0" w:right="0" w:firstLine="260"/>
        <w:jc w:val="both"/>
      </w:pPr>
      <w:r>
        <w:rPr>
          <w:rStyle w:val="CharStyle23"/>
          <w:i/>
          <w:iCs/>
        </w:rPr>
        <w:t xml:space="preserve">F. </w:t>
      </w:r>
      <w:r>
        <w:rPr>
          <w:rStyle w:val="CharStyle23"/>
          <w:b/>
          <w:bCs/>
          <w:i/>
          <w:iCs/>
          <w:smallCaps/>
          <w:sz w:val="16"/>
          <w:szCs w:val="16"/>
          <w:u w:val="single"/>
        </w:rPr>
        <w:t>Hqw</w:t>
      </w:r>
      <w:r>
        <w:rPr>
          <w:rStyle w:val="CharStyle23"/>
          <w:i/>
          <w:iCs/>
          <w:u w:val="single"/>
        </w:rPr>
        <w:t xml:space="preserve"> the Incident Came to (he Commissioner's attention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line="384" w:lineRule="auto"/>
        <w:ind w:left="520" w:right="0" w:hanging="520"/>
        <w:jc w:val="both"/>
        <w:sectPr>
          <w:footnotePr>
            <w:pos w:val="pageBottom"/>
            <w:numFmt w:val="decimal"/>
            <w:numStart w:val="11"/>
            <w:numRestart w:val="continuous"/>
            <w15:footnoteColumns w:val="1"/>
          </w:footnotePr>
          <w:type w:val="continuous"/>
          <w:pgSz w:w="12240" w:h="15840"/>
          <w:pgMar w:top="2638" w:right="2705" w:bottom="3099" w:left="2708" w:header="0" w:footer="3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The UK GDPR does not impose any obligations on data processors to</w:t>
        <w:br/>
        <w:t>notify the Commissioner of a personal data breach.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/>
        <w:ind w:left="620" w:right="0" w:hanging="620"/>
        <w:jc w:val="both"/>
      </w:pPr>
      <w:r>
        <w:rPr>
          <w:rStyle w:val="CharStyle23"/>
        </w:rPr>
        <w:t>The ICO contacted Advanced on 5 August 2022 following widespread</w:t>
        <w:br/>
        <w:t>media reports of disruption to NHS services. Advanced responded to</w:t>
        <w:br/>
        <w:t>the ICO on the same day and has continued to cooperate with the</w:t>
        <w:br/>
        <w:t>ICO's investigation.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rStyle w:val="CharStyle23"/>
        </w:rPr>
        <w:t xml:space="preserve">G. </w:t>
      </w:r>
      <w:r>
        <w:rPr>
          <w:rStyle w:val="CharStyle23"/>
          <w:i/>
          <w:iCs/>
        </w:rPr>
        <w:t>PostdncidenLResponse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/>
        <w:ind w:left="620" w:right="0" w:hanging="620"/>
        <w:jc w:val="both"/>
      </w:pPr>
      <w:r>
        <w:rPr>
          <w:rStyle w:val="CharStyle23"/>
        </w:rPr>
        <w:t>On the day the Incident was discovered, Advanced promptly</w:t>
        <w:br/>
        <w:t>instructed ^H^H investigators to determine the extent of</w:t>
        <w:br/>
        <w:t>compromise in the Health &amp; Care Division environment and to provide</w:t>
        <w:br/>
        <w:t>assurance that other Advanced environments were not compromised.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200" w:line="384" w:lineRule="auto"/>
        <w:ind w:left="620" w:right="0" w:firstLine="20"/>
        <w:jc w:val="both"/>
      </w:pPr>
      <w:r>
        <w:rPr>
          <w:rStyle w:val="CharStyle23"/>
        </w:rPr>
        <w:t>support the initial rebuild and investigation activities of the impacted</w:t>
        <w:br/>
        <w:t xml:space="preserve">domains. </w:t>
      </w:r>
      <w:r>
        <w:rPr>
          <w:rStyle w:val="CharStyle23"/>
          <w:vertAlign w:val="superscript"/>
        </w:rPr>
        <w:t>24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after="0" w:line="384" w:lineRule="auto"/>
        <w:ind w:left="520" w:right="0" w:hanging="520"/>
        <w:jc w:val="both"/>
      </w:pPr>
      <w:r>
        <w:rPr>
          <w:rStyle w:val="CharStyle23"/>
        </w:rPr>
        <w:t>The Incident affected the availability of 9 AHC customer products</w:t>
      </w:r>
      <w:r>
        <w:rPr>
          <w:rStyle w:val="CharStyle23"/>
          <w:vertAlign w:val="superscript"/>
        </w:rPr>
        <w:t>25</w:t>
      </w:r>
      <w:r>
        <w:rPr>
          <w:rStyle w:val="CharStyle23"/>
        </w:rPr>
        <w:t xml:space="preserve"> for</w:t>
        <w:br/>
        <w:t>approximately 658 data controller customers.</w:t>
      </w:r>
      <w:r>
        <w:rPr>
          <w:rStyle w:val="CharStyle23"/>
          <w:vertAlign w:val="superscript"/>
        </w:rPr>
        <w:t>26</w:t>
      </w:r>
      <w:r>
        <w:rPr>
          <w:rStyle w:val="CharStyle23"/>
        </w:rPr>
        <w:t xml:space="preserve"> Out of the 9 products,</w:t>
        <w:br/>
        <w:t>3 were taken offline as a precautionary measure but were not directly</w:t>
        <w:br/>
        <w:t>impacted by the ransomware</w:t>
      </w:r>
    </w:p>
    <w:p>
      <w:pPr>
        <w:pStyle w:val="Style22"/>
        <w:keepNext w:val="0"/>
        <w:keepLines w:val="0"/>
        <w:widowControl w:val="0"/>
        <w:shd w:val="clear" w:color="auto" w:fill="auto"/>
        <w:tabs>
          <w:tab w:pos="3603" w:val="left"/>
        </w:tabs>
        <w:bidi w:val="0"/>
        <w:spacing w:before="0" w:after="0" w:line="360" w:lineRule="auto"/>
        <w:ind w:left="0" w:right="0" w:firstLine="520"/>
        <w:jc w:val="both"/>
        <w:rPr>
          <w:sz w:val="18"/>
          <w:szCs w:val="18"/>
        </w:rPr>
      </w:pPr>
      <w:r>
        <w:rPr>
          <w:rStyle w:val="CharStyle23"/>
          <w:sz w:val="18"/>
          <w:szCs w:val="18"/>
        </w:rPr>
        <w:t>1^^^</w:t>
        <w:tab/>
        <w:t>Details of the remaining 6 products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384" w:lineRule="auto"/>
        <w:ind w:left="0" w:right="0" w:firstLine="520"/>
        <w:jc w:val="both"/>
      </w:pPr>
      <w:r>
        <w:rPr>
          <w:rStyle w:val="CharStyle23"/>
        </w:rPr>
        <w:t>directly impacted by the Incident are set out below:</w:t>
      </w:r>
      <w:r>
        <w:rPr>
          <w:rStyle w:val="CharStyle23"/>
          <w:vertAlign w:val="superscript"/>
        </w:rPr>
        <w:t>27</w:t>
      </w:r>
    </w:p>
    <w:p>
      <w:pPr>
        <w:widowControl w:val="0"/>
        <w:spacing w:line="1" w:lineRule="exact"/>
        <w:sectPr>
          <w:headerReference w:type="default" r:id="rId51"/>
          <w:footerReference w:type="default" r:id="rId52"/>
          <w:headerReference w:type="even" r:id="rId53"/>
          <w:footerReference w:type="even" r:id="rId54"/>
          <w:footnotePr>
            <w:pos w:val="pageBottom"/>
            <w:numFmt w:val="decimal"/>
            <w:numStart w:val="11"/>
            <w:numRestart w:val="continuous"/>
            <w15:footnoteColumns w:val="1"/>
          </w:footnotePr>
          <w:pgSz w:w="12240" w:h="15840"/>
          <w:pgMar w:top="2775" w:right="2700" w:bottom="2512" w:left="2610" w:header="0" w:footer="2084" w:gutter="0"/>
          <w:cols w:space="720"/>
          <w:noEndnote/>
          <w:rtlGutter w:val="0"/>
          <w:docGrid w:linePitch="360"/>
        </w:sectPr>
      </w:pPr>
      <w:r>
        <w:drawing>
          <wp:anchor distT="0" distB="428625" distL="0" distR="0" simplePos="0" relativeHeight="125829394" behindDoc="0" locked="0" layoutInCell="1" allowOverlap="1">
            <wp:simplePos x="0" y="0"/>
            <wp:positionH relativeFrom="page">
              <wp:posOffset>1685925</wp:posOffset>
            </wp:positionH>
            <wp:positionV relativeFrom="paragraph">
              <wp:posOffset>0</wp:posOffset>
            </wp:positionV>
            <wp:extent cx="4695825" cy="1562100"/>
            <wp:wrapTopAndBottom/>
            <wp:docPr id="83" name="Shape 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box 84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ext cx="4695825" cy="15621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1718945</wp:posOffset>
                </wp:positionH>
                <wp:positionV relativeFrom="paragraph">
                  <wp:posOffset>1891030</wp:posOffset>
                </wp:positionV>
                <wp:extent cx="95250" cy="99695"/>
                <wp:wrapNone/>
                <wp:docPr id="85" name="Shape 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5250" cy="996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CharStyle31"/>
                                <w:rFonts w:ascii="Arial" w:eastAsia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  <w:t>M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1" type="#_x0000_t202" style="position:absolute;margin-left:135.34999999999999pt;margin-top:148.90000000000001pt;width:7.5pt;height:7.8500000000000005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CharStyle31"/>
                          <w:rFonts w:ascii="Arial" w:eastAsia="Arial" w:hAnsi="Arial" w:cs="Arial"/>
                          <w:b/>
                          <w:bCs/>
                          <w:sz w:val="10"/>
                          <w:szCs w:val="10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96" w:lineRule="exact"/>
        <w:rPr>
          <w:sz w:val="8"/>
          <w:szCs w:val="8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1"/>
            <w:numRestart w:val="continuous"/>
            <w15:footnoteColumns w:val="1"/>
          </w:footnotePr>
          <w:type w:val="continuous"/>
          <w:pgSz w:w="12240" w:h="15840"/>
          <w:pgMar w:top="2663" w:right="0" w:bottom="251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0" distL="0" distR="0" simplePos="0" relativeHeight="125829395" behindDoc="0" locked="0" layoutInCell="1" allowOverlap="1">
                <wp:simplePos x="0" y="0"/>
                <wp:positionH relativeFrom="page">
                  <wp:posOffset>1718945</wp:posOffset>
                </wp:positionH>
                <wp:positionV relativeFrom="paragraph">
                  <wp:posOffset>12700</wp:posOffset>
                </wp:positionV>
                <wp:extent cx="100330" cy="200025"/>
                <wp:wrapSquare wrapText="right"/>
                <wp:docPr id="87" name="Shape 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330" cy="2000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4"/>
                                <w:sz w:val="13"/>
                                <w:szCs w:val="13"/>
                              </w:rPr>
                              <w:t>•4 V</w:t>
                            </w:r>
                          </w:p>
                        </w:txbxContent>
                      </wps:txbx>
                      <wps:bodyPr upright="0" vert="vert270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3" type="#_x0000_t202" style="position:absolute;margin-left:135.34999999999999pt;margin-top:1.pt;width:7.9000000000000004pt;height:15.75pt;z-index:-125829358;mso-wrap-distance-left:0;mso-wrap-distance-right:0;mso-position-horizontal-relative:page" filled="f" stroked="f">
                <v:textbox style="layout-flow:vertical;mso-layout-flow-alt:bottom-to-top" inset="0,0,0,0">
                  <w:txbxContent>
                    <w:p>
                      <w:pPr>
                        <w:pStyle w:val="Style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4"/>
                          <w:sz w:val="13"/>
                          <w:szCs w:val="13"/>
                        </w:rPr>
                        <w:t>•4 V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34"/>
        </w:rPr>
        <w:t>Letter from Norton Rose Fullbright to ICO dated 2 February 2024. point 4.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4"/>
        </w:rPr>
        <w:t>Letter from Norton Rose Fullbright to ICO «kited 2 February 2024, response to 04.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3"/>
        </w:rPr>
        <w:t>14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4676775" cy="2638425"/>
            <wp:docPr id="89" name="Picutre 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ext cx="4676775" cy="263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79" w:line="1" w:lineRule="exact"/>
      </w:pP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line="379" w:lineRule="auto"/>
        <w:ind w:left="520" w:right="0" w:hanging="520"/>
        <w:jc w:val="both"/>
      </w:pPr>
      <w:r>
        <w:rPr>
          <w:rStyle w:val="CharStyle23"/>
        </w:rPr>
        <w:t>Other systems outside of the Health &amp; Care Division environment (still</w:t>
        <w:br/>
        <w:t>controlled and operated by Advanced) were also made unavailable</w:t>
        <w:br/>
        <w:t>due to the containment measures implemented by Advanced in</w:t>
        <w:br/>
        <w:t>response to the Incident. However, there is no evidence that these</w:t>
        <w:br/>
        <w:t>were infected with ransomware or accessed by the Threat Actor.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line="374" w:lineRule="auto"/>
        <w:ind w:left="520" w:right="0" w:hanging="520"/>
        <w:jc w:val="both"/>
      </w:pPr>
      <w:r>
        <w:rPr>
          <w:rStyle w:val="CharStyle23"/>
        </w:rPr>
        <w:t>Advanced notified all potentially impacted data controller customer</w:t>
        <w:br/>
        <w:t>entities on 5 August 2022.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after="900" w:line="384" w:lineRule="auto"/>
        <w:ind w:left="520" w:right="0" w:hanging="520"/>
        <w:jc w:val="both"/>
      </w:pPr>
      <w:r>
        <w:rPr>
          <w:rStyle w:val="CharStyle23"/>
        </w:rPr>
        <w:t>Following discovery of the Incident, Advanced worked with the</w:t>
        <w:br/>
        <w:t>relevant stakeholders to plan restoration of the impacted products.</w:t>
        <w:br/>
        <w:t>The planning and implementation of the rebuilding program began on</w:t>
        <w:br/>
        <w:t>4 August 2022 (with Adastra), and involved consultation with NHS</w:t>
        <w:br/>
        <w:t>Digital, NHS Nations and the NCSC.</w:t>
      </w:r>
      <w:r>
        <w:rPr>
          <w:rStyle w:val="CharStyle23"/>
          <w:vertAlign w:val="superscript"/>
        </w:rPr>
        <w:t>28</w:t>
      </w:r>
      <w:r>
        <w:rPr>
          <w:rStyle w:val="CharStyle23"/>
        </w:rPr>
        <w:t xml:space="preserve"> The period of controller</w:t>
        <w:br/>
        <w:t>customer unavailability ranged from 18 days to 284 days, depending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4"/>
        </w:rPr>
        <w:t>'' Letter from Norton Rose Fulbright to ICO dated 9 October 2022. point 14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Style w:val="CharStyle23"/>
        </w:rPr>
        <w:t>15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540" w:right="0" w:firstLine="0"/>
        <w:jc w:val="both"/>
      </w:pPr>
      <w:r>
        <w:rPr>
          <w:rStyle w:val="CharStyle23"/>
        </w:rPr>
        <w:t>on the product. By 15 May 2023, all of Advanced's controller</w:t>
        <w:br/>
        <w:t>customers were able to access the relevant products.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line="386" w:lineRule="auto"/>
        <w:ind w:left="540" w:right="0" w:hanging="540"/>
        <w:jc w:val="both"/>
      </w:pPr>
      <w:r>
        <w:rPr>
          <w:rStyle w:val="CharStyle23"/>
        </w:rPr>
        <w:t>Advanced has provided the Commissioner with details of the</w:t>
        <w:br/>
        <w:t>considerable improvements it has made to its systems following the</w:t>
        <w:br/>
        <w:t>Incident.</w:t>
      </w:r>
      <w:r>
        <w:rPr>
          <w:rStyle w:val="CharStyle23"/>
          <w:vertAlign w:val="superscript"/>
        </w:rPr>
        <w:t>29</w:t>
      </w:r>
      <w:r>
        <w:rPr>
          <w:rStyle w:val="CharStyle23"/>
        </w:rPr>
        <w:t xml:space="preserve"> Advanced also employed a new Chief Information Security</w:t>
        <w:br/>
        <w:t>Officer and Chief Technical Officer to oversee security.</w:t>
      </w:r>
      <w:r>
        <w:rPr>
          <w:rStyle w:val="CharStyle23"/>
          <w:vertAlign w:val="superscript"/>
        </w:rPr>
        <w:t>30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0" w:right="0" w:firstLine="280"/>
        <w:jc w:val="left"/>
      </w:pPr>
      <w:r>
        <w:rPr>
          <w:rStyle w:val="CharStyle23"/>
          <w:i/>
          <w:iCs/>
          <w:lang w:val="fr-FR" w:eastAsia="fr-FR"/>
        </w:rPr>
        <w:t>H. ürfJtt&amp;tipjLQ^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line="374" w:lineRule="auto"/>
        <w:ind w:left="540" w:right="0" w:hanging="540"/>
        <w:jc w:val="both"/>
      </w:pPr>
      <w:r>
        <w:rPr>
          <w:rStyle w:val="CharStyle23"/>
        </w:rPr>
        <w:t>It is understood that personal data was exfiltrated from Staffplan and</w:t>
        <w:br/>
        <w:t>Caresys only with 16 data controllers impacted.</w:t>
      </w:r>
      <w:r>
        <w:rPr>
          <w:rStyle w:val="CharStyle23"/>
          <w:vertAlign w:val="superscript"/>
        </w:rPr>
        <w:t>31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540" w:right="0" w:hanging="260"/>
        <w:jc w:val="both"/>
      </w:pPr>
      <w:r>
        <w:rPr>
          <w:rStyle w:val="CharStyle23"/>
          <w:i/>
          <w:iCs/>
        </w:rPr>
        <w:t>/- Reported Impact on Data_ Controllers and Data Subjscts ^an^</w:t>
        <w:br/>
      </w:r>
      <w:r>
        <w:rPr>
          <w:rStyle w:val="CharStyle23"/>
          <w:i/>
          <w:iCs/>
          <w:u w:val="single"/>
        </w:rPr>
        <w:t>Disruption to Services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line="374" w:lineRule="auto"/>
        <w:ind w:left="540" w:right="0" w:hanging="540"/>
        <w:jc w:val="both"/>
      </w:pPr>
      <w:r>
        <w:rPr>
          <w:rStyle w:val="CharStyle23"/>
        </w:rPr>
        <w:t>At the time of the Incident, and for some months after, there were</w:t>
        <w:br/>
        <w:t xml:space="preserve">media reports of disruption to NHS and other healthcare services. </w:t>
      </w:r>
      <w:r>
        <w:rPr>
          <w:rStyle w:val="CharStyle23"/>
          <w:vertAlign w:val="superscript"/>
        </w:rPr>
        <w:t>32</w:t>
      </w:r>
    </w:p>
    <w:p>
      <w:pPr>
        <w:pStyle w:val="Style22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525" w:val="left"/>
        </w:tabs>
        <w:bidi w:val="0"/>
        <w:spacing w:before="0" w:after="1200" w:line="384" w:lineRule="auto"/>
        <w:ind w:left="540" w:right="0" w:hanging="540"/>
        <w:jc w:val="both"/>
      </w:pPr>
      <w:r>
        <w:rPr>
          <w:rStyle w:val="CharStyle23"/>
        </w:rPr>
        <w:t>In a report dated 28 September 2022,</w:t>
      </w:r>
      <w:r>
        <w:rPr>
          <w:rStyle w:val="CharStyle23"/>
          <w:vertAlign w:val="superscript"/>
        </w:rPr>
        <w:t>33</w:t>
      </w:r>
      <w:r>
        <w:rPr>
          <w:rStyle w:val="CharStyle23"/>
        </w:rPr>
        <w:t xml:space="preserve"> the Chief Executive of the</w:t>
        <w:br/>
        <w:t>Oxford Health NHS Foundation Trust reported on the Incident to the</w:t>
        <w:br/>
        <w:t>Board Directors stating: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4"/>
        </w:rPr>
        <w:t>’’ Letter from Norton Rose Fulbright to ICO dated 2 February 2024. point 7.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4"/>
        </w:rPr>
        <w:t>* Letter from Norton Rose Fulbright to ICO dated 2 February 2024. point 16.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4"/>
          <w:vertAlign w:val="superscript"/>
        </w:rPr>
        <w:t>11</w:t>
      </w:r>
      <w:r>
        <w:rPr>
          <w:rStyle w:val="CharStyle34"/>
        </w:rPr>
        <w:t xml:space="preserve"> Letter from Norton Rose Fulbright to ICO dated 9 October 2022. point I.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4"/>
          <w:vertAlign w:val="superscript"/>
        </w:rPr>
        <w:t>)!</w:t>
      </w:r>
      <w:r>
        <w:rPr>
          <w:rStyle w:val="CharStyle34"/>
        </w:rPr>
        <w:t xml:space="preserve"> </w:t>
      </w:r>
      <w:r>
        <w:rPr>
          <w:rStyle w:val="CharStyle34"/>
          <w:color w:val="63619A"/>
          <w:u w:val="single"/>
        </w:rPr>
        <w:t>GPs told to expect in</w:t>
      </w:r>
      <w:r>
        <w:rPr>
          <w:rStyle w:val="CharStyle34"/>
          <w:color w:val="63619A"/>
        </w:rPr>
        <w:t>l</w:t>
      </w:r>
      <w:r>
        <w:rPr>
          <w:rStyle w:val="CharStyle34"/>
          <w:color w:val="63619A"/>
          <w:u w:val="single"/>
        </w:rPr>
        <w:t>lux of calk from p</w:t>
      </w:r>
      <w:r>
        <w:rPr>
          <w:rStyle w:val="CharStyle34"/>
          <w:color w:val="63619A"/>
        </w:rPr>
        <w:t>atients red</w:t>
      </w:r>
      <w:r>
        <w:rPr>
          <w:rStyle w:val="CharStyle34"/>
          <w:color w:val="63619A"/>
          <w:u w:val="single"/>
        </w:rPr>
        <w:t>irected d</w:t>
      </w:r>
      <w:r>
        <w:rPr>
          <w:rStyle w:val="CharStyle34"/>
          <w:color w:val="63619A"/>
        </w:rPr>
        <w:t>u</w:t>
      </w:r>
      <w:r>
        <w:rPr>
          <w:rStyle w:val="CharStyle34"/>
          <w:color w:val="63619A"/>
          <w:u w:val="single"/>
        </w:rPr>
        <w:t xml:space="preserve">e to 111 outage </w:t>
      </w:r>
      <w:r>
        <w:rPr>
          <w:rStyle w:val="CharStyle34"/>
          <w:u w:val="single"/>
        </w:rPr>
        <w:t xml:space="preserve">♦ </w:t>
      </w:r>
      <w:r>
        <w:rPr>
          <w:rStyle w:val="CharStyle34"/>
          <w:color w:val="63619A"/>
          <w:u w:val="single"/>
        </w:rPr>
        <w:t>Pulse Today; NHS 111 expects</w:t>
        <w:br/>
      </w:r>
      <w:r>
        <w:rPr>
          <w:rStyle w:val="CharStyle34"/>
          <w:color w:val="8381BA"/>
        </w:rPr>
        <w:t>ddaysaRcrcybcr-anaekcausei sy^cmguUgc I NHS I The Guardian- MIS I</w:t>
      </w:r>
      <w:r>
        <w:rPr>
          <w:rStyle w:val="CharStyle34"/>
          <w:color w:val="8381BA"/>
          <w:u w:val="single"/>
        </w:rPr>
        <w:t>T s</w:t>
      </w:r>
      <w:r>
        <w:rPr>
          <w:rStyle w:val="CharStyle34"/>
          <w:color w:val="8381BA"/>
        </w:rPr>
        <w:t>upplier held to naamJiaf</w:t>
        <w:br/>
      </w:r>
      <w:r>
        <w:rPr>
          <w:rStyle w:val="CharStyle34"/>
          <w:color w:val="63619A"/>
          <w:lang w:val="fr-FR" w:eastAsia="fr-FR"/>
        </w:rPr>
        <w:t xml:space="preserve">haç </w:t>
      </w:r>
      <w:r>
        <w:rPr>
          <w:rStyle w:val="CharStyle34"/>
          <w:color w:val="63619A"/>
        </w:rPr>
        <w:t xml:space="preserve">kers </w:t>
      </w:r>
      <w:r>
        <w:rPr>
          <w:rStyle w:val="CharStyle34"/>
          <w:color w:val="63619A"/>
          <w:lang w:val="fr-FR" w:eastAsia="fr-FR"/>
        </w:rPr>
        <w:t>B</w:t>
      </w:r>
      <w:r>
        <w:rPr>
          <w:rStyle w:val="CharStyle34"/>
          <w:color w:val="63619A"/>
        </w:rPr>
        <w:t xml:space="preserve">IX Ncw smeary fbr pat ^ </w:t>
      </w:r>
      <w:r>
        <w:rPr>
          <w:rStyle w:val="CharStyle34"/>
          <w:color w:val="63619A"/>
          <w:lang w:val="fr-FR" w:eastAsia="fr-FR"/>
        </w:rPr>
        <w:t>datajAçrnmsflmuaxaliaskAfflJ^^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left"/>
      </w:pPr>
      <w:r>
        <w:rPr>
          <w:rStyle w:val="CharStyle34"/>
          <w:color w:val="63619A"/>
        </w:rPr>
        <w:t xml:space="preserve">Guardian; Advmecd cybet-attack:.NIIS doctors’pitpcnsvrk.pt.lo.up - BIK Nc.w&gt;; Oxford Health Cyber </w:t>
      </w:r>
      <w:r>
        <w:rPr>
          <w:rStyle w:val="CharStyle34"/>
          <w:color w:val="8381BA"/>
        </w:rPr>
        <w:t>atLH'k</w:t>
        <w:br/>
      </w:r>
      <w:r>
        <w:rPr>
          <w:rStyle w:val="CharStyle34"/>
          <w:color w:val="63619A"/>
        </w:rPr>
        <w:t xml:space="preserve">continues </w:t>
      </w:r>
      <w:r>
        <w:rPr>
          <w:rStyle w:val="CharStyle34"/>
          <w:color w:val="63619A"/>
          <w:u w:val="single"/>
        </w:rPr>
        <w:t>to hit NHS</w:t>
      </w:r>
      <w:r>
        <w:rPr>
          <w:rStyle w:val="CharStyle34"/>
          <w:color w:val="63619A"/>
        </w:rPr>
        <w:t xml:space="preserve"> trys</w:t>
      </w:r>
      <w:r>
        <w:rPr>
          <w:rStyle w:val="CharStyle34"/>
          <w:color w:val="63619A"/>
          <w:u w:val="single"/>
        </w:rPr>
        <w:t xml:space="preserve">t's </w:t>
      </w:r>
      <w:r>
        <w:rPr>
          <w:rStyle w:val="CharStyle34"/>
          <w:color w:val="8381BA"/>
          <w:u w:val="single"/>
          <w:lang w:val="fr-FR" w:eastAsia="fr-FR"/>
        </w:rPr>
        <w:t xml:space="preserve">services </w:t>
      </w:r>
      <w:r>
        <w:rPr>
          <w:rStyle w:val="CharStyle34"/>
          <w:u w:val="single"/>
        </w:rPr>
        <w:t xml:space="preserve">- </w:t>
      </w:r>
      <w:r>
        <w:rPr>
          <w:rStyle w:val="CharStyle34"/>
          <w:color w:val="63619A"/>
          <w:u w:val="single"/>
        </w:rPr>
        <w:t xml:space="preserve">BBC News; Mental health trusts </w:t>
      </w:r>
      <w:r>
        <w:rPr>
          <w:rStyle w:val="CharStyle34"/>
          <w:color w:val="8381BA"/>
          <w:u w:val="single"/>
        </w:rPr>
        <w:t xml:space="preserve">Mill </w:t>
      </w:r>
      <w:r>
        <w:rPr>
          <w:rStyle w:val="CharStyle34"/>
          <w:color w:val="63619A"/>
          <w:u w:val="single"/>
        </w:rPr>
        <w:t xml:space="preserve">unable </w:t>
      </w:r>
      <w:r>
        <w:rPr>
          <w:rStyle w:val="CharStyle34"/>
          <w:color w:val="8381BA"/>
          <w:u w:val="single"/>
        </w:rPr>
        <w:t xml:space="preserve">io </w:t>
      </w:r>
      <w:r>
        <w:rPr>
          <w:rStyle w:val="CharStyle34"/>
          <w:color w:val="63619A"/>
          <w:u w:val="single"/>
        </w:rPr>
        <w:t xml:space="preserve">access </w:t>
      </w:r>
      <w:r>
        <w:rPr>
          <w:rStyle w:val="CharStyle34"/>
          <w:color w:val="8381BA"/>
          <w:u w:val="single"/>
        </w:rPr>
        <w:t>records months</w:t>
        <w:br/>
      </w:r>
      <w:r>
        <w:rPr>
          <w:rStyle w:val="CharStyle34"/>
          <w:color w:val="63619A"/>
        </w:rPr>
        <w:t xml:space="preserve">gQg attack (•hgualhcalth net). NIIS cyber attack hits </w:t>
      </w:r>
      <w:r>
        <w:rPr>
          <w:rStyle w:val="CharStyle34"/>
          <w:color w:val="63619A"/>
          <w:lang w:val="fr-FR" w:eastAsia="fr-FR"/>
        </w:rPr>
        <w:t xml:space="preserve">payent </w:t>
      </w:r>
      <w:r>
        <w:rPr>
          <w:rStyle w:val="CharStyle34"/>
          <w:color w:val="63619A"/>
        </w:rPr>
        <w:t xml:space="preserve">care with records left </w:t>
      </w:r>
      <w:r>
        <w:rPr>
          <w:rStyle w:val="CharStyle34"/>
          <w:color w:val="8381BA"/>
        </w:rPr>
        <w:t xml:space="preserve">in </w:t>
      </w:r>
      <w:r>
        <w:rPr>
          <w:rStyle w:val="CharStyle34"/>
          <w:color w:val="63619A"/>
        </w:rPr>
        <w:t>’chaos' three months or</w:t>
        <w:br/>
        <w:t>tmews co uki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left"/>
      </w:pPr>
      <w:r>
        <w:rPr>
          <w:rStyle w:val="CharStyle34"/>
          <w:color w:val="63619A"/>
        </w:rPr>
        <w:t xml:space="preserve">■so BOI) &lt; IO BoDicport Si P12O2.M m.il-s </w:t>
      </w:r>
      <w:r>
        <w:rPr>
          <w:rStyle w:val="CharStyle34"/>
          <w:color w:val="63619A"/>
          <w:lang w:val="fr-FR" w:eastAsia="fr-FR"/>
        </w:rPr>
        <w:t>4d</w:t>
      </w:r>
      <w:r>
        <w:rPr>
          <w:rStyle w:val="CharStyle34"/>
          <w:color w:val="63619A"/>
          <w:vertAlign w:val="subscript"/>
          <w:lang w:val="fr-FR" w:eastAsia="fr-FR"/>
        </w:rPr>
        <w:t>1H</w:t>
      </w:r>
      <w:r>
        <w:rPr>
          <w:rStyle w:val="CharStyle34"/>
          <w:color w:val="63619A"/>
          <w:lang w:val="fr-FR" w:eastAsia="fr-FR"/>
        </w:rPr>
        <w:t>.x{hsçcom)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  <w:sectPr>
          <w:footnotePr>
            <w:pos w:val="pageBottom"/>
            <w:numFmt w:val="decimal"/>
            <w:numStart w:val="11"/>
            <w:numRestart w:val="continuous"/>
            <w15:footnoteColumns w:val="1"/>
          </w:footnotePr>
          <w:type w:val="continuous"/>
          <w:pgSz w:w="12240" w:h="15840"/>
          <w:pgMar w:top="2663" w:right="2670" w:bottom="2513" w:left="2640" w:header="0" w:footer="2085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16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200"/>
        <w:ind w:left="540" w:right="0" w:firstLine="20"/>
        <w:jc w:val="both"/>
      </w:pPr>
      <w:r>
        <w:rPr>
          <w:rStyle w:val="CharStyle23"/>
          <w:i/>
          <w:iCs/>
        </w:rPr>
        <w:t>"On the 4th of August, a cyber attack on Advanced Systems Ltd</w:t>
        <w:br/>
        <w:t>resulted in the loss of access to a number of our key electronic records</w:t>
        <w:br/>
        <w:t>systems, including Adastra and Carenotes. The incident was originally</w:t>
        <w:br/>
        <w:t>managed as an IM&amp;T Serious Incident but was upgraded to a Trust</w:t>
        <w:br/>
        <w:t>wide Critical Incident on the 9th of August. This was a national</w:t>
        <w:br/>
        <w:t>incident affecting a number of other NHS organisations. The vast</w:t>
        <w:br/>
        <w:t>majority of the Trust's clinical services along with a number of</w:t>
        <w:br/>
        <w:t>financial services were impacted and as a result a variety of business</w:t>
        <w:br/>
        <w:t>continuity measures were put in place in keeping with our emergency</w:t>
        <w:br/>
        <w:t>response protocols. The outage extended to both mental health and</w:t>
        <w:br/>
        <w:t>physical health services.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200"/>
        <w:ind w:left="540" w:right="0" w:firstLine="20"/>
        <w:jc w:val="both"/>
      </w:pPr>
      <w:r>
        <w:rPr>
          <w:rStyle w:val="CharStyle23"/>
          <w:i/>
          <w:iCs/>
        </w:rPr>
        <w:t>As a consequence of a huge amount of effort from colleagues across</w:t>
        <w:br/>
        <w:t>Oxford Health we were able to maintain services although in a sub-</w:t>
        <w:br/>
        <w:t>optimal manner. At the time of writing, Carenotes, our most</w:t>
        <w:br/>
        <w:t>significant electronic patient record system, remains out of action.</w:t>
        <w:br/>
        <w:t>We continue therefore continue[sic] to work closely with NHS England</w:t>
        <w:br/>
        <w:t>and other affected trusts in order to develop and maintain suitable</w:t>
        <w:br/>
        <w:t>contingency arrangements.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520" w:line="384" w:lineRule="auto"/>
        <w:ind w:left="540" w:right="0" w:firstLine="20"/>
        <w:jc w:val="both"/>
      </w:pPr>
      <w:r>
        <w:rPr>
          <w:rStyle w:val="CharStyle23"/>
          <w:i/>
          <w:iCs/>
        </w:rPr>
        <w:t>This ongoing cyber incident has placed a huge burden on colleagues</w:t>
        <w:br/>
        <w:t>across Oxford Health, many of whom have worked considerably in</w:t>
        <w:br/>
        <w:t>excess of their contracted hours in order to deliver services. "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86" w:lineRule="auto"/>
        <w:ind w:left="540" w:right="0" w:hanging="540"/>
        <w:jc w:val="both"/>
      </w:pPr>
      <w:r>
        <w:rPr>
          <w:rStyle w:val="CharStyle23"/>
        </w:rPr>
        <w:t>Although the level of any actual harm to data subjects is difficult to</w:t>
        <w:br/>
        <w:t>quantify, given the integral nature of electronic records to patient</w:t>
        <w:br/>
        <w:t>care, the Incident'reportedly' had a significant impact on patient care</w:t>
        <w:br/>
        <w:t>and according to the Oxford Health Report quoted above placed a</w:t>
        <w:br/>
      </w:r>
      <w:r>
        <w:rPr>
          <w:rStyle w:val="CharStyle23"/>
          <w:i/>
          <w:iCs/>
        </w:rPr>
        <w:t>"huge burden"</w:t>
      </w:r>
      <w:r>
        <w:rPr>
          <w:rStyle w:val="CharStyle23"/>
        </w:rPr>
        <w:t xml:space="preserve"> on that health provider.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260" w:line="408" w:lineRule="auto"/>
        <w:ind w:left="0" w:right="0" w:firstLine="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IV. THE COMMISSIONER'S FINDINGS OF INFRINGEMENT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406" w:lineRule="auto"/>
        <w:ind w:left="0" w:right="0" w:firstLine="28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A. Advanced's role as a data processor and Jurisdiction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74" w:lineRule="auto"/>
        <w:ind w:left="540" w:right="0" w:hanging="540"/>
        <w:jc w:val="both"/>
      </w:pPr>
      <w:r>
        <w:rPr>
          <w:rStyle w:val="CharStyle23"/>
        </w:rPr>
        <w:t>AHC was acting as a processor of the relevant personal data on behalf</w:t>
        <w:br/>
        <w:t>of data controllers within the meaning of Article 4(8) UK GDPR.</w:t>
      </w:r>
      <w:r>
        <w:rPr>
          <w:rStyle w:val="CharStyle23"/>
          <w:vertAlign w:val="superscript"/>
        </w:rPr>
        <w:footnoteReference w:id="12"/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79" w:lineRule="auto"/>
        <w:ind w:left="540" w:right="0" w:hanging="540"/>
        <w:jc w:val="both"/>
      </w:pPr>
      <w:r>
        <w:rPr>
          <w:rStyle w:val="CharStyle23"/>
        </w:rPr>
        <w:t>Advanced is established in the UK and the relevant processing of</w:t>
        <w:br/>
        <w:t>personal data took place in the UK and therefore the UK GDPR applies</w:t>
        <w:br/>
        <w:t>to this processing pursuant to Article 3(1) UK GDPR.</w:t>
      </w:r>
      <w:r>
        <w:rPr>
          <w:rStyle w:val="CharStyle23"/>
          <w:vertAlign w:val="superscript"/>
        </w:rPr>
        <w:footnoteReference w:id="13"/>
      </w:r>
    </w:p>
    <w:p>
      <w:pPr>
        <w:pStyle w:val="Style22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593" w:val="left"/>
        </w:tabs>
        <w:bidi w:val="0"/>
        <w:spacing w:before="0" w:line="406" w:lineRule="auto"/>
        <w:ind w:left="0" w:right="0" w:firstLine="28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Personal Data affected by the Incident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74" w:lineRule="auto"/>
        <w:ind w:left="540" w:right="0" w:hanging="540"/>
        <w:jc w:val="both"/>
      </w:pPr>
      <w:r>
        <w:rPr>
          <w:rStyle w:val="CharStyle23"/>
        </w:rPr>
        <w:t>16 UK based data controllers had data exfiltrated as part of the</w:t>
        <w:br/>
        <w:t>Incident, with a further three data controllers based in Ireland.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/>
        <w:ind w:left="540" w:right="0" w:hanging="540"/>
        <w:jc w:val="both"/>
        <w:sectPr>
          <w:headerReference w:type="default" r:id="rId59"/>
          <w:footerReference w:type="default" r:id="rId60"/>
          <w:headerReference w:type="even" r:id="rId61"/>
          <w:footerReference w:type="even" r:id="rId62"/>
          <w:footnotePr>
            <w:pos w:val="pageBottom"/>
            <w:numFmt w:val="decimal"/>
            <w:numStart w:val="24"/>
            <w:numRestart w:val="continuous"/>
            <w15:footnoteColumns w:val="1"/>
          </w:footnotePr>
          <w:pgSz w:w="12240" w:h="15840"/>
          <w:pgMar w:top="2737" w:right="2688" w:bottom="2888" w:left="2688" w:header="0" w:footer="3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Personal data of 82,946 individuals were exfiltrated, of which 74,584</w:t>
        <w:br/>
        <w:t>were associated with UK-based data controllers. Some of those</w:t>
        <w:br/>
        <w:t>individuals were deceased, which reduces the number of data</w:t>
        <w:br/>
        <w:t>subjects whose data was exfiltrated to 79,404. These data subjects</w:t>
        <w:br/>
        <w:t>are customers, patients or other relevant data subjects for the</w:t>
        <w:br/>
        <w:t>impacted data controllers. Advanced states that there were likely</w:t>
        <w:br/>
        <w:t>further duplicates within this figure, however it could not deduplicate</w:t>
        <w:br/>
        <w:t>further with real accuracy. Of those data subjects, 41,196 had special</w:t>
        <w:br/>
        <w:t>category data exfiltrated (38,208 did not).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84" w:lineRule="auto"/>
        <w:ind w:left="540" w:right="0" w:hanging="540"/>
        <w:jc w:val="both"/>
      </w:pPr>
      <w:r>
        <w:rPr>
          <w:rStyle w:val="CharStyle23"/>
        </w:rPr>
        <w:t>Advanced has confirmed that the following categories of data were</w:t>
        <w:br/>
        <w:t xml:space="preserve">exfiltrated as part of the Incident: </w:t>
      </w:r>
      <w:r>
        <w:rPr>
          <w:rStyle w:val="CharStyle23"/>
          <w:vertAlign w:val="superscript"/>
        </w:rPr>
        <w:t>36</w:t>
      </w:r>
    </w:p>
    <w:p>
      <w:pPr>
        <w:pStyle w:val="Style2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163" w:val="left"/>
        </w:tabs>
        <w:bidi w:val="0"/>
        <w:spacing w:before="0" w:after="0"/>
        <w:ind w:left="1160" w:right="0" w:hanging="280"/>
        <w:jc w:val="both"/>
      </w:pPr>
      <w:r>
        <w:rPr>
          <w:rStyle w:val="CharStyle23"/>
          <w:b/>
          <w:bCs/>
          <w:sz w:val="16"/>
          <w:szCs w:val="16"/>
        </w:rPr>
        <w:t xml:space="preserve">Demographic and contact information, </w:t>
      </w:r>
      <w:r>
        <w:rPr>
          <w:rStyle w:val="CharStyle23"/>
        </w:rPr>
        <w:t>including: name,</w:t>
        <w:br/>
        <w:t>date of birth, postal address, personal telephone number, and</w:t>
        <w:br/>
        <w:t>personal email addresses.</w:t>
      </w:r>
    </w:p>
    <w:p>
      <w:pPr>
        <w:pStyle w:val="Style2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170" w:val="left"/>
        </w:tabs>
        <w:bidi w:val="0"/>
        <w:spacing w:before="0" w:after="0" w:line="389" w:lineRule="auto"/>
        <w:ind w:left="1160" w:right="0" w:hanging="280"/>
        <w:jc w:val="both"/>
      </w:pPr>
      <w:r>
        <w:rPr>
          <w:rStyle w:val="CharStyle23"/>
          <w:b/>
          <w:bCs/>
          <w:sz w:val="16"/>
          <w:szCs w:val="16"/>
        </w:rPr>
        <w:t xml:space="preserve">Employment-related information, </w:t>
      </w:r>
      <w:r>
        <w:rPr>
          <w:rStyle w:val="CharStyle23"/>
        </w:rPr>
        <w:t>including: employer</w:t>
        <w:br/>
        <w:t>name, job title, employee ID, salary details, business email</w:t>
        <w:br/>
        <w:t>address, business telephone number.</w:t>
      </w:r>
    </w:p>
    <w:p>
      <w:pPr>
        <w:pStyle w:val="Style2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155" w:val="left"/>
        </w:tabs>
        <w:bidi w:val="0"/>
        <w:spacing w:before="0" w:after="0"/>
        <w:ind w:left="1160" w:right="0" w:hanging="280"/>
        <w:jc w:val="both"/>
      </w:pPr>
      <w:r>
        <w:rPr>
          <w:rStyle w:val="CharStyle23"/>
          <w:b/>
          <w:bCs/>
          <w:sz w:val="16"/>
          <w:szCs w:val="16"/>
        </w:rPr>
        <w:t xml:space="preserve">Medical or health-related information, </w:t>
      </w:r>
      <w:r>
        <w:rPr>
          <w:rStyle w:val="CharStyle23"/>
        </w:rPr>
        <w:t>including: medical</w:t>
        <w:br/>
        <w:t>records, medical history, medical record number, treatment,</w:t>
        <w:br/>
        <w:t>diagnosis, prescription information, NHS number and date of</w:t>
        <w:br/>
        <w:t>treatment/date of service.</w:t>
      </w:r>
    </w:p>
    <w:p>
      <w:pPr>
        <w:pStyle w:val="Style22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170" w:val="left"/>
        </w:tabs>
        <w:bidi w:val="0"/>
        <w:spacing w:before="0"/>
        <w:ind w:left="1160" w:right="0" w:hanging="280"/>
        <w:jc w:val="both"/>
      </w:pPr>
      <w:r>
        <w:rPr>
          <w:rStyle w:val="CharStyle23"/>
          <w:b/>
          <w:bCs/>
          <w:sz w:val="16"/>
          <w:szCs w:val="16"/>
        </w:rPr>
        <w:t>Other information (including special category data),</w:t>
        <w:br/>
      </w:r>
      <w:r>
        <w:rPr>
          <w:rStyle w:val="CharStyle23"/>
        </w:rPr>
        <w:t>including: UK National Insurance number, home access</w:t>
        <w:br/>
        <w:t>information, racial or ethnic origin, religion or philosophical</w:t>
        <w:br/>
        <w:t>beliefs, and nationality.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84" w:lineRule="auto"/>
        <w:ind w:left="540" w:right="0" w:hanging="540"/>
        <w:jc w:val="both"/>
      </w:pPr>
      <w:r>
        <w:rPr>
          <w:rStyle w:val="CharStyle23"/>
        </w:rPr>
        <w:t>The data exfiltrated as part of the data breach is personal data within</w:t>
        <w:br/>
        <w:t>the meaning of Article 4(1) UK GDPR and section 3(2) DPA.</w:t>
        <w:br/>
        <w:t>Furthermore, some of the data exfiltrated would also be considered</w:t>
        <w:br/>
        <w:t>special category data within the meaning of Article 9(1) UK GDPR. Of</w:t>
        <w:br/>
        <w:t>note, the home access information of 890 data subjects was</w:t>
        <w:br/>
        <w:t>exfiltrated.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406" w:lineRule="auto"/>
        <w:ind w:left="0" w:right="0" w:firstLine="280"/>
        <w:jc w:val="both"/>
        <w:rPr>
          <w:sz w:val="16"/>
          <w:szCs w:val="16"/>
        </w:rPr>
      </w:pPr>
      <w:r>
        <w:rPr>
          <w:rStyle w:val="CharStyle23"/>
          <w:b/>
          <w:bCs/>
          <w:sz w:val="16"/>
          <w:szCs w:val="16"/>
        </w:rPr>
        <w:t>C. The Infringement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74" w:lineRule="auto"/>
        <w:ind w:left="540" w:right="0" w:hanging="540"/>
        <w:jc w:val="both"/>
      </w:pPr>
      <w:r>
        <w:rPr>
          <w:rStyle w:val="CharStyle23"/>
        </w:rPr>
        <w:t>The Commissioner has considered whether the facts set out at</w:t>
        <w:br/>
        <w:t>paragraphs 14 - 43 above constitute an infringement of the UK GDPR.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/>
        <w:ind w:left="520" w:right="0" w:hanging="520"/>
        <w:jc w:val="both"/>
      </w:pPr>
      <w:r>
        <w:rPr>
          <w:rStyle w:val="CharStyle23"/>
        </w:rPr>
        <w:t>For the reasons set out below, the Commissioner's view is that AHC</w:t>
        <w:br/>
        <w:t>has infringed Article 32(1) UK GDPR. The infringement involved</w:t>
        <w:br/>
        <w:t>failures by Advanced to implement appropriate technical and</w:t>
        <w:br/>
        <w:t>organisational measures to ensure a level of security appropriate to</w:t>
        <w:br/>
        <w:t>the risk posed by processing in the following areas:</w:t>
      </w:r>
    </w:p>
    <w:p>
      <w:pPr>
        <w:pStyle w:val="Style22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63" w:val="left"/>
        </w:tabs>
        <w:bidi w:val="0"/>
        <w:spacing w:before="0" w:after="0" w:line="379" w:lineRule="auto"/>
        <w:ind w:left="0" w:right="0" w:firstLine="880"/>
        <w:jc w:val="both"/>
      </w:pPr>
      <w:r>
        <w:rPr>
          <w:rStyle w:val="CharStyle23"/>
        </w:rPr>
        <w:t>Vulnerability management, encompassing:</w:t>
      </w:r>
    </w:p>
    <w:p>
      <w:pPr>
        <w:pStyle w:val="Style22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663" w:val="left"/>
        </w:tabs>
        <w:bidi w:val="0"/>
        <w:spacing w:before="0" w:after="0" w:line="379" w:lineRule="auto"/>
        <w:ind w:left="1440" w:right="0" w:firstLine="0"/>
        <w:jc w:val="both"/>
      </w:pPr>
      <w:r>
        <w:rPr>
          <w:rStyle w:val="CharStyle23"/>
        </w:rPr>
        <w:t>Vulnerability Scanning</w:t>
      </w:r>
    </w:p>
    <w:p>
      <w:pPr>
        <w:pStyle w:val="Style22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655" w:val="left"/>
        </w:tabs>
        <w:bidi w:val="0"/>
        <w:spacing w:before="0" w:after="0" w:line="379" w:lineRule="auto"/>
        <w:ind w:left="1380" w:right="0" w:firstLine="0"/>
        <w:jc w:val="both"/>
      </w:pPr>
      <w:r>
        <w:rPr>
          <w:rStyle w:val="CharStyle23"/>
        </w:rPr>
        <w:t>Patch Management; and</w:t>
      </w:r>
    </w:p>
    <w:p>
      <w:pPr>
        <w:pStyle w:val="Style22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70" w:val="left"/>
        </w:tabs>
        <w:bidi w:val="0"/>
        <w:spacing w:before="0" w:line="379" w:lineRule="auto"/>
        <w:ind w:left="0" w:right="0" w:firstLine="880"/>
        <w:jc w:val="both"/>
      </w:pPr>
      <w:r>
        <w:rPr>
          <w:rStyle w:val="CharStyle23"/>
        </w:rPr>
        <w:t>Risk Management (relating to MFA)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379" w:lineRule="auto"/>
        <w:ind w:left="520" w:right="0" w:hanging="520"/>
        <w:jc w:val="both"/>
      </w:pPr>
      <w:r>
        <w:rPr>
          <w:rStyle w:val="CharStyle23"/>
        </w:rPr>
        <w:t>The Commissioner finds that these failures significantly contributed</w:t>
        <w:br/>
        <w:t>to a Threat Actor gaining unauthorised access to AHC systems and</w:t>
        <w:br/>
        <w:t>exfiltrating personal data, including special category data.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both"/>
      </w:pPr>
      <w:r>
        <w:rPr>
          <w:rStyle w:val="CharStyle23"/>
          <w:i/>
          <w:iCs/>
        </w:rPr>
        <w:t>(e)(</w:t>
      </w:r>
      <w:r>
        <w:rPr>
          <w:rStyle w:val="CharStyle23"/>
          <w:i/>
          <w:iCs/>
          <w:u w:val="single"/>
        </w:rPr>
        <w:t>1) Vu</w:t>
      </w:r>
      <w:r>
        <w:rPr>
          <w:rStyle w:val="CharStyle23"/>
          <w:i/>
          <w:iCs/>
        </w:rPr>
        <w:t>l</w:t>
      </w:r>
      <w:r>
        <w:rPr>
          <w:rStyle w:val="CharStyle23"/>
          <w:i/>
          <w:iCs/>
          <w:u w:val="single"/>
        </w:rPr>
        <w:t>ne</w:t>
      </w:r>
      <w:r>
        <w:rPr>
          <w:rStyle w:val="CharStyle23"/>
          <w:i/>
          <w:iCs/>
        </w:rPr>
        <w:t xml:space="preserve">rability </w:t>
      </w:r>
      <w:r>
        <w:rPr>
          <w:rStyle w:val="CharStyle23"/>
          <w:i/>
          <w:iCs/>
          <w:u w:val="single"/>
        </w:rPr>
        <w:t>Man</w:t>
      </w:r>
      <w:r>
        <w:rPr>
          <w:rStyle w:val="CharStyle23"/>
          <w:i/>
          <w:iCs/>
        </w:rPr>
        <w:t xml:space="preserve">agement - </w:t>
      </w:r>
      <w:r>
        <w:rPr>
          <w:rStyle w:val="CharStyle23"/>
          <w:i/>
          <w:iCs/>
          <w:u w:val="single"/>
        </w:rPr>
        <w:t>Vuln</w:t>
      </w:r>
      <w:r>
        <w:rPr>
          <w:rStyle w:val="CharStyle23"/>
          <w:i/>
          <w:iCs/>
        </w:rPr>
        <w:t>erability sinning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/>
        <w:ind w:left="520" w:right="0" w:hanging="520"/>
        <w:jc w:val="both"/>
      </w:pPr>
      <w:r>
        <w:rPr>
          <w:rStyle w:val="CharStyle23"/>
        </w:rPr>
        <w:t>According to the NCSC, vulnerability scanning is a broad term, used</w:t>
        <w:br/>
        <w:t>to describe the automated process of detecting defects in an</w:t>
        <w:br/>
        <w:t>organisation's security program. Vulnerability scanning solutions can</w:t>
        <w:br/>
        <w:t>be an affordable way to automatically detect security issues within an</w:t>
        <w:br/>
        <w:t>organisation's network as part of an effective vulnerability</w:t>
        <w:br/>
        <w:t>management programme.</w:t>
      </w:r>
    </w:p>
    <w:p>
      <w:pPr>
        <w:pStyle w:val="Style46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line="240" w:lineRule="auto"/>
        <w:ind w:left="0" w:right="0" w:firstLine="0"/>
        <w:jc w:val="both"/>
      </w:pPr>
      <w:r>
        <w:rPr>
          <w:rStyle w:val="CharStyle47"/>
        </w:rPr>
        <w:t>There were numerous Advanced products and systems processing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520"/>
        <w:jc w:val="both"/>
      </w:pPr>
      <w:r>
        <w:rPr>
          <w:rStyle w:val="CharStyle23"/>
        </w:rPr>
        <w:t>significant volumes of personal data and special category data within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384" w:lineRule="auto"/>
        <w:ind w:left="0" w:right="0" w:firstLine="520"/>
        <w:jc w:val="both"/>
      </w:pPr>
      <w:r>
        <w:rPr>
          <w:rStyle w:val="CharStyle23"/>
        </w:rPr>
        <w:t xml:space="preserve">H'e AHC envrormcnl ri duel no </w:t>
      </w:r>
      <w:r>
        <w:rPr>
          <w:rStyle w:val="CharStyle23"/>
          <w:u w:val="single"/>
        </w:rPr>
        <w:t>| “"j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520" w:right="0" w:firstLine="2280"/>
        <w:jc w:val="both"/>
        <w:sectPr>
          <w:headerReference w:type="default" r:id="rId63"/>
          <w:footerReference w:type="default" r:id="rId64"/>
          <w:headerReference w:type="even" r:id="rId65"/>
          <w:footerReference w:type="even" r:id="rId66"/>
          <w:headerReference w:type="first" r:id="rId67"/>
          <w:footerReference w:type="first" r:id="rId68"/>
          <w:footnotePr>
            <w:pos w:val="pageBottom"/>
            <w:numFmt w:val="decimal"/>
            <w:numStart w:val="24"/>
            <w:numRestart w:val="continuous"/>
            <w15:footnoteColumns w:val="1"/>
          </w:footnotePr>
          <w:pgSz w:w="12240" w:h="15840"/>
          <w:pgMar w:top="2737" w:right="2688" w:bottom="2888" w:left="2688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23"/>
        </w:rPr>
        <w:t>Advanced has not provided any evidence to</w:t>
        <w:br/>
        <w:t>demonstrate that regular vulnerability scanning was taking place in</w:t>
        <w:br/>
        <w:t>relation to these products and across the AHC environment.</w:t>
      </w:r>
    </w:p>
    <w:p>
      <w:pPr>
        <w:pStyle w:val="Style22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533" w:val="left"/>
        </w:tabs>
        <w:bidi w:val="0"/>
        <w:spacing w:before="0" w:after="0" w:line="384" w:lineRule="auto"/>
        <w:ind w:left="520" w:right="0" w:hanging="520"/>
        <w:jc w:val="left"/>
      </w:pPr>
      <w:r>
        <w:rPr>
          <w:rStyle w:val="CharStyle23"/>
        </w:rPr>
        <w:t>Advanced was aware of the need to undertake vulnerability scanning</w:t>
        <w:br/>
        <w:t>as an area of significant risk ^^^^H^^^^K</w:t>
      </w:r>
    </w:p>
    <w:p>
      <w:pPr>
        <w:widowControl w:val="0"/>
        <w:spacing w:line="1" w:lineRule="exact"/>
        <w:sectPr>
          <w:headerReference w:type="default" r:id="rId69"/>
          <w:footerReference w:type="default" r:id="rId70"/>
          <w:headerReference w:type="even" r:id="rId71"/>
          <w:footerReference w:type="even" r:id="rId72"/>
          <w:footnotePr>
            <w:pos w:val="pageBottom"/>
            <w:numFmt w:val="decimal"/>
            <w:numStart w:val="24"/>
            <w:numRestart w:val="continuous"/>
            <w15:footnoteColumns w:val="1"/>
          </w:footnotePr>
          <w:pgSz w:w="12240" w:h="15840"/>
          <w:pgMar w:top="2993" w:right="2684" w:bottom="2513" w:left="2707" w:header="0" w:footer="2085" w:gutter="0"/>
          <w:cols w:space="720"/>
          <w:noEndnote/>
          <w:rtlGutter w:val="0"/>
          <w:docGrid w:linePitch="360"/>
        </w:sectPr>
      </w:pPr>
      <w:r>
        <w:drawing>
          <wp:anchor distT="266700" distB="167005" distL="295275" distR="0" simplePos="0" relativeHeight="125829397" behindDoc="0" locked="0" layoutInCell="1" allowOverlap="1">
            <wp:simplePos x="0" y="0"/>
            <wp:positionH relativeFrom="page">
              <wp:posOffset>2023745</wp:posOffset>
            </wp:positionH>
            <wp:positionV relativeFrom="paragraph">
              <wp:posOffset>266700</wp:posOffset>
            </wp:positionV>
            <wp:extent cx="4029075" cy="671830"/>
            <wp:wrapTopAndBottom/>
            <wp:docPr id="114" name="Shape 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box 115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ext cx="4029075" cy="6718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1728470</wp:posOffset>
                </wp:positionH>
                <wp:positionV relativeFrom="paragraph">
                  <wp:posOffset>328295</wp:posOffset>
                </wp:positionV>
                <wp:extent cx="205105" cy="147955"/>
                <wp:wrapNone/>
                <wp:docPr id="116" name="Shape 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5105" cy="1479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1"/>
                              </w:rPr>
                              <w:t>56.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2" type="#_x0000_t202" style="position:absolute;margin-left:136.09999999999999pt;margin-top:25.850000000000001pt;width:16.149999999999999pt;height:11.65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1"/>
                        </w:rPr>
                        <w:t>56.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ragraph">
                  <wp:posOffset>956945</wp:posOffset>
                </wp:positionV>
                <wp:extent cx="3990975" cy="147955"/>
                <wp:wrapNone/>
                <wp:docPr id="118" name="Shape 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990975" cy="1479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1"/>
                              </w:rPr>
                              <w:t>Commissioner therefore considers that Advanced was aware of the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4" type="#_x0000_t202" style="position:absolute;margin-left:162.pt;margin-top:75.350000000000009pt;width:314.25pt;height:11.65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1"/>
                        </w:rPr>
                        <w:t>Commissioner therefore considers that Advanced was aware of the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540"/>
        <w:jc w:val="both"/>
      </w:pPr>
      <w:r>
        <w:rPr>
          <w:rStyle w:val="CharStyle23"/>
        </w:rPr>
        <w:t>risks posed by the lack of vulnerability scanning.</w:t>
      </w:r>
    </w:p>
    <w:p>
      <w:pPr>
        <w:pStyle w:val="Style22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533" w:val="left"/>
        </w:tabs>
        <w:bidi w:val="0"/>
        <w:spacing w:before="0" w:after="200" w:line="384" w:lineRule="auto"/>
        <w:ind w:left="540" w:right="0" w:hanging="540"/>
        <w:jc w:val="both"/>
      </w:pPr>
      <w:r>
        <w:rPr>
          <w:rStyle w:val="CharStyle23"/>
        </w:rPr>
        <w:t>Advanced previously recognised the need for further in-house</w:t>
        <w:br/>
        <w:t>penetration testing and vulnerability scanning to be deployed across</w:t>
        <w:br/>
        <w:t>its entire IT infrastructure and such tools were deployed in the</w:t>
        <w:br/>
        <w:t>corporate environment.</w:t>
      </w:r>
      <w:r>
        <w:rPr>
          <w:rStyle w:val="CharStyle23"/>
          <w:vertAlign w:val="superscript"/>
        </w:rPr>
        <w:t>39</w:t>
      </w:r>
    </w:p>
    <w:p>
      <w:pPr>
        <w:pStyle w:val="Style22"/>
        <w:keepNext w:val="0"/>
        <w:keepLines w:val="0"/>
        <w:widowControl w:val="0"/>
        <w:shd w:val="clear" w:color="auto" w:fill="auto"/>
        <w:tabs>
          <w:tab w:pos="3353" w:val="left"/>
        </w:tabs>
        <w:bidi w:val="0"/>
        <w:spacing w:before="0" w:after="0" w:line="384" w:lineRule="auto"/>
        <w:ind w:left="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398" behindDoc="0" locked="0" layoutInCell="1" allowOverlap="1">
                <wp:simplePos x="0" y="0"/>
                <wp:positionH relativeFrom="page">
                  <wp:posOffset>1728470</wp:posOffset>
                </wp:positionH>
                <wp:positionV relativeFrom="paragraph">
                  <wp:posOffset>12700</wp:posOffset>
                </wp:positionV>
                <wp:extent cx="205105" cy="147955"/>
                <wp:wrapSquare wrapText="right"/>
                <wp:docPr id="120" name="Shape 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5105" cy="1479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58.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6" type="#_x0000_t202" style="position:absolute;margin-left:136.09999999999999pt;margin-top:1.pt;width:16.149999999999999pt;height:11.65pt;z-index:-12582935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58.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3"/>
        </w:rPr>
        <w:t>Advanced had procured a vulnerability scanning application in R</w:t>
        <w:br/>
        <w:t>a web application scanning in^^^^^f and a policy</w:t>
        <w:br/>
        <w:t>compliance application in</w:t>
        <w:tab/>
        <w:t>prior to the Incident. However,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384" w:lineRule="auto"/>
        <w:ind w:left="0" w:right="0" w:firstLine="540"/>
        <w:jc w:val="both"/>
      </w:pPr>
      <w:r>
        <w:rPr>
          <w:rStyle w:val="CharStyle23"/>
        </w:rPr>
        <w:t>no vulnerability scans or policy compliance scans were conducted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540" w:right="0" w:firstLine="0"/>
        <w:jc w:val="both"/>
      </w:pPr>
      <w:r>
        <w:rPr>
          <w:rStyle w:val="CharStyle23"/>
        </w:rPr>
        <w:t>using these applications in the AHC environment prior to the Incident.</w:t>
        <w:br/>
        <w:t>Only two web application scans were conducted in the AHC</w:t>
        <w:br/>
        <w:t>environment.</w:t>
      </w:r>
      <w:r>
        <w:rPr>
          <w:rStyle w:val="CharStyle23"/>
          <w:vertAlign w:val="superscript"/>
        </w:rPr>
        <w:t>40</w:t>
      </w:r>
      <w:r>
        <w:rPr>
          <w:rStyle w:val="CharStyle23"/>
        </w:rPr>
        <w:t xml:space="preserve"> There was therefore limited visibility of vulnerabilities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540"/>
        <w:jc w:val="both"/>
      </w:pPr>
      <w:r>
        <w:rPr>
          <w:rStyle w:val="CharStyle23"/>
        </w:rPr>
        <w:t>that existed in the AHC environment prior to the Incident.</w:t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33" w:val="left"/>
        </w:tabs>
        <w:bidi w:val="0"/>
        <w:spacing w:before="0" w:after="120" w:line="240" w:lineRule="auto"/>
        <w:ind w:left="0" w:right="0" w:firstLine="0"/>
        <w:jc w:val="left"/>
      </w:pPr>
      <w:r>
        <w:rPr>
          <w:rStyle w:val="CharStyle23"/>
        </w:rPr>
        <w:t>The failure to undertake adequate vulnerability scanning within the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540"/>
        <w:jc w:val="both"/>
      </w:pPr>
      <w:r>
        <w:rPr>
          <w:rStyle w:val="CharStyle23"/>
        </w:rPr>
        <w:t>AHC environment was contrary to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0"/>
        <w:jc w:val="left"/>
      </w:pPr>
      <w:r>
        <w:rPr>
          <w:rStyle w:val="CharStyle34"/>
        </w:rPr>
        <w:t>” Letter from Norton Rose Fulbright to ICO dated 2 February 2024. point 15a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0"/>
        <w:jc w:val="left"/>
      </w:pPr>
      <w:r>
        <w:rPr>
          <w:rStyle w:val="CharStyle34"/>
        </w:rPr>
        <w:t>* Letter from Norton Rose Fullbright to ICO dated 9 October 2022. point 23.6.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0"/>
        <w:jc w:val="left"/>
      </w:pPr>
      <w:r>
        <w:rPr>
          <w:rStyle w:val="CharStyle34"/>
        </w:rPr>
        <w:t>* Advanced slated that the Qualys Web Application scans were conducted ‘across limited parts of the internet-</w:t>
        <w:br/>
        <w:t>facing AHC IT estate' namely in Odyssey on 19 May 2022 and Caret loud on 25 April 2022 - Letter front</w:t>
        <w:br/>
        <w:t>Norton Rose Fulbright to ICO dated 4 February 2023. point 10.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Style w:val="CharStyle23"/>
        </w:rPr>
        <w:t>21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062730" cy="1066800"/>
            <wp:docPr id="122" name="Picutre 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5"/>
                    <a:stretch/>
                  </pic:blipFill>
                  <pic:spPr>
                    <a:xfrm>
                      <a:ext cx="406273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19" w:line="1" w:lineRule="exact"/>
      </w:pP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4463" w:val="left"/>
        </w:tabs>
        <w:bidi w:val="0"/>
        <w:spacing w:before="0" w:after="0" w:line="379" w:lineRule="auto"/>
        <w:ind w:left="0" w:right="0" w:firstLine="0"/>
        <w:jc w:val="both"/>
      </w:pPr>
      <w:r>
        <w:rPr>
          <w:rStyle w:val="CharStyle23"/>
        </w:rPr>
        <w:t>applied to the entire IT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79" w:lineRule="auto"/>
        <w:ind w:left="520" w:right="0" w:firstLine="20"/>
        <w:jc w:val="both"/>
      </w:pPr>
      <w:r>
        <w:rPr>
          <w:rStyle w:val="CharStyle23"/>
        </w:rPr>
        <w:t>infrastructure of Advanced,</w:t>
      </w:r>
      <w:r>
        <w:rPr>
          <w:rStyle w:val="CharStyle23"/>
          <w:vertAlign w:val="superscript"/>
        </w:rPr>
        <w:t>42</w:t>
      </w:r>
      <w:r>
        <w:rPr>
          <w:rStyle w:val="CharStyle23"/>
        </w:rPr>
        <w:t xml:space="preserve"> and therefore applied to AHC. The</w:t>
        <w:br/>
        <w:t>evidence before the Commissioner is that this policy was not being</w:t>
        <w:br/>
        <w:t>implemented in the AHC environment.</w:t>
      </w:r>
      <w:r>
        <w:rPr>
          <w:rStyle w:val="CharStyle23"/>
          <w:vertAlign w:val="superscript"/>
        </w:rPr>
        <w:footnoteReference w:id="14"/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33" w:val="left"/>
        </w:tabs>
        <w:bidi w:val="0"/>
        <w:spacing w:before="0" w:after="200"/>
        <w:ind w:left="520" w:right="0" w:hanging="520"/>
        <w:jc w:val="both"/>
      </w:pPr>
      <w:r>
        <w:rPr>
          <w:rStyle w:val="CharStyle23"/>
        </w:rPr>
        <w:t>The NCSC state that organisations should aim to perform vulnerability</w:t>
        <w:br/>
        <w:t>scans of infrastructure on a regular basis (at least once every month),</w:t>
        <w:br/>
        <w:t>or immediately after applying changes to remediate a critical issue.</w:t>
      </w:r>
      <w:r>
        <w:rPr>
          <w:rStyle w:val="CharStyle23"/>
          <w:vertAlign w:val="superscript"/>
        </w:rPr>
        <w:footnoteReference w:id="15"/>
      </w:r>
      <w:r>
        <w:rPr>
          <w:rStyle w:val="CharStyle23"/>
          <w:vertAlign w:val="superscript"/>
        </w:rPr>
        <w:br/>
      </w:r>
      <w:r>
        <w:rPr>
          <w:rStyle w:val="CharStyle23"/>
        </w:rPr>
        <w:t>The evidence shows that scans were not taking place in the AHC</w:t>
        <w:br/>
        <w:t>environment on a regular basis, and certainly not once a month as</w:t>
        <w:br/>
        <w:t>advised by the NCSC.</w:t>
      </w:r>
      <w:r>
        <w:rPr>
          <w:rStyle w:val="CharStyle23"/>
          <w:vertAlign w:val="superscript"/>
        </w:rPr>
        <w:footnoteReference w:id="16"/>
      </w:r>
      <w:r>
        <w:rPr>
          <w:rStyle w:val="CharStyle23"/>
        </w:rPr>
        <w:t xml:space="preserve"> The Commissioner notes vulnerability scans</w:t>
        <w:br/>
        <w:t>were conducted on a regular basis in Advanced's corporate</w:t>
        <w:br/>
        <w:t>environment.</w:t>
      </w:r>
      <w:r>
        <w:rPr>
          <w:rStyle w:val="CharStyle23"/>
          <w:vertAlign w:val="superscript"/>
        </w:rPr>
        <w:footnoteReference w:id="17"/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33" w:val="left"/>
        </w:tabs>
        <w:bidi w:val="0"/>
        <w:spacing w:before="0" w:line="384" w:lineRule="auto"/>
        <w:ind w:left="520" w:right="0" w:hanging="520"/>
        <w:jc w:val="both"/>
      </w:pPr>
      <w:r>
        <w:rPr>
          <w:rStyle w:val="CharStyle23"/>
        </w:rPr>
        <w:t>Advanced provided the Commissioner with copies of penetration test</w:t>
        <w:br/>
        <w:t>reports that included vulnerability scanning as part of the</w:t>
        <w:br/>
        <w:t>engagement scope, however conducting scans as part of penetration</w:t>
        <w:br/>
        <w:t>test does not exclude the requirement for ongoing, regular scanning</w:t>
        <w:br/>
        <w:t>mechanisms.</w:t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12" w:val="left"/>
        </w:tabs>
        <w:bidi w:val="0"/>
        <w:spacing w:before="0" w:line="379" w:lineRule="auto"/>
        <w:ind w:left="540" w:right="0" w:hanging="540"/>
        <w:jc w:val="both"/>
      </w:pPr>
      <w:r>
        <w:rPr>
          <w:rStyle w:val="CharStyle23"/>
        </w:rPr>
        <w:t>Furthermore, the evidence provided by Advanced in relation to</w:t>
        <w:br/>
        <w:t>penetration tests in the AHC environment shows that these were</w:t>
        <w:br/>
        <w:t>infrequent for each product and could not be relied upon to serve the</w:t>
        <w:br/>
        <w:t>same purpose as a regular ongoing vulnerability scanning</w:t>
        <w:br/>
        <w:t>programme. Where penetration tests were conducted, some of these</w:t>
        <w:br/>
        <w:t>revealed vulnerabilities which were later exploited in the Incident.</w:t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12" w:val="left"/>
        </w:tabs>
        <w:bidi w:val="0"/>
        <w:spacing w:before="0" w:line="384" w:lineRule="auto"/>
        <w:ind w:left="540" w:right="0" w:hanging="540"/>
        <w:jc w:val="both"/>
      </w:pPr>
      <w:r>
        <w:rPr>
          <w:rStyle w:val="CharStyle23"/>
        </w:rPr>
        <w:t>The forensic investigation determined that privilege escalation to</w:t>
        <w:br/>
        <w:t>Domain Administrator was likely achieved through exploitation of the</w:t>
        <w:br/>
        <w:t>ZeroLogon vulnerability.</w:t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12" w:val="left"/>
          <w:tab w:pos="5503" w:val="left"/>
          <w:tab w:pos="5848" w:val="left"/>
        </w:tabs>
        <w:bidi w:val="0"/>
        <w:spacing w:before="0" w:after="0"/>
        <w:ind w:left="540" w:right="0" w:hanging="540"/>
        <w:jc w:val="both"/>
      </w:pPr>
      <w:r>
        <w:rPr>
          <w:rStyle w:val="CharStyle23"/>
        </w:rPr>
        <w:t>The ZeroLogon vulnerability had been discovered and widely</w:t>
        <w:br/>
        <w:t>publicised two years prior to the Incident. In an article written by</w:t>
        <w:br/>
        <w:t>Qualys in September 2020, steps were published on how to remediate</w:t>
        <w:br/>
        <w:t>the ZeroLogon vulnerability (CVE-2020-1472).</w:t>
      </w:r>
      <w:r>
        <w:rPr>
          <w:rStyle w:val="CharStyle23"/>
          <w:vertAlign w:val="superscript"/>
        </w:rPr>
        <w:footnoteReference w:id="18"/>
      </w:r>
      <w:r>
        <w:rPr>
          <w:rStyle w:val="CharStyle23"/>
        </w:rPr>
        <w:t xml:space="preserve"> Qualys is the same</w:t>
        <w:br/>
        <w:t>vulnerability management tool deployed by Advanced within the</w:t>
        <w:br/>
        <w:t>corporate network. Advanced would therefore have had ample</w:t>
        <w:br/>
        <w:t>opportunity to identify and remediate the high risk ZeroLogon</w:t>
        <w:br/>
        <w:t>vulnerability had it implemented such scanning</w:t>
        <w:tab/>
        <w:t>in</w:t>
        <w:tab/>
        <w:t>the AHC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200"/>
        <w:ind w:left="0" w:right="0" w:firstLine="540"/>
        <w:jc w:val="both"/>
      </w:pPr>
      <w:r>
        <w:rPr>
          <w:rStyle w:val="CharStyle23"/>
        </w:rPr>
        <w:t>environment.</w:t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12" w:val="left"/>
          <w:tab w:pos="4513" w:val="left"/>
          <w:tab w:pos="5518" w:val="left"/>
          <w:tab w:pos="5923" w:val="left"/>
        </w:tabs>
        <w:bidi w:val="0"/>
        <w:spacing w:before="0" w:after="0" w:line="384" w:lineRule="auto"/>
        <w:ind w:left="0" w:right="0" w:firstLine="0"/>
        <w:jc w:val="both"/>
      </w:pPr>
      <w:r>
        <w:rPr>
          <w:rStyle w:val="CharStyle23"/>
        </w:rPr>
        <w:t>In light of the above, the Commissioner</w:t>
        <w:tab/>
        <w:t>finds that</w:t>
        <w:tab/>
        <w:t>the</w:t>
        <w:tab/>
        <w:t>failure to</w:t>
      </w:r>
    </w:p>
    <w:p>
      <w:pPr>
        <w:pStyle w:val="Style22"/>
        <w:keepNext w:val="0"/>
        <w:keepLines w:val="0"/>
        <w:widowControl w:val="0"/>
        <w:shd w:val="clear" w:color="auto" w:fill="auto"/>
        <w:tabs>
          <w:tab w:pos="4498" w:val="left"/>
          <w:tab w:pos="5473" w:val="left"/>
          <w:tab w:pos="5850" w:val="left"/>
        </w:tabs>
        <w:bidi w:val="0"/>
        <w:spacing w:before="0" w:after="0" w:line="384" w:lineRule="auto"/>
        <w:ind w:left="0" w:right="0" w:firstLine="540"/>
        <w:jc w:val="both"/>
      </w:pPr>
      <w:r>
        <w:rPr>
          <w:rStyle w:val="CharStyle23"/>
        </w:rPr>
        <w:t>implement comprehensive vulnerability</w:t>
        <w:tab/>
        <w:t>scanning</w:t>
        <w:tab/>
        <w:t>in</w:t>
        <w:tab/>
        <w:t>the AHC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260" w:line="384" w:lineRule="auto"/>
        <w:ind w:left="540" w:right="0" w:firstLine="0"/>
        <w:jc w:val="both"/>
        <w:sectPr>
          <w:footnotePr>
            <w:pos w:val="pageBottom"/>
            <w:numFmt w:val="decimal"/>
            <w:numStart w:val="31"/>
            <w:numRestart w:val="continuous"/>
            <w15:footnoteColumns w:val="1"/>
          </w:footnotePr>
          <w:type w:val="continuous"/>
          <w:pgSz w:w="12240" w:h="15840"/>
          <w:pgMar w:top="2723" w:right="2693" w:bottom="2513" w:left="2698" w:header="0" w:footer="2085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environment amounted to a failure to implement appropriate</w:t>
        <w:br/>
        <w:t>technical and organisational measures to ensure the ongoing</w:t>
        <w:br/>
        <w:t>confidentiality, integrity, availability and resilience of processing</w:t>
        <w:br/>
        <w:t>systems and services (Article 32(1 )(b) UK GDPR), and to ensure a</w:t>
        <w:br/>
        <w:t>process for regularly testing, assessing and evaluating the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520" w:right="0" w:firstLine="20"/>
        <w:jc w:val="both"/>
      </w:pPr>
      <w:r>
        <w:rPr>
          <w:rStyle w:val="CharStyle23"/>
        </w:rPr>
        <w:t>effectiveness of technical and organisational measures for ensuring</w:t>
        <w:br/>
        <w:t>the security of the processing (Article 32(1 )(d) UK GDPR).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0" w:right="0" w:firstLine="0"/>
        <w:jc w:val="both"/>
      </w:pPr>
      <w:r>
        <w:rPr>
          <w:rStyle w:val="CharStyle23"/>
          <w:i/>
          <w:iCs/>
        </w:rPr>
        <w:t>(a)(.li</w:t>
      </w:r>
      <w:r>
        <w:rPr>
          <w:rStyle w:val="CharStyle23"/>
          <w:i/>
          <w:iCs/>
          <w:u w:val="single"/>
        </w:rPr>
        <w:t>) Pa</w:t>
      </w:r>
      <w:r>
        <w:rPr>
          <w:rStyle w:val="CharStyle23"/>
          <w:i/>
          <w:iCs/>
        </w:rPr>
        <w:t xml:space="preserve">tch </w:t>
      </w:r>
      <w:r>
        <w:rPr>
          <w:rStyle w:val="CharStyle23"/>
          <w:i/>
          <w:iCs/>
          <w:u w:val="single"/>
        </w:rPr>
        <w:t>Ma</w:t>
      </w:r>
      <w:r>
        <w:rPr>
          <w:rStyle w:val="CharStyle23"/>
          <w:i/>
          <w:iCs/>
        </w:rPr>
        <w:t>nagement</w:t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33" w:val="left"/>
        </w:tabs>
        <w:bidi w:val="0"/>
        <w:spacing w:before="0" w:line="384" w:lineRule="auto"/>
        <w:ind w:left="520" w:right="0" w:hanging="520"/>
        <w:jc w:val="both"/>
      </w:pPr>
      <w:r>
        <w:rPr>
          <w:rStyle w:val="CharStyle23"/>
        </w:rPr>
        <w:t>Patch management is essential to ensure that systems have the latest</w:t>
        <w:br/>
        <w:t>security updates which will often include fixes for various</w:t>
        <w:br/>
        <w:t>vulnerabilities. Insufficient patch management increases the risk that</w:t>
        <w:br/>
        <w:t>if such security issues are left unaddressed, the system is more open</w:t>
        <w:br/>
        <w:t>to exploitation. Effective patch management is essential to ensure</w:t>
        <w:br/>
        <w:t>these issues are resolved so they cannot be exploited by a threat</w:t>
        <w:br/>
        <w:t>actor.</w:t>
      </w:r>
      <w:r>
        <w:rPr>
          <w:rStyle w:val="CharStyle23"/>
          <w:vertAlign w:val="superscript"/>
        </w:rPr>
        <w:t>48</w:t>
      </w:r>
    </w:p>
    <w:p>
      <w:pPr>
        <w:pStyle w:val="Style22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533" w:val="left"/>
        </w:tabs>
        <w:bidi w:val="0"/>
        <w:spacing w:before="0" w:after="180" w:line="379" w:lineRule="auto"/>
        <w:ind w:left="520" w:right="0" w:hanging="520"/>
        <w:jc w:val="both"/>
      </w:pPr>
      <w:r>
        <w:rPr>
          <w:rStyle w:val="CharStyle23"/>
        </w:rPr>
        <w:t>As referred to at paragraphs 27 - 29 above, the ZeroLogon</w:t>
        <w:br/>
        <w:t>vulnerability was widely publicised, with repeated messages about</w:t>
        <w:br/>
        <w:t>ensuring patching as soon as possible. A patch update was made</w:t>
        <w:br/>
        <w:t>available by Microsoft in August 2020 with a further security update</w:t>
        <w:br/>
        <w:t>made available in February 2021.</w:t>
      </w:r>
    </w:p>
    <w:p>
      <w:pPr>
        <w:widowControl w:val="0"/>
        <w:jc w:val="right"/>
        <w:rPr>
          <w:sz w:val="2"/>
          <w:szCs w:val="2"/>
        </w:rPr>
      </w:pPr>
      <w:r>
        <w:drawing>
          <wp:inline>
            <wp:extent cx="4024630" cy="828675"/>
            <wp:docPr id="123" name="Picutre 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77"/>
                    <a:stretch/>
                  </pic:blipFill>
                  <pic:spPr>
                    <a:xfrm>
                      <a:ext cx="4024630" cy="82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59" w:line="1" w:lineRule="exact"/>
      </w:pPr>
    </w:p>
    <w:p>
      <w:pPr>
        <w:pStyle w:val="Style2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533" w:val="left"/>
        </w:tabs>
        <w:bidi w:val="0"/>
        <w:spacing w:before="0" w:after="680" w:line="386" w:lineRule="auto"/>
        <w:ind w:left="520" w:right="0" w:hanging="520"/>
        <w:jc w:val="both"/>
      </w:pPr>
      <w:r>
        <w:rPr>
          <w:rStyle w:val="CharStyle23"/>
        </w:rPr>
        <w:t>Advanced undertook some patching activities in response to the</w:t>
        <w:br/>
        <w:t>ZeroLogon vulnerability (CXVE-2020-1472) but its approach to</w:t>
        <w:br/>
        <w:t>patching in the AHC environment was ad hoc, as it did not have a</w:t>
        <w:br/>
        <w:t>mature patch validation process in place.</w:t>
      </w:r>
      <w:r>
        <w:rPr>
          <w:rStyle w:val="CharStyle23"/>
          <w:vertAlign w:val="superscript"/>
        </w:rPr>
        <w:t>50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4"/>
          <w:color w:val="63619A"/>
        </w:rPr>
        <w:t xml:space="preserve">“ Wh.i: Is I'.iuh </w:t>
      </w:r>
      <w:r>
        <w:rPr>
          <w:rStyle w:val="CharStyle34"/>
          <w:color w:val="63619A"/>
          <w:lang w:val="fr-FR" w:eastAsia="fr-FR"/>
        </w:rPr>
        <w:t xml:space="preserve">Management”. </w:t>
      </w:r>
      <w:r>
        <w:rPr>
          <w:rStyle w:val="CharStyle34"/>
          <w:color w:val="63619A"/>
        </w:rPr>
        <w:t>IBM</w:t>
      </w:r>
    </w:p>
    <w:p>
      <w:pPr>
        <w:pStyle w:val="Style2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533" w:val="left"/>
        </w:tabs>
        <w:bidi w:val="0"/>
        <w:spacing w:before="0" w:line="384" w:lineRule="auto"/>
        <w:ind w:left="520" w:right="0" w:hanging="520"/>
        <w:jc w:val="both"/>
      </w:pPr>
      <w:r>
        <w:rPr>
          <w:rStyle w:val="CharStyle23"/>
        </w:rPr>
        <w:t>Advanced has been unable to confirm whether the ZeroLogon</w:t>
        <w:br/>
        <w:t>vulnerability had been patched in the impacted server in the AHC</w:t>
        <w:br/>
        <w:t>environment prior to the Incident as there was not an accurate record</w:t>
        <w:br/>
        <w:t>of patching at the time of the Incident. Activities undertaken to</w:t>
        <w:br/>
        <w:t>restore the servers post incident involved patching the ZeroLogon</w:t>
        <w:br/>
        <w:t>vulnerability out of the systems, which meant this aspect of the</w:t>
        <w:br/>
        <w:t>forensic history had been overwritten.</w:t>
      </w:r>
    </w:p>
    <w:p>
      <w:pPr>
        <w:pStyle w:val="Style2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533" w:val="left"/>
        </w:tabs>
        <w:bidi w:val="0"/>
        <w:spacing w:before="0"/>
        <w:ind w:left="520" w:right="0" w:hanging="520"/>
        <w:jc w:val="both"/>
      </w:pPr>
      <w:r>
        <w:rPr>
          <w:rStyle w:val="CharStyle23"/>
        </w:rPr>
        <w:t>Given the findings of the forensic investigation regarding the likely</w:t>
        <w:br/>
        <w:t>exploitation of ZeroLogon vulnerability, the evidence that Advanced</w:t>
        <w:br/>
        <w:t>was aware of the vulnerability, the evidence regarding Advanced's</w:t>
        <w:br/>
      </w:r>
      <w:r>
        <w:rPr>
          <w:rStyle w:val="CharStyle23"/>
          <w:i/>
          <w:iCs/>
        </w:rPr>
        <w:t>"ad-hoc"</w:t>
      </w:r>
      <w:r>
        <w:rPr>
          <w:rStyle w:val="CharStyle23"/>
        </w:rPr>
        <w:t xml:space="preserve"> patch management, and the absence of evidence to</w:t>
        <w:br/>
        <w:t>demonstrate that the ZeroLogon vulnerability had been patched by</w:t>
        <w:br/>
        <w:t>Advanced before the Incident, the Commissioner finds that Advanced</w:t>
        <w:br/>
        <w:t>has infringed Article 32(1) UK GDPR. The Commissioner finds that</w:t>
        <w:br/>
        <w:t>Advanced did not implement appropriate technical and organisational</w:t>
        <w:br/>
        <w:t>measures to ensure a level of security appropriate to the risk</w:t>
        <w:br/>
        <w:t>presented by the processing.</w:t>
      </w:r>
    </w:p>
    <w:p>
      <w:pPr>
        <w:pStyle w:val="Style22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533" w:val="left"/>
        </w:tabs>
        <w:bidi w:val="0"/>
        <w:spacing w:before="0" w:line="384" w:lineRule="auto"/>
        <w:ind w:left="520" w:right="0" w:hanging="520"/>
        <w:jc w:val="both"/>
      </w:pPr>
      <w:r>
        <w:rPr>
          <w:rStyle w:val="CharStyle23"/>
        </w:rPr>
        <w:t>The Commissioner finds this failure led to an infringement of Article</w:t>
        <w:br/>
        <w:t>32(l)(b) UK GDPR, as the failure to have adequate patch</w:t>
        <w:br/>
        <w:t>management in place led to an inability to ensure ongoing</w:t>
        <w:br/>
        <w:t>confidentiality, integrity, availability of processing systems and</w:t>
        <w:br/>
        <w:t>services as demonstrated by the Incident and subsequent exfiltration</w:t>
        <w:br/>
        <w:t>of personal and special category data.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384" w:lineRule="auto"/>
        <w:ind w:left="0" w:right="0" w:firstLine="0"/>
        <w:jc w:val="both"/>
        <w:sectPr>
          <w:headerReference w:type="default" r:id="rId79"/>
          <w:footerReference w:type="default" r:id="rId80"/>
          <w:headerReference w:type="even" r:id="rId81"/>
          <w:footerReference w:type="even" r:id="rId82"/>
          <w:footnotePr>
            <w:pos w:val="pageBottom"/>
            <w:numFmt w:val="decimal"/>
            <w:numStart w:val="31"/>
            <w:numRestart w:val="continuous"/>
            <w15:footnoteColumns w:val="1"/>
          </w:footnotePr>
          <w:pgSz w:w="12240" w:h="15840"/>
          <w:pgMar w:top="2775" w:right="2714" w:bottom="3060" w:left="2707" w:header="0" w:footer="3" w:gutter="0"/>
          <w:cols w:space="720"/>
          <w:noEndnote/>
          <w:rtlGutter w:val="0"/>
          <w:docGrid w:linePitch="360"/>
        </w:sectPr>
      </w:pPr>
      <w:r>
        <w:rPr>
          <w:rStyle w:val="CharStyle23"/>
          <w:i/>
          <w:iCs/>
          <w:u w:val="single"/>
        </w:rPr>
        <w:t>Vulnerability Management - State of the Art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"/>
          <w:rFonts w:ascii="Verdana" w:eastAsia="Verdana" w:hAnsi="Verdana" w:cs="Verdana"/>
          <w:sz w:val="17"/>
          <w:szCs w:val="17"/>
        </w:rPr>
        <w:t>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left"/>
      </w:pPr>
      <w:r>
        <w:rPr>
          <w:rStyle w:val="CharStyle3"/>
        </w:rPr>
        <w:t>“ The NETLOGON is a Local Security Authority service that authenticates users into the domain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left"/>
      </w:pPr>
      <w:r>
        <w:rPr>
          <w:rStyle w:val="CharStyle3"/>
          <w:vertAlign w:val="superscript"/>
        </w:rPr>
        <w:t>11</w:t>
      </w:r>
      <w:r>
        <w:rPr>
          <w:rStyle w:val="CharStyle3"/>
          <w:color w:val="63619A"/>
          <w:u w:val="single"/>
        </w:rPr>
        <w:t>CVE-2O2O-1472 ■ Security Upd</w:t>
      </w:r>
      <w:r>
        <w:rPr>
          <w:rStyle w:val="CharStyle3"/>
          <w:color w:val="63619A"/>
        </w:rPr>
        <w:t xml:space="preserve">ate Guide - </w:t>
      </w:r>
      <w:r>
        <w:rPr>
          <w:rStyle w:val="CharStyle3"/>
          <w:color w:val="63619A"/>
          <w:u w:val="single"/>
        </w:rPr>
        <w:t xml:space="preserve">Microsoft </w:t>
      </w:r>
      <w:r>
        <w:rPr>
          <w:rStyle w:val="CharStyle3"/>
          <w:u w:val="single"/>
        </w:rPr>
        <w:t xml:space="preserve">• </w:t>
      </w:r>
      <w:r>
        <w:rPr>
          <w:rStyle w:val="CharStyle3"/>
          <w:color w:val="63619A"/>
          <w:u w:val="single"/>
        </w:rPr>
        <w:t>Nctlogon Ho align of Privilege Vulnerab</w:t>
      </w:r>
      <w:r>
        <w:rPr>
          <w:rStyle w:val="CharStyle3"/>
          <w:color w:val="63619A"/>
        </w:rPr>
        <w:t>ility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left"/>
      </w:pPr>
      <w:r>
        <w:rPr>
          <w:rStyle w:val="CharStyle3"/>
          <w:color w:val="63619A"/>
        </w:rPr>
        <w:t xml:space="preserve">' </w:t>
      </w:r>
      <w:r>
        <w:rPr>
          <w:rStyle w:val="CharStyle3"/>
          <w:color w:val="63619A"/>
          <w:lang w:val="fr-FR" w:eastAsia="fr-FR"/>
        </w:rPr>
        <w:t xml:space="preserve">!!,.« </w:t>
      </w:r>
      <w:r>
        <w:rPr>
          <w:rStyle w:val="CharStyle3"/>
          <w:color w:val="63619A"/>
        </w:rPr>
        <w:t xml:space="preserve">b. manage the changes m Xctu.g.m secure channel </w:t>
      </w:r>
      <w:r>
        <w:rPr>
          <w:rStyle w:val="CharStyle3"/>
          <w:color w:val="63619A"/>
          <w:lang w:val="fr-FR" w:eastAsia="fr-FR"/>
        </w:rPr>
        <w:t xml:space="preserve">cvimcc'im’s </w:t>
      </w:r>
      <w:r>
        <w:rPr>
          <w:rStyle w:val="CharStyle3"/>
          <w:color w:val="63619A"/>
        </w:rPr>
        <w:t>a-..^ : :„ J v. n । ( \T-2020-1472 -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left"/>
      </w:pPr>
      <w:r>
        <w:rPr>
          <w:rStyle w:val="CharStyle3"/>
          <w:color w:val="63619A"/>
        </w:rPr>
        <w:t>MieroM&gt;ft Support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left"/>
      </w:pPr>
      <w:r>
        <w:rPr>
          <w:rStyle w:val="CharStyle3"/>
          <w:vertAlign w:val="superscript"/>
        </w:rPr>
        <w:t>14</w:t>
      </w:r>
      <w:r>
        <w:rPr>
          <w:rStyle w:val="CharStyle3"/>
        </w:rPr>
        <w:t xml:space="preserve"> </w:t>
      </w:r>
      <w:r>
        <w:rPr>
          <w:rStyle w:val="CharStyle3"/>
          <w:color w:val="8381BA"/>
          <w:u w:val="single"/>
        </w:rPr>
        <w:t xml:space="preserve">Alert; </w:t>
      </w:r>
      <w:r>
        <w:rPr>
          <w:rStyle w:val="CharStyle3"/>
          <w:color w:val="63619A"/>
          <w:u w:val="single"/>
        </w:rPr>
        <w:t xml:space="preserve">UK </w:t>
      </w:r>
      <w:r>
        <w:rPr>
          <w:rStyle w:val="CharStyle3"/>
          <w:color w:val="8381BA"/>
          <w:u w:val="single"/>
        </w:rPr>
        <w:t xml:space="preserve">organisations should patch Wctlogoii,,, </w:t>
      </w:r>
      <w:r>
        <w:rPr>
          <w:rStyle w:val="CharStyle3"/>
          <w:u w:val="single"/>
        </w:rPr>
        <w:t xml:space="preserve">• </w:t>
      </w:r>
      <w:r>
        <w:rPr>
          <w:rStyle w:val="CharStyle3"/>
          <w:color w:val="63619A"/>
          <w:u w:val="single"/>
        </w:rPr>
        <w:t>NCSC.GOV.UK</w:t>
      </w:r>
    </w:p>
    <w:sectPr>
      <w:footnotePr>
        <w:pos w:val="pageBottom"/>
        <w:numFmt w:val="decimal"/>
        <w:numStart w:val="31"/>
        <w:numRestart w:val="continuous"/>
        <w15:footnoteColumns w:val="1"/>
      </w:footnotePr>
      <w:type w:val="continuous"/>
      <w:pgSz w:w="12240" w:h="15840"/>
      <w:pgMar w:top="2775" w:right="2714" w:bottom="3060" w:left="2707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300.35000000000002pt;margin-top:657.39999999999998pt;width:10.5pt;height:6.7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300.35000000000002pt;margin-top:657.39999999999998pt;width:10.5pt;height:6.75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300.35000000000002pt;margin-top:657.39999999999998pt;width:10.5pt;height:6.75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300.35000000000002pt;margin-top:657.39999999999998pt;width:10.5pt;height:6.75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300.35000000000002pt;margin-top:657.39999999999998pt;width:10.5pt;height:6.75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300.35000000000002pt;margin-top:657.39999999999998pt;width:10.5pt;height:6.75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300.35000000000002pt;margin-top:657.39999999999998pt;width:10.5pt;height:6.75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300.35000000000002pt;margin-top:657.39999999999998pt;width:10.5pt;height:6.75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1738630</wp:posOffset>
              </wp:positionH>
              <wp:positionV relativeFrom="page">
                <wp:posOffset>8154035</wp:posOffset>
              </wp:positionV>
              <wp:extent cx="2476500" cy="314325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76500" cy="3143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Style w:val="CharStyle13"/>
                              <w:rFonts w:ascii="Arial" w:eastAsia="Arial" w:hAnsi="Arial" w:cs="Arial"/>
                              <w:sz w:val="13"/>
                              <w:szCs w:val="13"/>
                            </w:rPr>
                            <w:t>Citrix is a software that allows remote access to servers.</w:t>
                          </w:r>
                        </w:p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Style w:val="CharStyle13"/>
                              <w:rFonts w:ascii="Arial" w:eastAsia="Arial" w:hAnsi="Arial" w:cs="Arial"/>
                              <w:sz w:val="13"/>
                              <w:szCs w:val="13"/>
                            </w:rPr>
                            <w:t xml:space="preserve">-' Letter Norton Rose Fulbright to ICO 9 October 2022. point </w:t>
                          </w:r>
                          <w:fldSimple w:instr=" PAGE \* MERGEFORMAT ">
                            <w:r>
                              <w:rPr>
                                <w:rStyle w:val="CharStyle13"/>
                                <w:rFonts w:ascii="Arial" w:eastAsia="Arial" w:hAnsi="Arial" w:cs="Arial"/>
                                <w:sz w:val="13"/>
                                <w:szCs w:val="13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3"/>
                              <w:rFonts w:ascii="Arial" w:eastAsia="Arial" w:hAnsi="Arial" w:cs="Arial"/>
                              <w:sz w:val="13"/>
                              <w:szCs w:val="13"/>
                            </w:rPr>
                            <w:t>.</w:t>
                          </w:r>
                        </w:p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12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136.90000000000001pt;margin-top:642.05000000000007pt;width:195.pt;height:24.75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Style w:val="CharStyle13"/>
                        <w:rFonts w:ascii="Arial" w:eastAsia="Arial" w:hAnsi="Arial" w:cs="Arial"/>
                        <w:sz w:val="13"/>
                        <w:szCs w:val="13"/>
                      </w:rPr>
                      <w:t>Citrix is a software that allows remote access to servers.</w:t>
                    </w:r>
                  </w:p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Style w:val="CharStyle13"/>
                        <w:rFonts w:ascii="Arial" w:eastAsia="Arial" w:hAnsi="Arial" w:cs="Arial"/>
                        <w:sz w:val="13"/>
                        <w:szCs w:val="13"/>
                      </w:rPr>
                      <w:t xml:space="preserve">-' Letter Norton Rose Fulbright to ICO 9 October 2022. point </w:t>
                    </w:r>
                    <w:fldSimple w:instr=" PAGE \* MERGEFORMAT ">
                      <w:r>
                        <w:rPr>
                          <w:rStyle w:val="CharStyle13"/>
                          <w:rFonts w:ascii="Arial" w:eastAsia="Arial" w:hAnsi="Arial" w:cs="Arial"/>
                          <w:sz w:val="13"/>
                          <w:szCs w:val="13"/>
                        </w:rPr>
                        <w:t>#</w:t>
                      </w:r>
                    </w:fldSimple>
                    <w:r>
                      <w:rPr>
                        <w:rStyle w:val="CharStyle13"/>
                        <w:rFonts w:ascii="Arial" w:eastAsia="Arial" w:hAnsi="Arial" w:cs="Arial"/>
                        <w:sz w:val="13"/>
                        <w:szCs w:val="13"/>
                      </w:rPr>
                      <w:t>.</w:t>
                    </w:r>
                  </w:p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92" name="Shape 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8" type="#_x0000_t202" style="position:absolute;margin-left:300.35000000000002pt;margin-top:657.39999999999998pt;width:10.5pt;height:6.75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96" name="Shape 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2" type="#_x0000_t202" style="position:absolute;margin-left:300.35000000000002pt;margin-top:657.39999999999998pt;width:10.5pt;height:6.75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100" name="Shape 1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6" type="#_x0000_t202" style="position:absolute;margin-left:300.35000000000002pt;margin-top:657.39999999999998pt;width:10.5pt;height:6.75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104" name="Shape 1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0" type="#_x0000_t202" style="position:absolute;margin-left:300.35000000000002pt;margin-top:657.39999999999998pt;width:10.5pt;height:6.75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1750060</wp:posOffset>
              </wp:positionH>
              <wp:positionV relativeFrom="page">
                <wp:posOffset>8288020</wp:posOffset>
              </wp:positionV>
              <wp:extent cx="2609850" cy="209550"/>
              <wp:wrapNone/>
              <wp:docPr id="108" name="Shape 1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609850" cy="209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Style w:val="CharStyle13"/>
                              <w:rFonts w:ascii="Arial" w:eastAsia="Arial" w:hAnsi="Arial" w:cs="Arial"/>
                              <w:sz w:val="13"/>
                              <w:szCs w:val="13"/>
                            </w:rPr>
                            <w:t>* Letter Norton Rose Fulbright to ICO dated 9 October 2022. point I</w:t>
                          </w:r>
                        </w:p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4" type="#_x0000_t202" style="position:absolute;margin-left:137.80000000000001pt;margin-top:652.60000000000002pt;width:205.5pt;height:16.5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Style w:val="CharStyle13"/>
                        <w:rFonts w:ascii="Arial" w:eastAsia="Arial" w:hAnsi="Arial" w:cs="Arial"/>
                        <w:sz w:val="13"/>
                        <w:szCs w:val="13"/>
                      </w:rPr>
                      <w:t>* Letter Norton Rose Fulbright to ICO dated 9 October 2022. point I</w:t>
                    </w:r>
                  </w:p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3814445</wp:posOffset>
              </wp:positionH>
              <wp:positionV relativeFrom="page">
                <wp:posOffset>8348980</wp:posOffset>
              </wp:positionV>
              <wp:extent cx="133350" cy="85725"/>
              <wp:wrapNone/>
              <wp:docPr id="126" name="Shape 1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350" cy="857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2" type="#_x0000_t202" style="position:absolute;margin-left:300.35000000000002pt;margin-top:657.39999999999998pt;width:10.5pt;height:6.75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8215630</wp:posOffset>
              </wp:positionV>
              <wp:extent cx="2752725" cy="209550"/>
              <wp:wrapNone/>
              <wp:docPr id="130" name="Shape 1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752725" cy="209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Style w:val="CharStyle13"/>
                              <w:rFonts w:ascii="Arial" w:eastAsia="Arial" w:hAnsi="Arial" w:cs="Arial"/>
                              <w:sz w:val="13"/>
                              <w:szCs w:val="13"/>
                              <w:vertAlign w:val="superscript"/>
                            </w:rPr>
                            <w:t>v</w:t>
                          </w:r>
                          <w:r>
                            <w:rPr>
                              <w:rStyle w:val="CharStyle13"/>
                              <w:rFonts w:ascii="Arial" w:eastAsia="Arial" w:hAnsi="Arial" w:cs="Arial"/>
                              <w:sz w:val="13"/>
                              <w:szCs w:val="13"/>
                            </w:rPr>
                            <w:t xml:space="preserve"> Letter to Norton Row l-'ullbnght to ICO dated 9 October 2022. point 4</w:t>
                          </w:r>
                        </w:p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fldSimple w:instr=" PAGE \* MERGEFORMAT ">
                            <w:r>
                              <w:rPr>
                                <w:rStyle w:val="CharStyle13"/>
                                <w:rFonts w:ascii="Verdana" w:eastAsia="Verdana" w:hAnsi="Verdana" w:cs="Verdana"/>
                                <w:sz w:val="17"/>
                                <w:szCs w:val="17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6" type="#_x0000_t202" style="position:absolute;margin-left:137.25pt;margin-top:646.89999999999998pt;width:216.75pt;height:16.5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Style w:val="CharStyle13"/>
                        <w:rFonts w:ascii="Arial" w:eastAsia="Arial" w:hAnsi="Arial" w:cs="Arial"/>
                        <w:sz w:val="13"/>
                        <w:szCs w:val="13"/>
                        <w:vertAlign w:val="superscript"/>
                      </w:rPr>
                      <w:t>v</w:t>
                    </w:r>
                    <w:r>
                      <w:rPr>
                        <w:rStyle w:val="CharStyle13"/>
                        <w:rFonts w:ascii="Arial" w:eastAsia="Arial" w:hAnsi="Arial" w:cs="Arial"/>
                        <w:sz w:val="13"/>
                        <w:szCs w:val="13"/>
                      </w:rPr>
                      <w:t xml:space="preserve"> Letter to Norton Row l-'ullbnght to ICO dated 9 October 2022. point 4</w:t>
                    </w:r>
                  </w:p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fldSimple w:instr=" PAGE \* MERGEFORMAT ">
                      <w:r>
                        <w:rPr>
                          <w:rStyle w:val="CharStyle13"/>
                          <w:rFonts w:ascii="Verdana" w:eastAsia="Verdana" w:hAnsi="Verdana" w:cs="Verdana"/>
                          <w:sz w:val="17"/>
                          <w:szCs w:val="17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Regulation </w:t>
      </w:r>
      <w:r>
        <w:rPr>
          <w:rStyle w:val="CharStyle3"/>
          <w:lang w:val="fr-FR" w:eastAsia="fr-FR"/>
        </w:rPr>
        <w:t xml:space="preserve">(EU) </w:t>
      </w:r>
      <w:r>
        <w:rPr>
          <w:rStyle w:val="CharStyle3"/>
        </w:rPr>
        <w:t>2016 679 of the European Parliament and of the Council of 27 April 2016 on the protection</w:t>
        <w:br/>
        <w:t>of natural persons with regard to the processing of personal data and on the free movement of such data, as it</w:t>
      </w:r>
    </w:p>
  </w:footnote>
  <w:footnote w:id="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"/>
        </w:rPr>
        <w:t>forms pan of the law of England and Wales. Scotland and Northern Ireland by virtue of section 3 of the</w:t>
        <w:br/>
        <w:t>European Union ( Withdrawal* Act 2018. For the period 25 May 2018 to 31 December 2020, references in this</w:t>
        <w:br/>
        <w:t xml:space="preserve">Penalty Notice to the UK GDPR should be read as references to the GDPR (Regulation </w:t>
      </w:r>
      <w:r>
        <w:rPr>
          <w:rStyle w:val="CharStyle3"/>
          <w:lang w:val="fr-FR" w:eastAsia="fr-FR"/>
        </w:rPr>
        <w:t xml:space="preserve">(EU) </w:t>
      </w:r>
      <w:r>
        <w:rPr>
          <w:rStyle w:val="CharStyle3"/>
        </w:rPr>
        <w:t>2016679 of the</w:t>
        <w:br/>
        <w:t>European Parliament and of the Council of 27 April 2016 on the protection of natural persons with regard to the</w:t>
        <w:br/>
        <w:t>processing of personal data and on the free movement of such data) as it applied in the UK dunng that period.</w:t>
      </w:r>
    </w:p>
  </w:footnote>
  <w:footnote w:id="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 xml:space="preserve">• The date of commencement of the DPA and </w:t>
      </w:r>
      <w:r>
        <w:rPr>
          <w:rStyle w:val="CharStyle3"/>
          <w:lang w:val="fr-FR" w:eastAsia="fr-FR"/>
        </w:rPr>
        <w:t xml:space="preserve">application </w:t>
      </w:r>
      <w:r>
        <w:rPr>
          <w:rStyle w:val="CharStyle3"/>
        </w:rPr>
        <w:t>the GDPR.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1</w:t>
      </w:r>
      <w:r>
        <w:rPr>
          <w:rStyle w:val="CharStyle3"/>
        </w:rPr>
        <w:t xml:space="preserve"> The date the first data controller customer entity was reconnected to the relevant system.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4</w:t>
      </w:r>
      <w:r>
        <w:rPr>
          <w:rStyle w:val="CharStyle3"/>
        </w:rPr>
        <w:t xml:space="preserve"> Advanced NOI Rcprescnt.ilions dated 23 September 2024,</w:t>
      </w:r>
    </w:p>
  </w:footnote>
  <w:footnote w:id="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"/>
          <w:rFonts w:ascii="Verdana" w:eastAsia="Verdana" w:hAnsi="Verdana" w:cs="Verdana"/>
          <w:sz w:val="17"/>
          <w:szCs w:val="17"/>
        </w:rPr>
        <w:footnoteRef/>
      </w:r>
    </w:p>
  </w:footnote>
  <w:footnote w:id="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  <w:color w:val="63619A"/>
        </w:rPr>
        <w:t>1 nrn.illcd rector-specilie business M&gt;fiwurc.( &gt;ne Adsunccd</w:t>
      </w:r>
    </w:p>
  </w:footnote>
  <w:footnote w:id="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>* Letter from Norton Rose Fulbright to ICO dated 4 February 2023. point 6.</w:t>
      </w:r>
    </w:p>
  </w:footnote>
  <w:footnote w:id="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"/>
          <w:rFonts w:ascii="Verdana" w:eastAsia="Verdana" w:hAnsi="Verdana" w:cs="Verdana"/>
          <w:sz w:val="17"/>
          <w:szCs w:val="17"/>
        </w:rPr>
        <w:footnoteRef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>’ Letter from Norton Rose Fulbright to ICO dated 4 February 2023. point 21.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>* Provided as appendix 2.1 to Letter from Norton Rose Fulbright to ICO dated 4 February 2023.</w:t>
      </w:r>
    </w:p>
  </w:footnote>
  <w:footnote w:id="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"/>
          <w:rFonts w:ascii="Verdana" w:eastAsia="Verdana" w:hAnsi="Verdana" w:cs="Verdana"/>
          <w:sz w:val="17"/>
          <w:szCs w:val="17"/>
        </w:rPr>
        <w:footnoteRef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>‘ Letter from Norton Rose Fulbright to ICO dated 4 February 2024. point 6.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>'* Letter from Norton Rose Fulbright to ICO dated 4 February 2023. point 6.</w:t>
      </w:r>
    </w:p>
  </w:footnote>
  <w:footnote w:id="1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"/>
          <w:rFonts w:ascii="Verdana" w:eastAsia="Verdana" w:hAnsi="Verdana" w:cs="Verdana"/>
          <w:sz w:val="17"/>
          <w:szCs w:val="17"/>
        </w:rPr>
        <w:t>11</w:t>
      </w:r>
    </w:p>
  </w:footnote>
  <w:footnote w:id="1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140"/>
        <w:jc w:val="both"/>
      </w:pPr>
      <w:r>
        <w:rPr>
          <w:rStyle w:val="CharStyle3"/>
          <w:color w:val="63619A"/>
          <w:u w:val="single"/>
        </w:rPr>
        <w:t xml:space="preserve">NVQ • CVI:-2Q2O-I472 </w:t>
      </w:r>
      <w:r>
        <w:rPr>
          <w:rStyle w:val="CharStyle3"/>
          <w:smallCaps/>
          <w:color w:val="63619A"/>
          <w:sz w:val="15"/>
          <w:szCs w:val="15"/>
          <w:u w:val="single"/>
        </w:rPr>
        <w:t>(.»m</w:t>
      </w:r>
      <w:r>
        <w:rPr>
          <w:rStyle w:val="CharStyle3"/>
          <w:color w:val="63619A"/>
          <w:u w:val="single"/>
        </w:rPr>
        <w:t xml:space="preserve"> itov),</w:t>
      </w:r>
    </w:p>
  </w:footnote>
  <w:footnote w:id="1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"/>
          <w:vertAlign w:val="superscript"/>
        </w:rPr>
        <w:t>M</w:t>
      </w:r>
      <w:r>
        <w:rPr>
          <w:rStyle w:val="CharStyle3"/>
        </w:rPr>
        <w:t xml:space="preserve"> Letter from Norton Rose Fulbright to the ICO dated 4 February 2023. point 25 refers to a Master Agreement</w:t>
      </w:r>
    </w:p>
  </w:footnote>
  <w:footnote w:id="1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"/>
        </w:rPr>
        <w:t>( Appendix 7.1 ) which is used as standard in contracts entered into between the Ads.meed Group and customers.</w:t>
        <w:br/>
        <w:t>The Commissioner notes that the Master Agreement refers to Advanced (or the entity from the Advanced Group</w:t>
        <w:br/>
        <w:t>as referred to in the Order Form) as the processor.</w:t>
      </w:r>
    </w:p>
  </w:footnote>
  <w:footnote w:id="1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41</w:t>
      </w:r>
      <w:r>
        <w:rPr>
          <w:rStyle w:val="CharStyle3"/>
        </w:rPr>
        <w:t xml:space="preserve"> Response to IX dated 4 February 2023. point 10.</w:t>
      </w:r>
    </w:p>
  </w:footnote>
  <w:footnote w:id="1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t>41</w:t>
      </w:r>
      <w:r>
        <w:rPr>
          <w:rStyle w:val="CharStyle3"/>
        </w:rPr>
        <w:t xml:space="preserve"> </w:t>
      </w:r>
      <w:r>
        <w:rPr>
          <w:rStyle w:val="CharStyle3"/>
          <w:color w:val="63619A"/>
        </w:rPr>
        <w:t xml:space="preserve">yulJKwbiljt)L$annin£ioels and sen ices </w:t>
      </w:r>
      <w:r>
        <w:rPr>
          <w:rStyle w:val="CharStyle3"/>
        </w:rPr>
        <w:t xml:space="preserve">• </w:t>
      </w:r>
      <w:r>
        <w:rPr>
          <w:rStyle w:val="CharStyle3"/>
          <w:color w:val="63619A"/>
        </w:rPr>
        <w:t>NCSC.OO^^^</w:t>
      </w:r>
    </w:p>
  </w:footnote>
  <w:footnote w:id="1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Letter from Norton Rose Fulbright to ICO dated 9 October 2022. point 3. Appendix I. I.</w:t>
      </w:r>
    </w:p>
  </w:footnote>
  <w:footnote w:id="1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</w:rPr>
        <w:t>* Letter from Norton Rose Fulbright to ICO dated 2 February 2024. point 14b.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"/>
          <w:rFonts w:ascii="Verdana" w:eastAsia="Verdana" w:hAnsi="Verdana" w:cs="Verdana"/>
          <w:sz w:val="17"/>
          <w:szCs w:val="17"/>
        </w:rPr>
        <w:t>22</w:t>
      </w:r>
    </w:p>
  </w:footnote>
  <w:footnote w:id="1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</w:t>
      </w:r>
      <w:r>
        <w:rPr>
          <w:rStyle w:val="CharStyle3"/>
          <w:color w:val="63619A"/>
        </w:rPr>
        <w:t>Microso</w:t>
      </w:r>
      <w:r>
        <w:rPr>
          <w:rStyle w:val="CharStyle3"/>
          <w:color w:val="63619A"/>
          <w:u w:val="single"/>
        </w:rPr>
        <w:t>ft Nctlogon Vuln</w:t>
      </w:r>
      <w:r>
        <w:rPr>
          <w:rStyle w:val="CharStyle3"/>
          <w:color w:val="63619A"/>
        </w:rPr>
        <w:t>erabilit</w:t>
      </w:r>
      <w:r>
        <w:rPr>
          <w:rStyle w:val="CharStyle3"/>
          <w:color w:val="63619A"/>
          <w:u w:val="single"/>
        </w:rPr>
        <w:t xml:space="preserve">y </w:t>
      </w:r>
      <w:r>
        <w:rPr>
          <w:rStyle w:val="CharStyle3"/>
          <w:color w:val="63619A"/>
          <w:u w:val="single"/>
          <w:lang w:val="fr-FR" w:eastAsia="fr-FR"/>
        </w:rPr>
        <w:t>(ÇVE-2O2O-I472</w:t>
      </w:r>
      <w:r>
        <w:rPr>
          <w:rStyle w:val="CharStyle3"/>
          <w:color w:val="63619A"/>
          <w:lang w:val="fr-FR" w:eastAsia="fr-FR"/>
        </w:rPr>
        <w:t xml:space="preserve"> </w:t>
      </w:r>
      <w:r>
        <w:rPr>
          <w:rStyle w:val="CharStyle3"/>
        </w:rPr>
        <w:t xml:space="preserve">• </w:t>
      </w:r>
      <w:r>
        <w:rPr>
          <w:rStyle w:val="CharStyle3"/>
          <w:color w:val="63619A"/>
        </w:rPr>
        <w:t>Zcrofoaon) .Automatically Dis</w:t>
      </w:r>
      <w:r>
        <w:rPr>
          <w:rStyle w:val="CharStyle3"/>
          <w:color w:val="63619A"/>
          <w:u w:val="single"/>
        </w:rPr>
        <w:t>cove</w:t>
      </w:r>
      <w:r>
        <w:rPr>
          <w:rStyle w:val="CharStyle3"/>
          <w:color w:val="63619A"/>
        </w:rPr>
        <w:t>r, Prio</w:t>
      </w:r>
      <w:r>
        <w:rPr>
          <w:rStyle w:val="CharStyle3"/>
          <w:color w:val="63619A"/>
          <w:u w:val="single"/>
        </w:rPr>
        <w:t>ritiz</w:t>
      </w:r>
      <w:r>
        <w:rPr>
          <w:rStyle w:val="CharStyle3"/>
          <w:color w:val="63619A"/>
        </w:rPr>
        <w:t>e and</w:t>
        <w:br/>
        <w:t xml:space="preserve">Bongfalc </w:t>
      </w:r>
      <w:r>
        <w:rPr>
          <w:rStyle w:val="CharStyle3"/>
          <w:color w:val="63619A"/>
          <w:lang w:val="fr-FR" w:eastAsia="fr-FR"/>
        </w:rPr>
        <w:t>Usinai,</w:t>
      </w:r>
      <w:r>
        <w:rPr>
          <w:rStyle w:val="CharStyle3"/>
          <w:color w:val="63619A"/>
        </w:rPr>
        <w:t xml:space="preserve">»J»XMDR* . _Qwb&gt; </w:t>
      </w:r>
      <w:r>
        <w:rPr>
          <w:rStyle w:val="CharStyle3"/>
          <w:color w:val="63619A"/>
          <w:lang w:val="fr-FR" w:eastAsia="fr-FR"/>
        </w:rPr>
        <w:t xml:space="preserve">Sçyunty </w:t>
      </w:r>
      <w:r>
        <w:rPr>
          <w:rStyle w:val="CharStyle3"/>
          <w:color w:val="63619A"/>
        </w:rPr>
        <w:t>Bio^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"/>
          <w:rFonts w:ascii="Verdana" w:eastAsia="Verdana" w:hAnsi="Verdana" w:cs="Verdana"/>
          <w:sz w:val="17"/>
          <w:szCs w:val="17"/>
        </w:rPr>
        <w:t>23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37.25pt;margin-top:101.90000000000001pt;width:97.100000000000009pt;height:7.1500000000000004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137.25pt;margin-top:101.90000000000001pt;width:97.100000000000009pt;height:7.1500000000000004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137.25pt;margin-top:108.75pt;width:97.100000000000009pt;height:7.1500000000000004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137.25pt;margin-top:108.75pt;width:97.100000000000009pt;height:7.1500000000000004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137.25pt;margin-top:101.90000000000001pt;width:97.100000000000009pt;height:7.1500000000000004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137.25pt;margin-top:101.90000000000001pt;width:97.100000000000009pt;height:7.1500000000000004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137.25pt;margin-top:108.75pt;width:97.100000000000009pt;height:7.1500000000000004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137.25pt;margin-top:108.75pt;width:97.100000000000009pt;height:7.1500000000000004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137.25pt;margin-top:101.90000000000001pt;width:97.100000000000009pt;height:7.1500000000000004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137.25pt;margin-top:101.90000000000001pt;width:97.100000000000009pt;height:7.1500000000000004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137.25pt;margin-top:108.75pt;width:97.100000000000009pt;height:7.1500000000000004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137.25pt;margin-top:108.75pt;width:97.100000000000009pt;height:7.1500000000000004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137.25pt;margin-top:101.90000000000001pt;width:97.100000000000009pt;height:7.1500000000000004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137.25pt;margin-top:101.90000000000001pt;width:97.100000000000009pt;height:7.1500000000000004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1743710</wp:posOffset>
              </wp:positionH>
              <wp:positionV relativeFrom="page">
                <wp:posOffset>1424305</wp:posOffset>
              </wp:positionV>
              <wp:extent cx="1233170" cy="90805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137.30000000000001pt;margin-top:112.15000000000001pt;width:97.100000000000009pt;height:7.1500000000000004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137.25pt;margin-top:108.75pt;width:97.100000000000009pt;height:7.1500000000000004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137.25pt;margin-top:108.75pt;width:97.100000000000009pt;height:7.1500000000000004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90" name="Shape 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6" type="#_x0000_t202" style="position:absolute;margin-left:137.25pt;margin-top:101.90000000000001pt;width:97.100000000000009pt;height:7.1500000000000004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94" name="Shape 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0" type="#_x0000_t202" style="position:absolute;margin-left:137.25pt;margin-top:101.90000000000001pt;width:97.100000000000009pt;height:7.1500000000000004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98" name="Shape 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4" type="#_x0000_t202" style="position:absolute;margin-left:137.25pt;margin-top:101.90000000000001pt;width:97.100000000000009pt;height:7.1500000000000004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102" name="Shape 1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8" type="#_x0000_t202" style="position:absolute;margin-left:137.25pt;margin-top:101.90000000000001pt;width:97.100000000000009pt;height:7.1500000000000004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1744980</wp:posOffset>
              </wp:positionH>
              <wp:positionV relativeFrom="page">
                <wp:posOffset>1453515</wp:posOffset>
              </wp:positionV>
              <wp:extent cx="1233170" cy="90805"/>
              <wp:wrapNone/>
              <wp:docPr id="106" name="Shape 1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2" type="#_x0000_t202" style="position:absolute;margin-left:137.40000000000001pt;margin-top:114.45pt;width:97.100000000000009pt;height:7.1500000000000004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110" name="Shape 1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6" type="#_x0000_t202" style="position:absolute;margin-left:137.25pt;margin-top:108.75pt;width:97.100000000000009pt;height:7.1500000000000004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112" name="Shape 1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8" type="#_x0000_t202" style="position:absolute;margin-left:137.25pt;margin-top:108.75pt;width:97.100000000000009pt;height:7.1500000000000004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1294130</wp:posOffset>
              </wp:positionV>
              <wp:extent cx="1233170" cy="90805"/>
              <wp:wrapNone/>
              <wp:docPr id="124" name="Shape 1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0" type="#_x0000_t202" style="position:absolute;margin-left:137.25pt;margin-top:101.90000000000001pt;width:97.100000000000009pt;height:7.1500000000000004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1381125</wp:posOffset>
              </wp:positionV>
              <wp:extent cx="1233170" cy="90805"/>
              <wp:wrapNone/>
              <wp:docPr id="128" name="Shape 1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33170" cy="908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3"/>
                              <w:rFonts w:ascii="Verdana" w:eastAsia="Verdana" w:hAnsi="Verdana" w:cs="Verdana"/>
                              <w:sz w:val="17"/>
                              <w:szCs w:val="17"/>
                            </w:rPr>
                            <w:t>FOR PUBLIC RELEASE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4" type="#_x0000_t202" style="position:absolute;margin-left:137.25pt;margin-top:108.75pt;width:97.100000000000009pt;height:7.1500000000000004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3"/>
                        <w:rFonts w:ascii="Verdana" w:eastAsia="Verdana" w:hAnsi="Verdana" w:cs="Verdana"/>
                        <w:sz w:val="17"/>
                        <w:szCs w:val="17"/>
                      </w:rPr>
                      <w:t>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Verdana" w:eastAsia="Verdana" w:hAnsi="Verdana" w:cs="Verdan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lowerLetter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lowerLetter"/>
      <w:lvlText w:val="(%1)"/>
      <w:rPr>
        <w:rFonts w:ascii="Verdana" w:eastAsia="Verdana" w:hAnsi="Verdana" w:cs="Verdana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11"/>
      <w:numFmt w:val="decimal"/>
      <w:lvlText w:val="%1."/>
      <w:rPr>
        <w:rFonts w:ascii="Verdana" w:eastAsia="Verdana" w:hAnsi="Verdana" w:cs="Verdan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1"/>
      <w:numFmt w:val="upperLetter"/>
      <w:lvlText w:val="%1."/>
      <w:rPr>
        <w:rFonts w:ascii="Arial" w:eastAsia="Arial" w:hAnsi="Arial" w:cs="Arial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4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18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21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18">
    <w:multiLevelType w:val="multilevel"/>
    <w:lvl w:ilvl="0">
      <w:start w:val="27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1"/>
      <w:numFmt w:val="lowerLetter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31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43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8"/>
      <w:numFmt w:val="decimal"/>
      <w:lvlText w:val="%1."/>
      <w:rPr>
        <w:rFonts w:ascii="Verdana" w:eastAsia="Verdana" w:hAnsi="Verdana" w:cs="Verdan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en-US" w:eastAsia="en-US"/>
      </w:rPr>
    </w:lvl>
  </w:abstractNum>
  <w:abstractNum w:abstractNumId="28">
    <w:multiLevelType w:val="multilevel"/>
    <w:lvl w:ilvl="0">
      <w:start w:val="1"/>
      <w:numFmt w:val="lowerLetter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30">
    <w:multiLevelType w:val="multilevel"/>
    <w:lvl w:ilvl="0">
      <w:start w:val="1"/>
      <w:numFmt w:val="lowerLetter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32">
    <w:multiLevelType w:val="multilevel"/>
    <w:lvl w:ilvl="0">
      <w:start w:val="1"/>
      <w:numFmt w:val="lowerRoman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34">
    <w:multiLevelType w:val="multilevel"/>
    <w:lvl w:ilvl="0">
      <w:start w:val="57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36">
    <w:multiLevelType w:val="multilevel"/>
    <w:lvl w:ilvl="0">
      <w:start w:val="59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abstractNum w:abstractNumId="38">
    <w:multiLevelType w:val="multilevel"/>
    <w:lvl w:ilvl="0">
      <w:start w:val="70"/>
      <w:numFmt w:val="decimal"/>
      <w:lvlText w:val="%1.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等线" w:eastAsia="等线" w:hAnsi="等线" w:cs="等线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Footnote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CharStyle11">
    <w:name w:val="Heading #1_"/>
    <w:basedOn w:val="DefaultParagraphFont"/>
    <w:link w:val="Style10"/>
    <w:rPr>
      <w:rFonts w:ascii="Arial" w:eastAsia="Arial" w:hAnsi="Arial" w:cs="Arial"/>
      <w:b/>
      <w:bCs/>
      <w:i w:val="0"/>
      <w:iCs w:val="0"/>
      <w:smallCaps w:val="0"/>
      <w:strike w:val="0"/>
      <w:color w:val="06325E"/>
      <w:sz w:val="76"/>
      <w:szCs w:val="76"/>
      <w:u w:val="none"/>
    </w:rPr>
  </w:style>
  <w:style w:type="character" w:customStyle="1" w:styleId="CharStyle13">
    <w:name w:val="Header or footer (2)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6">
    <w:name w:val="Body text (5)_"/>
    <w:basedOn w:val="DefaultParagraphFont"/>
    <w:link w:val="Style15"/>
    <w:rPr>
      <w:rFonts w:ascii="Arial" w:eastAsia="Arial" w:hAnsi="Arial" w:cs="Arial"/>
      <w:b/>
      <w:bCs/>
      <w:i w:val="0"/>
      <w:iCs w:val="0"/>
      <w:smallCaps w:val="0"/>
      <w:strike w:val="0"/>
      <w:color w:val="63619A"/>
      <w:sz w:val="10"/>
      <w:szCs w:val="10"/>
      <w:u w:val="none"/>
    </w:rPr>
  </w:style>
  <w:style w:type="character" w:customStyle="1" w:styleId="CharStyle18">
    <w:name w:val="Heading #2_"/>
    <w:basedOn w:val="DefaultParagraphFont"/>
    <w:link w:val="Style17"/>
    <w:rPr>
      <w:rFonts w:ascii="Verdana" w:eastAsia="Verdana" w:hAnsi="Verdana" w:cs="Verdana"/>
      <w:b/>
      <w:bCs/>
      <w:i w:val="0"/>
      <w:iCs w:val="0"/>
      <w:smallCaps w:val="0"/>
      <w:strike w:val="0"/>
      <w:color w:val="2E4D86"/>
      <w:sz w:val="38"/>
      <w:szCs w:val="38"/>
      <w:u w:val="none"/>
    </w:rPr>
  </w:style>
  <w:style w:type="character" w:customStyle="1" w:styleId="CharStyle20">
    <w:name w:val="Body text (3)_"/>
    <w:basedOn w:val="DefaultParagraphFont"/>
    <w:link w:val="Style19"/>
    <w:rPr>
      <w:rFonts w:ascii="Verdana" w:eastAsia="Verdana" w:hAnsi="Verdana" w:cs="Verdana"/>
      <w:b w:val="0"/>
      <w:bCs w:val="0"/>
      <w:i w:val="0"/>
      <w:iCs w:val="0"/>
      <w:smallCaps w:val="0"/>
      <w:strike w:val="0"/>
      <w:color w:val="63619A"/>
      <w:sz w:val="20"/>
      <w:szCs w:val="20"/>
      <w:u w:val="none"/>
    </w:rPr>
  </w:style>
  <w:style w:type="character" w:customStyle="1" w:styleId="CharStyle23">
    <w:name w:val="Body text_"/>
    <w:basedOn w:val="DefaultParagraphFont"/>
    <w:link w:val="Style22"/>
    <w:rPr>
      <w:rFonts w:ascii="Verdana" w:eastAsia="Verdana" w:hAnsi="Verdana" w:cs="Verdan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28">
    <w:name w:val="Heading #3_"/>
    <w:basedOn w:val="DefaultParagraphFont"/>
    <w:link w:val="Style27"/>
    <w:rPr>
      <w:rFonts w:ascii="Arial" w:eastAsia="Arial" w:hAnsi="Arial" w:cs="Arial"/>
      <w:b w:val="0"/>
      <w:bCs w:val="0"/>
      <w:i/>
      <w:iCs/>
      <w:smallCaps w:val="0"/>
      <w:strike w:val="0"/>
      <w:sz w:val="20"/>
      <w:szCs w:val="20"/>
      <w:u w:val="single"/>
    </w:rPr>
  </w:style>
  <w:style w:type="character" w:customStyle="1" w:styleId="CharStyle31">
    <w:name w:val="Picture caption_"/>
    <w:basedOn w:val="DefaultParagraphFont"/>
    <w:link w:val="Style30"/>
    <w:rPr>
      <w:rFonts w:ascii="Verdana" w:eastAsia="Verdana" w:hAnsi="Verdana" w:cs="Verdan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34">
    <w:name w:val="Body text (2)_"/>
    <w:basedOn w:val="DefaultParagraphFont"/>
    <w:link w:val="Style33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CharStyle47">
    <w:name w:val="Body text (4)_"/>
    <w:basedOn w:val="DefaultParagraphFont"/>
    <w:link w:val="Style46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Footnote"/>
    <w:basedOn w:val="Normal"/>
    <w:link w:val="CharStyle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paragraph" w:customStyle="1" w:styleId="Style10">
    <w:name w:val="Heading #1"/>
    <w:basedOn w:val="Normal"/>
    <w:link w:val="CharStyle11"/>
    <w:pPr>
      <w:widowControl w:val="0"/>
      <w:shd w:val="clear" w:color="auto" w:fill="auto"/>
      <w:jc w:val="right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color w:val="06325E"/>
      <w:sz w:val="76"/>
      <w:szCs w:val="76"/>
      <w:u w:val="none"/>
    </w:rPr>
  </w:style>
  <w:style w:type="paragraph" w:customStyle="1" w:styleId="Style12">
    <w:name w:val="Header or footer (2)"/>
    <w:basedOn w:val="Normal"/>
    <w:link w:val="CharStyle1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5">
    <w:name w:val="Body text (5)"/>
    <w:basedOn w:val="Normal"/>
    <w:link w:val="CharStyle16"/>
    <w:pPr>
      <w:widowControl w:val="0"/>
      <w:shd w:val="clear" w:color="auto" w:fill="auto"/>
      <w:spacing w:after="3440"/>
      <w:ind w:left="5060"/>
    </w:pPr>
    <w:rPr>
      <w:rFonts w:ascii="Arial" w:eastAsia="Arial" w:hAnsi="Arial" w:cs="Arial"/>
      <w:b/>
      <w:bCs/>
      <w:i w:val="0"/>
      <w:iCs w:val="0"/>
      <w:smallCaps w:val="0"/>
      <w:strike w:val="0"/>
      <w:color w:val="63619A"/>
      <w:sz w:val="10"/>
      <w:szCs w:val="10"/>
      <w:u w:val="none"/>
    </w:rPr>
  </w:style>
  <w:style w:type="paragraph" w:customStyle="1" w:styleId="Style17">
    <w:name w:val="Heading #2"/>
    <w:basedOn w:val="Normal"/>
    <w:link w:val="CharStyle18"/>
    <w:pPr>
      <w:widowControl w:val="0"/>
      <w:shd w:val="clear" w:color="auto" w:fill="auto"/>
      <w:spacing w:after="480"/>
      <w:jc w:val="center"/>
      <w:outlineLvl w:val="1"/>
    </w:pPr>
    <w:rPr>
      <w:rFonts w:ascii="Verdana" w:eastAsia="Verdana" w:hAnsi="Verdana" w:cs="Verdana"/>
      <w:b/>
      <w:bCs/>
      <w:i w:val="0"/>
      <w:iCs w:val="0"/>
      <w:smallCaps w:val="0"/>
      <w:strike w:val="0"/>
      <w:color w:val="2E4D86"/>
      <w:sz w:val="38"/>
      <w:szCs w:val="38"/>
      <w:u w:val="none"/>
    </w:rPr>
  </w:style>
  <w:style w:type="paragraph" w:customStyle="1" w:styleId="Style19">
    <w:name w:val="Body text (3)"/>
    <w:basedOn w:val="Normal"/>
    <w:link w:val="CharStyle20"/>
    <w:pPr>
      <w:widowControl w:val="0"/>
      <w:shd w:val="clear" w:color="auto" w:fill="auto"/>
      <w:spacing w:after="140"/>
      <w:ind w:right="820"/>
      <w:jc w:val="right"/>
    </w:pPr>
    <w:rPr>
      <w:rFonts w:ascii="Verdana" w:eastAsia="Verdana" w:hAnsi="Verdana" w:cs="Verdana"/>
      <w:b w:val="0"/>
      <w:bCs w:val="0"/>
      <w:i w:val="0"/>
      <w:iCs w:val="0"/>
      <w:smallCaps w:val="0"/>
      <w:strike w:val="0"/>
      <w:color w:val="63619A"/>
      <w:sz w:val="20"/>
      <w:szCs w:val="20"/>
      <w:u w:val="none"/>
    </w:rPr>
  </w:style>
  <w:style w:type="paragraph" w:styleId="Style22">
    <w:name w:val="Body text"/>
    <w:basedOn w:val="Normal"/>
    <w:link w:val="CharStyle23"/>
    <w:qFormat/>
    <w:pPr>
      <w:widowControl w:val="0"/>
      <w:shd w:val="clear" w:color="auto" w:fill="auto"/>
      <w:spacing w:after="320" w:line="382" w:lineRule="auto"/>
    </w:pPr>
    <w:rPr>
      <w:rFonts w:ascii="Verdana" w:eastAsia="Verdana" w:hAnsi="Verdana" w:cs="Verdan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27">
    <w:name w:val="Heading #3"/>
    <w:basedOn w:val="Normal"/>
    <w:link w:val="CharStyle28"/>
    <w:pPr>
      <w:widowControl w:val="0"/>
      <w:shd w:val="clear" w:color="auto" w:fill="auto"/>
      <w:spacing w:after="150" w:line="310" w:lineRule="auto"/>
      <w:ind w:firstLine="410"/>
      <w:outlineLvl w:val="2"/>
    </w:pPr>
    <w:rPr>
      <w:rFonts w:ascii="Arial" w:eastAsia="Arial" w:hAnsi="Arial" w:cs="Arial"/>
      <w:b w:val="0"/>
      <w:bCs w:val="0"/>
      <w:i/>
      <w:iCs/>
      <w:smallCaps w:val="0"/>
      <w:strike w:val="0"/>
      <w:sz w:val="20"/>
      <w:szCs w:val="20"/>
      <w:u w:val="single"/>
    </w:rPr>
  </w:style>
  <w:style w:type="paragraph" w:customStyle="1" w:styleId="Style30">
    <w:name w:val="Picture caption"/>
    <w:basedOn w:val="Normal"/>
    <w:link w:val="CharStyle31"/>
    <w:pPr>
      <w:widowControl w:val="0"/>
      <w:shd w:val="clear" w:color="auto" w:fill="auto"/>
      <w:spacing w:line="374" w:lineRule="auto"/>
    </w:pPr>
    <w:rPr>
      <w:rFonts w:ascii="Verdana" w:eastAsia="Verdana" w:hAnsi="Verdana" w:cs="Verdan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33">
    <w:name w:val="Body text (2)"/>
    <w:basedOn w:val="Normal"/>
    <w:link w:val="CharStyle34"/>
    <w:pPr>
      <w:widowControl w:val="0"/>
      <w:shd w:val="clear" w:color="auto" w:fill="auto"/>
      <w:spacing w:line="266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paragraph" w:customStyle="1" w:styleId="Style46">
    <w:name w:val="Body text (4)"/>
    <w:basedOn w:val="Normal"/>
    <w:link w:val="CharStyle47"/>
    <w:pPr>
      <w:widowControl w:val="0"/>
      <w:shd w:val="clear" w:color="auto" w:fill="auto"/>
      <w:spacing w:after="100"/>
    </w:pPr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image" Target="media/image1.png"/><Relationship Id="rId18" Type="http://schemas.openxmlformats.org/officeDocument/2006/relationships/image" Target="media/image1.png" TargetMode="External"/><Relationship Id="rId19" Type="http://schemas.openxmlformats.org/officeDocument/2006/relationships/image" Target="media/image2.jpeg"/><Relationship Id="rId20" Type="http://schemas.openxmlformats.org/officeDocument/2006/relationships/image" Target="media/image2.jpeg" TargetMode="Externa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image" Target="media/image3.png"/><Relationship Id="rId30" Type="http://schemas.openxmlformats.org/officeDocument/2006/relationships/image" Target="media/image3.png" TargetMode="External"/><Relationship Id="rId31" Type="http://schemas.openxmlformats.org/officeDocument/2006/relationships/image" Target="media/image4.jpeg"/><Relationship Id="rId32" Type="http://schemas.openxmlformats.org/officeDocument/2006/relationships/image" Target="media/image4.jpeg" TargetMode="External"/><Relationship Id="rId33" Type="http://schemas.openxmlformats.org/officeDocument/2006/relationships/image" Target="media/image5.jpeg"/><Relationship Id="rId34" Type="http://schemas.openxmlformats.org/officeDocument/2006/relationships/image" Target="media/image5.jpeg" TargetMode="External"/><Relationship Id="rId35" Type="http://schemas.openxmlformats.org/officeDocument/2006/relationships/image" Target="media/image6.jpeg"/><Relationship Id="rId36" Type="http://schemas.openxmlformats.org/officeDocument/2006/relationships/image" Target="media/image6.jpeg" TargetMode="External"/><Relationship Id="rId37" Type="http://schemas.openxmlformats.org/officeDocument/2006/relationships/header" Target="header11.xml"/><Relationship Id="rId38" Type="http://schemas.openxmlformats.org/officeDocument/2006/relationships/footer" Target="footer11.xml"/><Relationship Id="rId39" Type="http://schemas.openxmlformats.org/officeDocument/2006/relationships/header" Target="header12.xml"/><Relationship Id="rId40" Type="http://schemas.openxmlformats.org/officeDocument/2006/relationships/footer" Target="footer12.xml"/><Relationship Id="rId41" Type="http://schemas.openxmlformats.org/officeDocument/2006/relationships/header" Target="header13.xml"/><Relationship Id="rId42" Type="http://schemas.openxmlformats.org/officeDocument/2006/relationships/footer" Target="footer13.xml"/><Relationship Id="rId43" Type="http://schemas.openxmlformats.org/officeDocument/2006/relationships/header" Target="header14.xml"/><Relationship Id="rId44" Type="http://schemas.openxmlformats.org/officeDocument/2006/relationships/footer" Target="footer14.xml"/><Relationship Id="rId45" Type="http://schemas.openxmlformats.org/officeDocument/2006/relationships/header" Target="header15.xml"/><Relationship Id="rId46" Type="http://schemas.openxmlformats.org/officeDocument/2006/relationships/footer" Target="footer15.xml"/><Relationship Id="rId47" Type="http://schemas.openxmlformats.org/officeDocument/2006/relationships/image" Target="media/image7.png"/><Relationship Id="rId48" Type="http://schemas.openxmlformats.org/officeDocument/2006/relationships/image" Target="media/image7.png" TargetMode="External"/><Relationship Id="rId49" Type="http://schemas.openxmlformats.org/officeDocument/2006/relationships/image" Target="media/image8.png"/><Relationship Id="rId50" Type="http://schemas.openxmlformats.org/officeDocument/2006/relationships/image" Target="media/image8.png" TargetMode="External"/><Relationship Id="rId51" Type="http://schemas.openxmlformats.org/officeDocument/2006/relationships/header" Target="header16.xml"/><Relationship Id="rId52" Type="http://schemas.openxmlformats.org/officeDocument/2006/relationships/footer" Target="footer16.xml"/><Relationship Id="rId53" Type="http://schemas.openxmlformats.org/officeDocument/2006/relationships/header" Target="header17.xml"/><Relationship Id="rId54" Type="http://schemas.openxmlformats.org/officeDocument/2006/relationships/footer" Target="footer17.xml"/><Relationship Id="rId55" Type="http://schemas.openxmlformats.org/officeDocument/2006/relationships/image" Target="media/image9.jpeg"/><Relationship Id="rId56" Type="http://schemas.openxmlformats.org/officeDocument/2006/relationships/image" Target="media/image9.jpeg" TargetMode="External"/><Relationship Id="rId57" Type="http://schemas.openxmlformats.org/officeDocument/2006/relationships/image" Target="media/image10.jpeg"/><Relationship Id="rId58" Type="http://schemas.openxmlformats.org/officeDocument/2006/relationships/image" Target="media/image10.jpeg" TargetMode="External"/><Relationship Id="rId59" Type="http://schemas.openxmlformats.org/officeDocument/2006/relationships/header" Target="header18.xml"/><Relationship Id="rId60" Type="http://schemas.openxmlformats.org/officeDocument/2006/relationships/footer" Target="footer18.xml"/><Relationship Id="rId61" Type="http://schemas.openxmlformats.org/officeDocument/2006/relationships/header" Target="header19.xml"/><Relationship Id="rId62" Type="http://schemas.openxmlformats.org/officeDocument/2006/relationships/footer" Target="footer19.xml"/><Relationship Id="rId63" Type="http://schemas.openxmlformats.org/officeDocument/2006/relationships/header" Target="header20.xml"/><Relationship Id="rId64" Type="http://schemas.openxmlformats.org/officeDocument/2006/relationships/footer" Target="footer20.xml"/><Relationship Id="rId65" Type="http://schemas.openxmlformats.org/officeDocument/2006/relationships/header" Target="header21.xml"/><Relationship Id="rId66" Type="http://schemas.openxmlformats.org/officeDocument/2006/relationships/footer" Target="footer21.xml"/><Relationship Id="rId67" Type="http://schemas.openxmlformats.org/officeDocument/2006/relationships/header" Target="header22.xml"/><Relationship Id="rId68" Type="http://schemas.openxmlformats.org/officeDocument/2006/relationships/footer" Target="footer22.xml"/><Relationship Id="rId69" Type="http://schemas.openxmlformats.org/officeDocument/2006/relationships/header" Target="header23.xml"/><Relationship Id="rId70" Type="http://schemas.openxmlformats.org/officeDocument/2006/relationships/footer" Target="footer23.xml"/><Relationship Id="rId71" Type="http://schemas.openxmlformats.org/officeDocument/2006/relationships/header" Target="header24.xml"/><Relationship Id="rId72" Type="http://schemas.openxmlformats.org/officeDocument/2006/relationships/footer" Target="footer24.xml"/><Relationship Id="rId73" Type="http://schemas.openxmlformats.org/officeDocument/2006/relationships/image" Target="media/image11.png"/><Relationship Id="rId74" Type="http://schemas.openxmlformats.org/officeDocument/2006/relationships/image" Target="media/image11.png" TargetMode="External"/><Relationship Id="rId75" Type="http://schemas.openxmlformats.org/officeDocument/2006/relationships/image" Target="media/image12.png"/><Relationship Id="rId76" Type="http://schemas.openxmlformats.org/officeDocument/2006/relationships/image" Target="media/image12.png" TargetMode="External"/><Relationship Id="rId77" Type="http://schemas.openxmlformats.org/officeDocument/2006/relationships/image" Target="media/image13.jpeg"/><Relationship Id="rId78" Type="http://schemas.openxmlformats.org/officeDocument/2006/relationships/image" Target="media/image13.jpeg" TargetMode="External"/><Relationship Id="rId79" Type="http://schemas.openxmlformats.org/officeDocument/2006/relationships/header" Target="header25.xml"/><Relationship Id="rId80" Type="http://schemas.openxmlformats.org/officeDocument/2006/relationships/footer" Target="footer25.xml"/><Relationship Id="rId81" Type="http://schemas.openxmlformats.org/officeDocument/2006/relationships/header" Target="header26.xml"/><Relationship Id="rId82" Type="http://schemas.openxmlformats.org/officeDocument/2006/relationships/footer" Target="footer26.xml"/></Relationships>
</file>