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5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center"/>
      </w:pPr>
      <w:bookmarkStart w:id="0" w:name="bookmark0"/>
      <w:r>
        <w:rPr>
          <w:rStyle w:val="CharStyle6"/>
        </w:rPr>
        <w:t>information</w:t>
        <w:br/>
        <w:t>c</w:t>
      </w:r>
      <w:r>
        <w:rPr>
          <w:rStyle w:val="CharStyle6"/>
          <w:u w:val="single"/>
        </w:rPr>
        <w:t>ommissio</w:t>
      </w:r>
      <w:r>
        <w:rPr>
          <w:rStyle w:val="CharStyle6"/>
        </w:rPr>
        <w:t>ner</w:t>
      </w:r>
      <w:bookmarkEnd w:id="0"/>
    </w:p>
    <w:p>
      <w:pPr>
        <w:pStyle w:val="Style8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" w:name="bookmark2"/>
      <w:r>
        <w:rPr>
          <w:rStyle w:val="CharStyle9"/>
          <w:i/>
          <w:iCs/>
        </w:rPr>
        <w:t>Barrantagh Fysseree</w:t>
      </w:r>
      <w:bookmarkEnd w:id="2"/>
    </w:p>
    <w:tbl>
      <w:tblPr>
        <w:tblOverlap w:val="never"/>
        <w:jc w:val="right"/>
        <w:tblLayout w:type="fixed"/>
      </w:tblPr>
      <w:tblGrid>
        <w:gridCol w:w="1253"/>
        <w:gridCol w:w="6181"/>
      </w:tblGrid>
      <w:tr>
        <w:trPr>
          <w:trHeight w:val="439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11"/>
                <w:b/>
                <w:bCs/>
              </w:rPr>
              <w:t>PENALTY NOTICE</w:t>
            </w:r>
          </w:p>
        </w:tc>
      </w:tr>
      <w:tr>
        <w:trPr>
          <w:trHeight w:val="2009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0"/>
              <w:jc w:val="left"/>
            </w:pPr>
            <w:r>
              <w:rPr>
                <w:rStyle w:val="CharStyle11"/>
              </w:rPr>
              <w:t>Given to: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180"/>
              <w:jc w:val="both"/>
            </w:pPr>
            <w:r>
              <w:rPr>
                <w:rStyle w:val="CharStyle11"/>
                <w:b/>
                <w:bCs/>
              </w:rPr>
              <w:t>Cosmetic Medical Limited</w:t>
            </w:r>
          </w:p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180"/>
              <w:jc w:val="left"/>
            </w:pPr>
            <w:r>
              <w:rPr>
                <w:rStyle w:val="CharStyle11"/>
              </w:rPr>
              <w:t>34 Victoria Street</w:t>
            </w:r>
          </w:p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180"/>
              <w:jc w:val="left"/>
            </w:pPr>
            <w:r>
              <w:rPr>
                <w:rStyle w:val="CharStyle11"/>
              </w:rPr>
              <w:t>DOUGLAS</w:t>
            </w:r>
          </w:p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180"/>
              <w:jc w:val="left"/>
            </w:pPr>
            <w:r>
              <w:rPr>
                <w:rStyle w:val="CharStyle11"/>
              </w:rPr>
              <w:t>Isle of Man</w:t>
            </w:r>
          </w:p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180"/>
              <w:jc w:val="left"/>
            </w:pPr>
            <w:r>
              <w:rPr>
                <w:rStyle w:val="CharStyle11"/>
              </w:rPr>
              <w:t>IM1 2LD</w:t>
            </w:r>
          </w:p>
        </w:tc>
      </w:tr>
      <w:tr>
        <w:trPr>
          <w:trHeight w:val="450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1"/>
              </w:rPr>
              <w:t>Issue Date: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10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11"/>
                <w:b/>
                <w:bCs/>
              </w:rPr>
              <w:t>11 December 2020</w:t>
            </w:r>
          </w:p>
        </w:tc>
      </w:tr>
    </w:tbl>
    <w:p>
      <w:pPr>
        <w:widowControl w:val="0"/>
        <w:spacing w:after="579" w:line="1" w:lineRule="exact"/>
      </w:pP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75" w:val="left"/>
        </w:tabs>
        <w:bidi w:val="0"/>
        <w:spacing w:before="0"/>
        <w:ind w:left="1480" w:right="0" w:hanging="700"/>
        <w:jc w:val="left"/>
      </w:pPr>
      <w:r>
        <w:rPr>
          <w:rStyle w:val="CharStyle14"/>
        </w:rPr>
        <w:t>This penalty notice is given pursuant to Regulation 112(1) of, and Paragraph 2 of</w:t>
        <w:br/>
        <w:t>Schedule 5 to, the GDPR and LED Implementing Regulations 2018.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55" w:val="left"/>
        </w:tabs>
        <w:bidi w:val="0"/>
        <w:spacing w:before="0" w:after="0"/>
        <w:ind w:left="0" w:right="0" w:firstLine="760"/>
        <w:jc w:val="left"/>
      </w:pPr>
      <w:r>
        <w:rPr>
          <w:rStyle w:val="CharStyle14"/>
        </w:rPr>
        <w:t>In this penalty notice:</w:t>
      </w:r>
    </w:p>
    <w:p>
      <w:pPr>
        <w:pStyle w:val="Style13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52" w:val="left"/>
        </w:tabs>
        <w:bidi w:val="0"/>
        <w:spacing w:before="0" w:after="0"/>
        <w:ind w:left="1480" w:right="0" w:firstLine="0"/>
        <w:jc w:val="left"/>
      </w:pPr>
      <w:r>
        <w:rPr>
          <w:rStyle w:val="CharStyle14"/>
        </w:rPr>
        <w:t>"Article" means an article of the Applied GDPR</w:t>
      </w:r>
    </w:p>
    <w:p>
      <w:pPr>
        <w:pStyle w:val="Style13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52" w:val="left"/>
        </w:tabs>
        <w:bidi w:val="0"/>
        <w:spacing w:before="0" w:after="0"/>
        <w:ind w:left="1840" w:right="0" w:hanging="340"/>
        <w:jc w:val="left"/>
      </w:pPr>
      <w:r>
        <w:rPr>
          <w:rStyle w:val="CharStyle14"/>
        </w:rPr>
        <w:t>"Applied GDPR" means the Annex to the Data Protection (Application of</w:t>
        <w:br/>
        <w:t>GDPR) Order 2018</w:t>
      </w:r>
    </w:p>
    <w:p>
      <w:pPr>
        <w:pStyle w:val="Style13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52" w:val="left"/>
        </w:tabs>
        <w:bidi w:val="0"/>
        <w:spacing w:before="0" w:after="0"/>
        <w:ind w:left="1840" w:right="0" w:hanging="340"/>
        <w:jc w:val="left"/>
      </w:pPr>
      <w:r>
        <w:rPr>
          <w:rStyle w:val="CharStyle14"/>
        </w:rPr>
        <w:t>"Implementing Regulations" means the GDPR and LED Implementing</w:t>
        <w:br/>
        <w:t>Regulations 2018</w:t>
      </w:r>
    </w:p>
    <w:p>
      <w:pPr>
        <w:pStyle w:val="Style13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52" w:val="left"/>
        </w:tabs>
        <w:bidi w:val="0"/>
        <w:spacing w:before="0" w:after="0"/>
        <w:ind w:left="1840" w:right="0" w:hanging="340"/>
        <w:jc w:val="left"/>
      </w:pPr>
      <w:r>
        <w:rPr>
          <w:rStyle w:val="CharStyle14"/>
        </w:rPr>
        <w:t>"Regulation" means a regulation of the Implementing Regulations</w:t>
      </w:r>
    </w:p>
    <w:p>
      <w:pPr>
        <w:pStyle w:val="Style13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852" w:val="left"/>
        </w:tabs>
        <w:bidi w:val="0"/>
        <w:spacing w:before="0"/>
        <w:ind w:left="1840" w:right="0" w:hanging="340"/>
        <w:jc w:val="left"/>
      </w:pPr>
      <w:r>
        <w:rPr>
          <w:rStyle w:val="CharStyle14"/>
        </w:rPr>
        <w:t>"Notice of Intent" means the 'notice of intent to give the penalty notice' given</w:t>
        <w:br/>
        <w:t>in accordance with Regulation 112(4) and Schedule 5 to the Implementing</w:t>
        <w:br/>
        <w:t>Regulations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75" w:val="left"/>
        </w:tabs>
        <w:bidi w:val="0"/>
        <w:spacing w:before="0"/>
        <w:ind w:left="1480" w:right="0" w:hanging="700"/>
        <w:jc w:val="left"/>
      </w:pPr>
      <w:r>
        <w:rPr>
          <w:rStyle w:val="CharStyle14"/>
        </w:rPr>
        <w:t xml:space="preserve">The Information Commissioner </w:t>
      </w:r>
      <w:r>
        <w:rPr>
          <w:rStyle w:val="CharStyle14"/>
          <w:b/>
          <w:bCs/>
          <w:i/>
          <w:iCs/>
        </w:rPr>
        <w:t>("the Commissioner")</w:t>
      </w:r>
      <w:r>
        <w:rPr>
          <w:rStyle w:val="CharStyle14"/>
        </w:rPr>
        <w:t xml:space="preserve"> has decided to give</w:t>
        <w:br/>
        <w:t xml:space="preserve">Cosmetic Medical Limited </w:t>
      </w:r>
      <w:r>
        <w:rPr>
          <w:rStyle w:val="CharStyle14"/>
          <w:b/>
          <w:bCs/>
          <w:i/>
          <w:iCs/>
        </w:rPr>
        <w:t>("CML") a</w:t>
      </w:r>
      <w:r>
        <w:rPr>
          <w:rStyle w:val="CharStyle14"/>
        </w:rPr>
        <w:t xml:space="preserve"> penalty notice under Regulation 112 and</w:t>
        <w:br/>
        <w:t>Schedule 5 to the Implementing Regulations.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75" w:val="left"/>
        </w:tabs>
        <w:bidi w:val="0"/>
        <w:spacing w:before="0"/>
        <w:ind w:left="1480" w:right="0" w:hanging="700"/>
        <w:jc w:val="left"/>
      </w:pPr>
      <w:r>
        <w:rPr>
          <w:rStyle w:val="CharStyle14"/>
        </w:rPr>
        <w:t>Cosmetic Medical Limited is the 'controller' as defined in Article 4(7).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75" w:val="left"/>
        </w:tabs>
        <w:bidi w:val="0"/>
        <w:spacing w:before="0"/>
        <w:ind w:left="1480" w:right="0" w:hanging="700"/>
        <w:jc w:val="left"/>
      </w:pPr>
      <w:r>
        <w:rPr>
          <w:rStyle w:val="CharStyle14"/>
        </w:rPr>
        <w:t xml:space="preserve">This penalty notice </w:t>
      </w:r>
      <w:r>
        <w:rPr>
          <w:rStyle w:val="CharStyle14"/>
          <w:b/>
          <w:bCs/>
          <w:i/>
          <w:iCs/>
        </w:rPr>
        <w:t>("Notice")</w:t>
      </w:r>
      <w:r>
        <w:rPr>
          <w:rStyle w:val="CharStyle14"/>
        </w:rPr>
        <w:t xml:space="preserve"> imposes an administrative fine on CML, in</w:t>
        <w:br/>
        <w:t>accordance with the Commissioner's powers under Article 83 of the Applied</w:t>
        <w:br/>
        <w:t>GDPR.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475" w:val="left"/>
        </w:tabs>
        <w:bidi w:val="0"/>
        <w:spacing w:before="0" w:after="0" w:line="271" w:lineRule="auto"/>
        <w:ind w:left="1480" w:right="0" w:hanging="700"/>
        <w:jc w:val="left"/>
      </w:pPr>
      <w:r>
        <w:rPr>
          <w:rStyle w:val="CharStyle14"/>
        </w:rPr>
        <w:t xml:space="preserve">The amount of the penalty is </w:t>
      </w:r>
      <w:r>
        <w:rPr>
          <w:rStyle w:val="CharStyle14"/>
          <w:b/>
          <w:bCs/>
        </w:rPr>
        <w:t xml:space="preserve">£3,250.00 </w:t>
      </w:r>
      <w:r>
        <w:rPr>
          <w:rStyle w:val="CharStyle14"/>
        </w:rPr>
        <w:t>(Three Thousand, Two Hundred and Fifty</w:t>
        <w:br/>
        <w:t>Pounds).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2240" w:h="18720"/>
          <w:pgMar w:top="1686" w:right="988" w:bottom="940" w:left="1193" w:header="1258" w:footer="512" w:gutter="0"/>
          <w:pgNumType w:start="1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584200" distB="8890" distL="0" distR="0" simplePos="0" relativeHeight="125829378" behindDoc="0" locked="0" layoutInCell="1" allowOverlap="1">
                <wp:simplePos x="0" y="0"/>
                <wp:positionH relativeFrom="page">
                  <wp:posOffset>1011555</wp:posOffset>
                </wp:positionH>
                <wp:positionV relativeFrom="paragraph">
                  <wp:posOffset>584200</wp:posOffset>
                </wp:positionV>
                <wp:extent cx="1172845" cy="139700"/>
                <wp:wrapTopAndBottom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72845" cy="1397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"/>
                              </w:rPr>
                              <w:t>Cosmetic Medical Limited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79.650000000000006pt;margin-top:46.pt;width:92.350000000000009pt;height:11.pt;z-index:-125829375;mso-wrap-distance-left:0;mso-wrap-distance-top:46.pt;mso-wrap-distance-right:0;mso-wrap-distance-bottom:0.70000000000000007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</w:rPr>
                        <w:t>Cosmetic Medical Limited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584200" distB="0" distL="0" distR="0" simplePos="0" relativeHeight="125829380" behindDoc="0" locked="0" layoutInCell="1" allowOverlap="1">
                <wp:simplePos x="0" y="0"/>
                <wp:positionH relativeFrom="page">
                  <wp:posOffset>3617595</wp:posOffset>
                </wp:positionH>
                <wp:positionV relativeFrom="paragraph">
                  <wp:posOffset>584200</wp:posOffset>
                </wp:positionV>
                <wp:extent cx="3138805" cy="148590"/>
                <wp:wrapTopAndBottom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138805" cy="1485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4086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3"/>
                              </w:rPr>
                              <w:t>PN2020/02</w:t>
                              <w:tab/>
                              <w:t xml:space="preserve">Page </w:t>
                            </w:r>
                            <w:r>
                              <w:rPr>
                                <w:rStyle w:val="CharStyle3"/>
                                <w:b/>
                                <w:bCs/>
                              </w:rPr>
                              <w:t xml:space="preserve">1 </w:t>
                            </w:r>
                            <w:r>
                              <w:rPr>
                                <w:rStyle w:val="CharStyle3"/>
                              </w:rPr>
                              <w:t xml:space="preserve">of </w:t>
                            </w:r>
                            <w:r>
                              <w:rPr>
                                <w:rStyle w:val="CharStyle3"/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margin-left:284.85000000000002pt;margin-top:46.pt;width:247.15000000000001pt;height:11.700000000000001pt;z-index:-125829373;mso-wrap-distance-left:0;mso-wrap-distance-top:46.pt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4086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3"/>
                        </w:rPr>
                        <w:t>PN2020/02</w:t>
                        <w:tab/>
                        <w:t xml:space="preserve">Page </w:t>
                      </w:r>
                      <w:r>
                        <w:rPr>
                          <w:rStyle w:val="CharStyle3"/>
                          <w:b/>
                          <w:bCs/>
                        </w:rPr>
                        <w:t xml:space="preserve">1 </w:t>
                      </w:r>
                      <w:r>
                        <w:rPr>
                          <w:rStyle w:val="CharStyle3"/>
                        </w:rPr>
                        <w:t xml:space="preserve">of </w:t>
                      </w:r>
                      <w:r>
                        <w:rPr>
                          <w:rStyle w:val="CharStyle3"/>
                          <w:b/>
                          <w:bCs/>
                        </w:rPr>
                        <w:t>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33" w:lineRule="exact"/>
        <w:rPr>
          <w:sz w:val="3"/>
          <w:szCs w:val="3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2240" w:h="18720"/>
          <w:pgMar w:top="1686" w:right="0" w:bottom="940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2240" w:h="18720"/>
          <w:pgMar w:top="1686" w:right="988" w:bottom="940" w:left="1193" w:header="0" w:footer="3" w:gutter="0"/>
          <w:cols w:space="720"/>
          <w:noEndnote/>
          <w:rtlGutter w:val="0"/>
          <w:docGrid w:linePitch="360"/>
        </w:sectPr>
      </w:pPr>
      <w:r>
        <w:rPr>
          <w:rStyle w:val="CharStyle18"/>
        </w:rPr>
        <w:t xml:space="preserve">PO Box 69, Douglas, Isle of Man, IM99 1EQ T:+44 1624 693260 W: inforights.im E: </w:t>
      </w:r>
      <w:r>
        <w:fldChar w:fldCharType="begin"/>
      </w:r>
      <w:r>
        <w:rPr/>
        <w:instrText> HYPERLINK "mailto:ask@inforights.im" </w:instrText>
      </w:r>
      <w:r>
        <w:fldChar w:fldCharType="separate"/>
      </w:r>
      <w:r>
        <w:rPr>
          <w:rStyle w:val="CharStyle18"/>
        </w:rPr>
        <w:t>ask@inforights.im</w:t>
      </w:r>
      <w:r>
        <w:fldChar w:fldCharType="end"/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 w:after="200"/>
        <w:ind w:left="1540" w:right="0" w:hanging="680"/>
        <w:jc w:val="left"/>
      </w:pPr>
      <w:r>
        <w:rPr>
          <w:rStyle w:val="CharStyle14"/>
        </w:rPr>
        <w:t>This Notice explains the Commissioner's reasons for imposing the penalty and the</w:t>
        <w:br/>
        <w:t>amount of the penalty, including any aggravating or mitigating factors taken into</w:t>
        <w:br/>
        <w:t>account.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520"/>
        <w:jc w:val="left"/>
      </w:pPr>
      <w:bookmarkStart w:id="4" w:name="bookmark4"/>
      <w:r>
        <w:rPr>
          <w:rStyle w:val="CharStyle24"/>
          <w:b/>
          <w:bCs/>
        </w:rPr>
        <w:t>Reasons for imposing the penalty</w:t>
      </w:r>
      <w:bookmarkEnd w:id="4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40" w:right="0" w:hanging="680"/>
        <w:jc w:val="left"/>
      </w:pPr>
      <w:r>
        <w:rPr>
          <w:rStyle w:val="CharStyle14"/>
        </w:rPr>
        <w:t>The Commissioner received a complaint from a data subject regarding CML's</w:t>
        <w:br/>
        <w:t>compliance with their request exercising the right of access to personal data</w:t>
        <w:br/>
      </w:r>
      <w:r>
        <w:rPr>
          <w:rStyle w:val="CharStyle14"/>
          <w:b/>
          <w:bCs/>
          <w:i/>
          <w:iCs/>
        </w:rPr>
        <w:t>("SAR").</w:t>
      </w:r>
      <w:r>
        <w:rPr>
          <w:rStyle w:val="CharStyle14"/>
        </w:rPr>
        <w:t xml:space="preserve"> The data subject, at CML's suggestion, submitted a SAR to CML on 7 July</w:t>
        <w:br/>
        <w:t>2020. However, CML failed to comply with the SAR in accordance with the</w:t>
        <w:br/>
        <w:t>requirements of Articles 12 and 15.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 w:line="271" w:lineRule="auto"/>
        <w:ind w:left="1540" w:right="0" w:hanging="680"/>
        <w:jc w:val="left"/>
      </w:pPr>
      <w:r>
        <w:rPr>
          <w:rStyle w:val="CharStyle14"/>
        </w:rPr>
        <w:t>The penalty and Notice do not relate to non-compliance with the SAR but to</w:t>
        <w:br/>
        <w:t>CML's engagement with the Commissioner in investigating the complaint.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0" w:right="0" w:firstLine="840"/>
        <w:jc w:val="left"/>
      </w:pPr>
      <w:r>
        <w:rPr>
          <w:rStyle w:val="CharStyle14"/>
        </w:rPr>
        <w:t>The Commissioner has the task, pursuant to Article 57(1 )(f), to:-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40" w:right="0" w:firstLine="40"/>
        <w:jc w:val="left"/>
      </w:pPr>
      <w:r>
        <w:rPr>
          <w:rStyle w:val="CharStyle14"/>
          <w:i/>
          <w:iCs/>
        </w:rPr>
        <w:t>"handle complaints lodged by a data subject... and investigate, to the extent</w:t>
        <w:br/>
        <w:t>appropriate, the subject matter of the complaint and inform the complainant of the</w:t>
        <w:br/>
        <w:t>progress and the outcome of the investigation within a reasonable period, in</w:t>
        <w:br/>
        <w:t>particular if further investigation or coordination with another supervisory authority</w:t>
        <w:br/>
        <w:t>is necessary".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40" w:right="0" w:hanging="680"/>
        <w:jc w:val="left"/>
      </w:pPr>
      <w:r>
        <w:rPr>
          <w:rStyle w:val="CharStyle14"/>
        </w:rPr>
        <w:t xml:space="preserve">Article 58(1 )(a) gives the Commissioner the investigative power </w:t>
      </w:r>
      <w:r>
        <w:rPr>
          <w:rStyle w:val="CharStyle14"/>
          <w:i/>
          <w:iCs/>
        </w:rPr>
        <w:t>"to order the</w:t>
        <w:br/>
        <w:t>controller... to provide any information it requires for the performance of its tasks".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0" w:right="0" w:firstLine="840"/>
        <w:jc w:val="left"/>
      </w:pPr>
      <w:r>
        <w:rPr>
          <w:rStyle w:val="CharStyle14"/>
        </w:rPr>
        <w:t>Regulation 77(5) states: -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40" w:right="0" w:firstLine="40"/>
        <w:jc w:val="left"/>
      </w:pPr>
      <w:r>
        <w:rPr>
          <w:rStyle w:val="CharStyle14"/>
          <w:i/>
          <w:iCs/>
        </w:rPr>
        <w:t>"The Information Commissioner's power under Article 58(1)(a) of the applied GDPR</w:t>
        <w:br/>
        <w:t>may be exercised by giving an information notice under regulation 101".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40" w:right="0" w:hanging="680"/>
        <w:jc w:val="left"/>
      </w:pPr>
      <w:r>
        <w:rPr>
          <w:rStyle w:val="CharStyle14"/>
        </w:rPr>
        <w:t>In seeking to fulfil his tasks, a controller is, in the first instance, generally</w:t>
        <w:br/>
        <w:t>requested to co-operate with the Commissioner in the performance of his task, in</w:t>
        <w:br/>
        <w:t>accordance with its obligation under Article 31.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0" w:right="0" w:firstLine="840"/>
        <w:jc w:val="left"/>
      </w:pPr>
      <w:r>
        <w:rPr>
          <w:rStyle w:val="CharStyle14"/>
        </w:rPr>
        <w:t xml:space="preserve">Article 31, </w:t>
      </w:r>
      <w:r>
        <w:rPr>
          <w:rStyle w:val="CharStyle14"/>
          <w:i/>
          <w:iCs/>
        </w:rPr>
        <w:t>"Cooperation with the supervisory authority",</w:t>
      </w:r>
      <w:r>
        <w:rPr>
          <w:rStyle w:val="CharStyle14"/>
        </w:rPr>
        <w:t xml:space="preserve"> states: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line="271" w:lineRule="auto"/>
        <w:ind w:left="1540" w:right="0" w:firstLine="40"/>
        <w:jc w:val="left"/>
      </w:pPr>
      <w:r>
        <w:rPr>
          <w:rStyle w:val="CharStyle14"/>
          <w:i/>
          <w:iCs/>
        </w:rPr>
        <w:t>"The controller... shall cooperate, on request, with the supervisory authority in the</w:t>
        <w:br/>
        <w:t>performance of its tasks."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40" w:right="0" w:hanging="680"/>
        <w:jc w:val="left"/>
      </w:pPr>
      <w:r>
        <w:rPr>
          <w:rStyle w:val="CharStyle14"/>
        </w:rPr>
        <w:t>Where a controller fails to co-operate, or the information provided to the</w:t>
        <w:br/>
        <w:t>Commissioner is not sufficient to investigate the particular complaint, the</w:t>
        <w:br/>
        <w:t>Commissioner may, pursuant to Article 58(1)(a), order the controller to provide</w:t>
      </w:r>
      <w:r>
        <w:br w:type="page"/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60" w:right="0" w:firstLine="20"/>
        <w:jc w:val="left"/>
      </w:pPr>
      <w:r>
        <w:rPr>
          <w:rStyle w:val="CharStyle14"/>
        </w:rPr>
        <w:t>any information required for the performance of his tasks by issuing an</w:t>
        <w:br/>
        <w:t>Information Notice in accordance with Regulation 101.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0" w:right="0" w:firstLine="860"/>
        <w:jc w:val="both"/>
      </w:pPr>
      <w:r>
        <w:rPr>
          <w:rStyle w:val="CharStyle14"/>
        </w:rPr>
        <w:t>In summary:</w:t>
      </w:r>
    </w:p>
    <w:p>
      <w:pPr>
        <w:pStyle w:val="Style13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940" w:val="left"/>
        </w:tabs>
        <w:bidi w:val="0"/>
        <w:spacing w:before="0"/>
        <w:ind w:left="1940" w:right="0" w:hanging="360"/>
        <w:jc w:val="left"/>
      </w:pPr>
      <w:r>
        <w:rPr>
          <w:rStyle w:val="CharStyle14"/>
        </w:rPr>
        <w:t>On 27 August 2020, the Commissioner requested CML to co-operate in the</w:t>
        <w:br/>
        <w:t>performance of his task, in accordance its obligation under Article 31, and, by</w:t>
        <w:br/>
        <w:t>11 September 2020, provide information and responses to questions relevant</w:t>
        <w:br/>
        <w:t>to the investigation of the complaint.</w:t>
      </w:r>
    </w:p>
    <w:p>
      <w:pPr>
        <w:pStyle w:val="Style13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940" w:val="left"/>
        </w:tabs>
        <w:bidi w:val="0"/>
        <w:spacing w:before="0"/>
        <w:ind w:left="1940" w:right="0" w:hanging="360"/>
        <w:jc w:val="left"/>
      </w:pPr>
      <w:r>
        <w:rPr>
          <w:rStyle w:val="CharStyle14"/>
        </w:rPr>
        <w:t>CML did not respond to that communication until 14 September 2020 and</w:t>
        <w:br/>
        <w:t>provided some information. However, that information did not relate to</w:t>
        <w:br/>
        <w:t>CML's compliance with the SAR, but to events that preceded CML's receipt of</w:t>
        <w:br/>
        <w:t>the SAR. However, whilst CML provided a few items on 14 September, no</w:t>
        <w:br/>
        <w:t>further information was submitted, despite CML's assurances made over the</w:t>
        <w:br/>
        <w:t>following 14 days.</w:t>
      </w:r>
    </w:p>
    <w:p>
      <w:pPr>
        <w:pStyle w:val="Style13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940" w:val="left"/>
        </w:tabs>
        <w:bidi w:val="0"/>
        <w:spacing w:before="0"/>
        <w:ind w:left="1940" w:right="0" w:hanging="360"/>
        <w:jc w:val="left"/>
      </w:pPr>
      <w:r>
        <w:rPr>
          <w:rStyle w:val="CharStyle14"/>
        </w:rPr>
        <w:t>Although advised of the consequences of failure to co-operate with the</w:t>
        <w:br/>
        <w:t>Commissioner, CML failed to co-operate with the Commissioner, on request,</w:t>
        <w:br/>
        <w:t>in contravention of Article 31.</w:t>
      </w:r>
    </w:p>
    <w:p>
      <w:pPr>
        <w:pStyle w:val="Style13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940" w:val="left"/>
        </w:tabs>
        <w:bidi w:val="0"/>
        <w:spacing w:before="0"/>
        <w:ind w:left="1940" w:right="0" w:hanging="360"/>
        <w:jc w:val="left"/>
      </w:pPr>
      <w:r>
        <w:rPr>
          <w:rStyle w:val="CharStyle14"/>
        </w:rPr>
        <w:t>Due to CML's failure to co-operate, an Information Notice was issued on 29</w:t>
        <w:br/>
        <w:t>September 2020 ordering CML to provide the Commissioner with information</w:t>
        <w:br/>
        <w:t>and responses to questions relevant to the investigation of the complaint no</w:t>
        <w:br/>
        <w:t>later than close of business on 29 October 2020.</w:t>
      </w:r>
    </w:p>
    <w:p>
      <w:pPr>
        <w:pStyle w:val="Style13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940" w:val="left"/>
        </w:tabs>
        <w:bidi w:val="0"/>
        <w:spacing w:before="0"/>
        <w:ind w:left="1940" w:right="0" w:hanging="360"/>
        <w:jc w:val="left"/>
      </w:pPr>
      <w:r>
        <w:rPr>
          <w:rStyle w:val="CharStyle14"/>
        </w:rPr>
        <w:t>No response was received from CML until 30 October 2020. However, CML</w:t>
        <w:br/>
        <w:t>did not provide any new information to the Commissioner on 30 October</w:t>
        <w:br/>
        <w:t>2020 and, despite CML's assurances of action, no other information was</w:t>
        <w:br/>
        <w:t>provided to the Commissioner before the close of business on 4 November</w:t>
        <w:br/>
        <w:t>2020.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 w:line="271" w:lineRule="auto"/>
        <w:ind w:left="1560" w:right="0" w:hanging="680"/>
        <w:jc w:val="left"/>
      </w:pPr>
      <w:r>
        <w:rPr>
          <w:rStyle w:val="CharStyle14"/>
        </w:rPr>
        <w:t>CML was advised of its obligation to comply with the Information Notice and the</w:t>
        <w:br/>
        <w:t>consequences of failure to do so.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60" w:right="0" w:hanging="680"/>
        <w:jc w:val="left"/>
      </w:pPr>
      <w:r>
        <w:rPr>
          <w:rStyle w:val="CharStyle14"/>
        </w:rPr>
        <w:t>Regulation 117 provides that the Commissioner may certify in writing to the High</w:t>
        <w:br/>
        <w:t>Court that CML had failed to comply with the Information Notice. The Court must</w:t>
        <w:br/>
        <w:t>inquire into that matter and may deal with CML as if it had committed contempt</w:t>
        <w:br/>
        <w:t>of court.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60" w:right="0" w:hanging="680"/>
        <w:jc w:val="left"/>
      </w:pPr>
      <w:r>
        <w:rPr>
          <w:rStyle w:val="CharStyle14"/>
        </w:rPr>
        <w:t>The Commissioner decided that it was not necessary to certify the failure to</w:t>
        <w:br/>
        <w:t>comply with the Information Notice to the High Court in addition to imposing a</w:t>
        <w:br/>
        <w:t>penalty.</w:t>
      </w:r>
      <w:r>
        <w:br w:type="page"/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1520" w:right="0" w:hanging="680"/>
        <w:jc w:val="left"/>
      </w:pPr>
      <w:r>
        <w:rPr>
          <w:rStyle w:val="CharStyle14"/>
        </w:rPr>
        <w:t>The Commissioner, therefore, issued a Notice of Intent to CML on 05 November</w:t>
        <w:br/>
        <w:t>2020, in accordance with Regulation 112(4) and Schedule 5 to the Implementing</w:t>
        <w:br/>
        <w:t>Regulations due to infringements by CML of:-</w:t>
      </w:r>
    </w:p>
    <w:p>
      <w:pPr>
        <w:pStyle w:val="Style13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880" w:val="left"/>
        </w:tabs>
        <w:bidi w:val="0"/>
        <w:spacing w:before="0" w:after="0"/>
        <w:ind w:left="1520" w:right="0" w:firstLine="0"/>
        <w:jc w:val="left"/>
      </w:pPr>
      <w:r>
        <w:rPr>
          <w:rStyle w:val="CharStyle14"/>
        </w:rPr>
        <w:t>Article 31 - Cooperation with the supervisory authority; and</w:t>
      </w:r>
    </w:p>
    <w:p>
      <w:pPr>
        <w:pStyle w:val="Style13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880" w:val="left"/>
        </w:tabs>
        <w:bidi w:val="0"/>
        <w:spacing w:before="0"/>
        <w:ind w:left="1520" w:right="0" w:firstLine="0"/>
        <w:jc w:val="left"/>
      </w:pPr>
      <w:r>
        <w:rPr>
          <w:rStyle w:val="CharStyle14"/>
        </w:rPr>
        <w:t>Regulation 101 - Information notices.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 w:line="271" w:lineRule="auto"/>
        <w:ind w:left="1520" w:right="0" w:hanging="680"/>
        <w:jc w:val="left"/>
      </w:pPr>
      <w:r>
        <w:rPr>
          <w:rStyle w:val="CharStyle14"/>
        </w:rPr>
        <w:t>The Notice of Intent, attached as an Annex to this Notice, includes details of CML's</w:t>
        <w:br/>
        <w:t>interactions with the Commissioner in respect of his investigation into the</w:t>
        <w:br/>
        <w:t>complaint up to and including 4 November 2020.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1520" w:right="0" w:hanging="680"/>
        <w:jc w:val="left"/>
      </w:pPr>
      <w:r>
        <w:rPr>
          <w:rStyle w:val="CharStyle14"/>
        </w:rPr>
        <w:t>CML was advised that it was entitled to make written representations to the</w:t>
        <w:br/>
        <w:t>Commissioner by 26 November 2020 about the Commissioner's intention to give</w:t>
        <w:br/>
        <w:t>a penalty notice.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1520" w:right="0" w:hanging="680"/>
        <w:jc w:val="left"/>
      </w:pPr>
      <w:r>
        <w:rPr>
          <w:rStyle w:val="CharStyle14"/>
        </w:rPr>
        <w:t>No response to the Notice of Intent was received until CML sent an email at</w:t>
        <w:br/>
        <w:t xml:space="preserve">22:42hrs on 26 November 2020, stating that it wished to </w:t>
      </w:r>
      <w:r>
        <w:rPr>
          <w:rStyle w:val="CharStyle14"/>
          <w:i/>
          <w:iCs/>
        </w:rPr>
        <w:t>"appeal against my fine</w:t>
        <w:br/>
        <w:t>and the outcome of the investigation. Please see enclosed attachment."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 w:after="200"/>
        <w:ind w:left="1520" w:right="0" w:hanging="680"/>
        <w:jc w:val="left"/>
      </w:pPr>
      <w:r>
        <w:rPr>
          <w:rStyle w:val="CharStyle14"/>
        </w:rPr>
        <w:t>However, no attachment was included with the email and CML was advised</w:t>
        <w:br/>
        <w:t>accordingly on 27 November 2020. Up to and including 8 December 2020, no</w:t>
        <w:br/>
        <w:t>other representations have been received in respect of the intention to give this</w:t>
        <w:br/>
        <w:t>penalty notice.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460"/>
        <w:jc w:val="left"/>
      </w:pPr>
      <w:bookmarkStart w:id="6" w:name="bookmark6"/>
      <w:r>
        <w:rPr>
          <w:rStyle w:val="CharStyle24"/>
          <w:b/>
          <w:bCs/>
        </w:rPr>
        <w:t>Aggravating factors</w:t>
      </w:r>
      <w:bookmarkEnd w:id="6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1520" w:right="0" w:hanging="680"/>
        <w:jc w:val="left"/>
      </w:pPr>
      <w:r>
        <w:rPr>
          <w:rStyle w:val="CharStyle14"/>
        </w:rPr>
        <w:t>CML has impeded the Commissioner in fulfilling his task to monitor and enforce</w:t>
        <w:br/>
        <w:t>the application of the Applied GDPR, pursuant to Article 57(1)(a).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1520" w:right="0" w:hanging="680"/>
        <w:jc w:val="left"/>
      </w:pPr>
      <w:r>
        <w:rPr>
          <w:rStyle w:val="CharStyle14"/>
        </w:rPr>
        <w:t>CML has frustrated the Commissioner in fulfilling his task to investigate the</w:t>
        <w:br/>
        <w:t>complaint, pursuant to Article 57(1)(f), by failing to properly engage with the</w:t>
        <w:br/>
        <w:t>Commissioner and provide the information requested, including where additional</w:t>
        <w:br/>
        <w:t>time to do so was provided.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 w:after="200"/>
        <w:ind w:left="1520" w:right="0" w:hanging="680"/>
        <w:jc w:val="left"/>
      </w:pPr>
      <w:r>
        <w:rPr>
          <w:rStyle w:val="CharStyle14"/>
        </w:rPr>
        <w:t>CML has demonstrated a disregard for its statutory obligations and CML's</w:t>
        <w:br/>
        <w:t>assurances that information would be provided to the Commissioner pursuant to</w:t>
        <w:br/>
        <w:t>those statutory obligations were not fulfilled.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460"/>
        <w:jc w:val="left"/>
      </w:pPr>
      <w:bookmarkStart w:id="8" w:name="bookmark8"/>
      <w:r>
        <w:rPr>
          <w:rStyle w:val="CharStyle24"/>
          <w:b/>
          <w:bCs/>
        </w:rPr>
        <w:t>Mitigating factors</w:t>
      </w:r>
      <w:bookmarkEnd w:id="8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15" w:val="left"/>
        </w:tabs>
        <w:bidi w:val="0"/>
        <w:spacing w:before="0"/>
        <w:ind w:left="0" w:right="0" w:firstLine="820"/>
        <w:jc w:val="left"/>
      </w:pPr>
      <w:r>
        <w:rPr>
          <w:rStyle w:val="CharStyle14"/>
        </w:rPr>
        <w:t>This is the first penalty imposed on CML.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 w:line="271" w:lineRule="auto"/>
        <w:ind w:left="1520" w:right="0" w:hanging="680"/>
        <w:jc w:val="left"/>
      </w:pPr>
      <w:r>
        <w:rPr>
          <w:rStyle w:val="CharStyle14"/>
        </w:rPr>
        <w:t>CML did not make any representations in response to the Notice of Intent and, as</w:t>
        <w:br/>
        <w:t>such, there are no other factors in mitigation.</w:t>
      </w:r>
      <w:r>
        <w:br w:type="page"/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180"/>
        <w:ind w:left="0" w:right="0"/>
        <w:jc w:val="left"/>
      </w:pPr>
      <w:bookmarkStart w:id="10" w:name="bookmark10"/>
      <w:r>
        <w:rPr>
          <w:rStyle w:val="CharStyle24"/>
          <w:b/>
          <w:bCs/>
        </w:rPr>
        <w:t>Imposition and amount of penalty</w:t>
      </w:r>
      <w:bookmarkEnd w:id="10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1540" w:right="0" w:hanging="700"/>
        <w:jc w:val="left"/>
      </w:pPr>
      <w:r>
        <w:rPr>
          <w:rStyle w:val="CharStyle14"/>
        </w:rPr>
        <w:t>The Commissioner, in imposing a penalty, must have regard to the matters</w:t>
        <w:br/>
        <w:t>mentioned in Article 83(2).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35" w:val="left"/>
        </w:tabs>
        <w:bidi w:val="0"/>
        <w:spacing w:before="0"/>
        <w:ind w:left="0" w:right="0" w:firstLine="840"/>
        <w:jc w:val="left"/>
      </w:pPr>
      <w:r>
        <w:rPr>
          <w:rStyle w:val="CharStyle14"/>
        </w:rPr>
        <w:t>Those matters are:</w:t>
      </w:r>
    </w:p>
    <w:p>
      <w:pPr>
        <w:pStyle w:val="Style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945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the nature, gravity and duration of the infringement taking into account the</w:t>
        <w:br/>
        <w:t>nature scope or purpose of the processing concerned as well as the number of data</w:t>
        <w:br/>
        <w:t>subjects affected and the level of damage suffered by them;</w:t>
      </w:r>
    </w:p>
    <w:p>
      <w:pPr>
        <w:pStyle w:val="Style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930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the intentional or negligent character of the infringement;</w:t>
      </w:r>
    </w:p>
    <w:p>
      <w:pPr>
        <w:pStyle w:val="Style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912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any action taken by the controller or processor to mitigate the damage suffered</w:t>
        <w:br/>
        <w:t>by data subjects;</w:t>
      </w:r>
    </w:p>
    <w:p>
      <w:pPr>
        <w:pStyle w:val="Style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945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the degree of responsibility of the controller or processor taking into account</w:t>
        <w:br/>
        <w:t>technical and organisational measures implemented by them pursuant to Articles</w:t>
        <w:br/>
        <w:t>25 and 32;</w:t>
      </w:r>
    </w:p>
    <w:p>
      <w:pPr>
        <w:pStyle w:val="Style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920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any relevant previous infringements by the controller or processor;</w:t>
      </w:r>
    </w:p>
    <w:p>
      <w:pPr>
        <w:pStyle w:val="Style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884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the degree of cooperation with the supervisory authority, in order to remedy the</w:t>
        <w:br/>
        <w:t>infringement and mitigate the possible adverse effects of the infringement;</w:t>
      </w:r>
    </w:p>
    <w:p>
      <w:pPr>
        <w:pStyle w:val="Style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1930" w:val="left"/>
        </w:tabs>
        <w:bidi w:val="0"/>
        <w:spacing w:before="0" w:after="0"/>
        <w:ind w:left="1540" w:right="0" w:firstLine="0"/>
        <w:jc w:val="left"/>
      </w:pPr>
      <w:r>
        <w:rPr>
          <w:rStyle w:val="CharStyle14"/>
          <w:i/>
          <w:iCs/>
        </w:rPr>
        <w:t>the categories of personal data affected by the infringement;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(h)the manner in which the infringement became known to the supervisory</w:t>
        <w:br/>
        <w:t>authority, in particular whether, and if so to what extent, the controller or processor</w:t>
        <w:br/>
        <w:t>notified the infringement;</w:t>
      </w:r>
    </w:p>
    <w:p>
      <w:pPr>
        <w:pStyle w:val="Style13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876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where measures referred to in Article 58(2) have previously been ordered against</w:t>
        <w:br/>
        <w:t>the controller or processor concerned with regard to the same subject matter,</w:t>
        <w:br/>
        <w:t>compliance with those measures;</w:t>
      </w:r>
    </w:p>
    <w:p>
      <w:pPr>
        <w:pStyle w:val="Style13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873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adherence to approved codes of conduct pursuant to Article 40 or approved</w:t>
        <w:br/>
        <w:t>certification mechanisms pursuant to Article 42; and</w:t>
      </w:r>
    </w:p>
    <w:p>
      <w:pPr>
        <w:pStyle w:val="Style13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927" w:val="left"/>
        </w:tabs>
        <w:bidi w:val="0"/>
        <w:spacing w:before="0"/>
        <w:ind w:left="1540" w:right="0" w:firstLine="0"/>
        <w:jc w:val="left"/>
      </w:pPr>
      <w:r>
        <w:rPr>
          <w:rStyle w:val="CharStyle14"/>
          <w:i/>
          <w:iCs/>
        </w:rPr>
        <w:t>any other aggravating or mitigating factor applicable to the circumstances of the</w:t>
        <w:br/>
        <w:t>case, such as financial benefits gained, or losses avoided, directly or indirectly, from</w:t>
        <w:br/>
        <w:t>the infringement.</w:t>
      </w:r>
      <w:r>
        <w:br w:type="page"/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60" w:right="0" w:hanging="700"/>
        <w:jc w:val="left"/>
      </w:pPr>
      <w:r>
        <w:rPr>
          <w:rStyle w:val="CharStyle14"/>
        </w:rPr>
        <w:t>In this case, the Commissioner has had regard to paragraphs (a), (b) and (f) of</w:t>
        <w:br/>
        <w:t>Article 83(2). Paragraphs (c), (d), (e), (g), (h) (i), (j) and (k) are not relevant in this</w:t>
        <w:br/>
        <w:t>case.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60" w:right="0" w:hanging="700"/>
        <w:jc w:val="left"/>
      </w:pPr>
      <w:r>
        <w:rPr>
          <w:rStyle w:val="CharStyle14"/>
          <w:i/>
          <w:iCs/>
        </w:rPr>
        <w:t>(a)the nature, gravity and duration of the infringement taking into account the</w:t>
        <w:br/>
        <w:t>nature scope or purpose of the processing concerned as well as the number of data</w:t>
        <w:br/>
        <w:t>subjects affected and the level of damage suffered by them;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60" w:right="0" w:firstLine="20"/>
        <w:jc w:val="left"/>
      </w:pPr>
      <w:r>
        <w:rPr>
          <w:rStyle w:val="CharStyle14"/>
        </w:rPr>
        <w:t>Co-operation with the Commissioner and compliance with an Information Notice</w:t>
        <w:br/>
        <w:t>(order) are fundamental obligations. The failure by the controller to do either</w:t>
        <w:br/>
        <w:t>represents a significant infringement of the Applied GDPR.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60" w:right="0" w:firstLine="20"/>
        <w:jc w:val="left"/>
      </w:pPr>
      <w:r>
        <w:rPr>
          <w:rStyle w:val="CharStyle14"/>
        </w:rPr>
        <w:t>It is important that the Commissioner is not impeded or frustrated in undertaking</w:t>
        <w:br/>
        <w:t>his function to investigate complaints made by data subjects. The nature of the</w:t>
        <w:br/>
        <w:t>infringements has impacted on the affected data subject and resulted in</w:t>
        <w:br/>
        <w:t>significant, unnecessary delays in the Commissioner being able to progress their</w:t>
        <w:br/>
        <w:t>complaint.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44" w:val="left"/>
        </w:tabs>
        <w:bidi w:val="0"/>
        <w:spacing w:before="0"/>
        <w:ind w:left="0" w:right="0" w:firstLine="840"/>
        <w:jc w:val="left"/>
      </w:pPr>
      <w:r>
        <w:rPr>
          <w:rStyle w:val="CharStyle14"/>
          <w:i/>
          <w:iCs/>
        </w:rPr>
        <w:t>(b) the intentional or negligent character of the infringement;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60" w:right="0" w:firstLine="20"/>
        <w:jc w:val="left"/>
      </w:pPr>
      <w:r>
        <w:rPr>
          <w:rStyle w:val="CharStyle14"/>
        </w:rPr>
        <w:t>CML was given several opportunities to provide the information to the</w:t>
        <w:br/>
        <w:t>Commissioner but did not do so, despite assurances being given that it would do</w:t>
        <w:br/>
        <w:t>so. The Commissioner considers that the infringements were, therefore,</w:t>
        <w:br/>
        <w:t>intentional.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60" w:right="0" w:hanging="700"/>
        <w:jc w:val="left"/>
      </w:pPr>
      <w:r>
        <w:rPr>
          <w:rStyle w:val="CharStyle14"/>
          <w:i/>
          <w:iCs/>
        </w:rPr>
        <w:t>(f)the degree of cooperation with the supervisory authority, in order to remedy the</w:t>
        <w:br/>
        <w:t>infringement and mitigate the possible adverse effects of the infringement;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/>
        <w:ind w:left="1560" w:right="0" w:firstLine="20"/>
        <w:jc w:val="left"/>
      </w:pPr>
      <w:r>
        <w:rPr>
          <w:rStyle w:val="CharStyle14"/>
        </w:rPr>
        <w:t>CML did not co-operate with the Commissioner or comply with the Information</w:t>
        <w:br/>
        <w:t>Notice (see paragraph 16 and the Notice of Intent) within the specified timeframe.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320"/>
        <w:ind w:left="0" w:right="0"/>
        <w:jc w:val="both"/>
      </w:pPr>
      <w:bookmarkStart w:id="12" w:name="bookmark12"/>
      <w:r>
        <w:rPr>
          <w:rStyle w:val="CharStyle24"/>
          <w:b/>
          <w:bCs/>
        </w:rPr>
        <w:t>Amount of penalty</w:t>
      </w:r>
      <w:bookmarkEnd w:id="12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44" w:val="left"/>
        </w:tabs>
        <w:bidi w:val="0"/>
        <w:spacing w:before="0"/>
        <w:ind w:left="0" w:right="0" w:firstLine="840"/>
        <w:jc w:val="left"/>
      </w:pPr>
      <w:r>
        <w:rPr>
          <w:rStyle w:val="CharStyle14"/>
        </w:rPr>
        <w:t>The Commissioner is satisfied that a penalty is appropriate in the circumstances.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60" w:right="0" w:hanging="700"/>
        <w:jc w:val="left"/>
      </w:pPr>
      <w:r>
        <w:rPr>
          <w:rStyle w:val="CharStyle14"/>
        </w:rPr>
        <w:t>In the Notice of Intent, the Commissioner proposed to impose a penalty of</w:t>
        <w:br/>
      </w:r>
      <w:r>
        <w:rPr>
          <w:rStyle w:val="CharStyle14"/>
          <w:b/>
          <w:bCs/>
        </w:rPr>
        <w:t xml:space="preserve">£3,250.00 </w:t>
      </w:r>
      <w:r>
        <w:rPr>
          <w:rStyle w:val="CharStyle14"/>
        </w:rPr>
        <w:t>(Three Thousand, Two Hundred and Fifty Pounds).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60" w:right="0" w:hanging="700"/>
        <w:jc w:val="left"/>
      </w:pPr>
      <w:r>
        <w:rPr>
          <w:rStyle w:val="CharStyle14"/>
        </w:rPr>
        <w:t>CML has not made any representations in response to the Notice of Intent.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1560" w:right="0" w:hanging="700"/>
        <w:jc w:val="left"/>
      </w:pPr>
      <w:r>
        <w:rPr>
          <w:rStyle w:val="CharStyle14"/>
        </w:rPr>
        <w:t>The maximum amount of penalty set out in Article 83(5) and 83(6) of the Applied</w:t>
        <w:br/>
        <w:t>GDPR does not apply in the Isle of Man, and, instead, Regulation 114 sets out the</w:t>
        <w:br/>
        <w:t>maximum penalty as £1,000,000 (one million pounds).</w:t>
      </w:r>
      <w:r>
        <w:br w:type="page"/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80" w:right="0" w:hanging="700"/>
        <w:jc w:val="left"/>
      </w:pPr>
      <w:r>
        <w:rPr>
          <w:rStyle w:val="CharStyle14"/>
        </w:rPr>
        <w:t>However, as set out in Regulation 3, the Regulations must be read and construed</w:t>
        <w:br/>
        <w:t>as subordinate to the Applied GDPR. The penalty should, therefore, reflect the</w:t>
        <w:br/>
        <w:t>more serious and significant infringements imputed in Article 83 of the Applied</w:t>
        <w:br/>
        <w:t>GDPR.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80" w:right="0" w:hanging="700"/>
        <w:jc w:val="left"/>
      </w:pPr>
      <w:r>
        <w:rPr>
          <w:rStyle w:val="CharStyle14"/>
        </w:rPr>
        <w:t>In calculating the penalty, the Commissioner has taken into account the size of</w:t>
        <w:br/>
        <w:t>CML and the nature of its business.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 w:after="200"/>
        <w:ind w:left="1580" w:right="0" w:hanging="700"/>
        <w:jc w:val="left"/>
      </w:pPr>
      <w:r>
        <w:rPr>
          <w:rStyle w:val="CharStyle14"/>
        </w:rPr>
        <w:t>Mindful that the penalty must be effective, proportionate and dissuasive, and</w:t>
        <w:br/>
        <w:t>taking all the above factors into account, the Commissioner has decided to</w:t>
        <w:br/>
        <w:t xml:space="preserve">impose a penalty of </w:t>
      </w:r>
      <w:r>
        <w:rPr>
          <w:rStyle w:val="CharStyle14"/>
          <w:b/>
          <w:bCs/>
        </w:rPr>
        <w:t xml:space="preserve">£3,250.00 </w:t>
      </w:r>
      <w:r>
        <w:rPr>
          <w:rStyle w:val="CharStyle14"/>
        </w:rPr>
        <w:t>(Three Thousand, Two Hundred and Fifty Pounds)</w:t>
        <w:br/>
        <w:t>on CML.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500"/>
        <w:jc w:val="left"/>
      </w:pPr>
      <w:bookmarkStart w:id="14" w:name="bookmark14"/>
      <w:r>
        <w:rPr>
          <w:rStyle w:val="CharStyle24"/>
          <w:b/>
          <w:bCs/>
        </w:rPr>
        <w:t>Payment of penalty - paragraph 6 of Schedule 5 to the Implementing Regulations</w:t>
      </w:r>
      <w:bookmarkEnd w:id="14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 w:after="200"/>
        <w:ind w:left="1580" w:right="0" w:hanging="700"/>
        <w:jc w:val="left"/>
      </w:pPr>
      <w:r>
        <w:rPr>
          <w:rStyle w:val="CharStyle14"/>
        </w:rPr>
        <w:t>The penalty must be paid to the Commissioner's office by BACS transfer or</w:t>
        <w:br/>
        <w:t xml:space="preserve">cheque by </w:t>
      </w:r>
      <w:r>
        <w:rPr>
          <w:rStyle w:val="CharStyle14"/>
          <w:b/>
          <w:bCs/>
        </w:rPr>
        <w:t xml:space="preserve">22 January 2021 </w:t>
      </w:r>
      <w:r>
        <w:rPr>
          <w:rStyle w:val="CharStyle14"/>
        </w:rPr>
        <w:t>at the latest (taking into account the Christmas</w:t>
        <w:br/>
        <w:t>holiday period). The penalty is not kept by the Commissioner but will be paid into</w:t>
        <w:br/>
        <w:t>the Treasury's General Revenue Account.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500"/>
        <w:jc w:val="left"/>
      </w:pPr>
      <w:bookmarkStart w:id="16" w:name="bookmark16"/>
      <w:r>
        <w:rPr>
          <w:rStyle w:val="CharStyle24"/>
          <w:b/>
          <w:bCs/>
        </w:rPr>
        <w:t>Right of appeal - Regulation 120</w:t>
      </w:r>
      <w:bookmarkEnd w:id="16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80" w:right="0" w:hanging="700"/>
        <w:jc w:val="left"/>
      </w:pPr>
      <w:r>
        <w:rPr>
          <w:rStyle w:val="CharStyle14"/>
        </w:rPr>
        <w:t>There is a right of appeal to the Isle of Man Data Protection Tribunal ("the</w:t>
        <w:br/>
        <w:t>Tribunal").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80" w:right="0" w:hanging="700"/>
        <w:jc w:val="left"/>
      </w:pPr>
      <w:r>
        <w:rPr>
          <w:rStyle w:val="CharStyle14"/>
        </w:rPr>
        <w:t>Regulation 120(4) states that a person who is given a penalty notice may appeal</w:t>
        <w:br/>
        <w:t>to the Tribunal against the amount of the penalty specified in the notice, whether</w:t>
        <w:br/>
        <w:t>or not they appeal against the issue of the penalty notice.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55" w:val="left"/>
        </w:tabs>
        <w:bidi w:val="0"/>
        <w:spacing w:before="0"/>
        <w:ind w:left="0" w:right="0" w:firstLine="860"/>
        <w:jc w:val="left"/>
      </w:pPr>
      <w:r>
        <w:rPr>
          <w:rStyle w:val="CharStyle14"/>
        </w:rPr>
        <w:t>The determination of appeals by the Tribunal is prescribed in Regulation 121.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80" w:right="0" w:hanging="700"/>
        <w:jc w:val="left"/>
      </w:pPr>
      <w:r>
        <w:rPr>
          <w:rStyle w:val="CharStyle14"/>
        </w:rPr>
        <w:t>Appeals to the Tribunal must be made in accordance with the Isle of Man Data</w:t>
        <w:br/>
        <w:t>Protection Tribunal Rules in force at the time of the appeal.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 w:after="200"/>
        <w:ind w:left="1580" w:right="0" w:hanging="700"/>
        <w:jc w:val="left"/>
      </w:pPr>
      <w:r>
        <w:rPr>
          <w:rStyle w:val="CharStyle14"/>
        </w:rPr>
        <w:t>Guidance about the appeal process should be sourced from The Tribunals Service</w:t>
        <w:br/>
        <w:t xml:space="preserve">- </w:t>
      </w:r>
      <w:r>
        <w:fldChar w:fldCharType="begin"/>
      </w:r>
      <w:r>
        <w:rPr/>
        <w:instrText> HYPERLINK "https://www.courts.im/court-procedures/tribunals-service/" </w:instrText>
      </w:r>
      <w:r>
        <w:fldChar w:fldCharType="separate"/>
      </w:r>
      <w:r>
        <w:rPr>
          <w:rStyle w:val="CharStyle14"/>
          <w:u w:val="single"/>
        </w:rPr>
        <w:t>https://www.courts.im/court-procedures/tribunals-service/</w:t>
      </w:r>
      <w:r>
        <w:fldChar w:fldCharType="end"/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/>
        <w:ind w:left="0" w:right="0" w:firstLine="500"/>
        <w:jc w:val="left"/>
      </w:pPr>
      <w:bookmarkStart w:id="18" w:name="bookmark18"/>
      <w:r>
        <w:rPr>
          <w:rStyle w:val="CharStyle24"/>
          <w:b/>
          <w:bCs/>
        </w:rPr>
        <w:t>Failure to comply with this Notice - Regulation 117</w:t>
      </w:r>
      <w:bookmarkEnd w:id="18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80" w:right="0" w:hanging="700"/>
        <w:jc w:val="left"/>
      </w:pPr>
      <w:r>
        <w:rPr>
          <w:rStyle w:val="CharStyle14"/>
        </w:rPr>
        <w:t>The Commissioner may certify in writing to the High Court that a controller has</w:t>
        <w:br/>
        <w:t>failed to comply with a penalty notice but must not exercise that power before the</w:t>
        <w:br/>
        <w:t>expiration of the payment period specified in the penalty notice.</w:t>
      </w:r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/>
        <w:ind w:left="1580" w:right="0" w:hanging="700"/>
        <w:jc w:val="left"/>
      </w:pPr>
      <w:r>
        <w:rPr>
          <w:rStyle w:val="CharStyle14"/>
        </w:rPr>
        <w:t>The High Court must inquire into the matter and may deal with the controller as if</w:t>
        <w:br/>
        <w:t>it had committed a contempt of court.</w:t>
      </w:r>
      <w:r>
        <w:br w:type="page"/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180"/>
        <w:ind w:left="0" w:right="0" w:firstLine="0"/>
        <w:jc w:val="center"/>
      </w:pPr>
      <w:bookmarkStart w:id="20" w:name="bookmark20"/>
      <w:r>
        <w:rPr>
          <w:rStyle w:val="CharStyle24"/>
          <w:b/>
          <w:bCs/>
        </w:rPr>
        <w:t>Enforcement of payment - paragraph 9 of Schedule 5 to the Implementing Regulations</w:t>
      </w:r>
      <w:bookmarkEnd w:id="20"/>
    </w:p>
    <w:p>
      <w:pPr>
        <w:pStyle w:val="Style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575" w:val="left"/>
        </w:tabs>
        <w:bidi w:val="0"/>
        <w:spacing w:before="0" w:after="0"/>
        <w:ind w:left="0" w:right="0" w:firstLine="880"/>
        <w:jc w:val="left"/>
      </w:pPr>
      <w:r>
        <w:rPr>
          <w:rStyle w:val="CharStyle14"/>
        </w:rPr>
        <w:t>The Information Commissioner must not take action to recover a penalty unless,</w:t>
      </w:r>
    </w:p>
    <w:p>
      <w:pPr>
        <w:pStyle w:val="Style13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995" w:val="left"/>
        </w:tabs>
        <w:bidi w:val="0"/>
        <w:spacing w:before="0" w:after="0"/>
        <w:ind w:left="1580" w:right="0" w:firstLine="0"/>
        <w:jc w:val="left"/>
      </w:pPr>
      <w:r>
        <w:rPr>
          <w:rStyle w:val="CharStyle14"/>
        </w:rPr>
        <w:t>the period specified in accordance with paragraph 6 of Schedule 5 has ended,</w:t>
      </w:r>
    </w:p>
    <w:p>
      <w:pPr>
        <w:pStyle w:val="Style13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2013" w:val="left"/>
        </w:tabs>
        <w:bidi w:val="0"/>
        <w:spacing w:before="0" w:after="0"/>
        <w:ind w:left="1580" w:right="0" w:firstLine="0"/>
        <w:jc w:val="left"/>
      </w:pPr>
      <w:r>
        <w:rPr>
          <w:rStyle w:val="CharStyle14"/>
        </w:rPr>
        <w:t>any appeals against the penalty notice have been decided or otherwise ended,</w:t>
        <w:br/>
        <w:t>(c) if the penalty notice has been varied, any appeals against the penalty variation</w:t>
        <w:br/>
        <w:t>notice have been decided or otherwise ended, and</w:t>
      </w:r>
    </w:p>
    <w:p>
      <w:pPr>
        <w:pStyle w:val="Style13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2017" w:val="left"/>
        </w:tabs>
        <w:bidi w:val="0"/>
        <w:spacing w:before="0"/>
        <w:ind w:left="1580" w:right="0" w:firstLine="0"/>
        <w:jc w:val="left"/>
      </w:pPr>
      <w:r>
        <w:rPr>
          <w:rStyle w:val="CharStyle14"/>
        </w:rPr>
        <w:t>the period for the controller or processor to appeal against the penalty, and</w:t>
        <w:br/>
        <w:t>any variation of it, has ended.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260"/>
        <w:ind w:left="1220" w:right="0" w:firstLine="0"/>
        <w:jc w:val="left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2240" w:h="18720"/>
          <w:pgMar w:top="2432" w:right="974" w:bottom="1656" w:left="1208" w:header="2004" w:footer="3" w:gutter="0"/>
          <w:cols w:space="720"/>
          <w:noEndnote/>
          <w:rtlGutter w:val="0"/>
          <w:docGrid w:linePitch="360"/>
        </w:sectPr>
      </w:pPr>
      <w:r>
        <w:rPr>
          <w:rStyle w:val="CharStyle14"/>
        </w:rPr>
        <w:t>A penalty is recoverable if the court so orders in accordance with proceedings taken</w:t>
        <w:br/>
        <w:t>under regulation 117, as if it were payable under an order of that court.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800100" distL="0" distR="0" simplePos="0" relativeHeight="125829382" behindDoc="0" locked="0" layoutInCell="1" allowOverlap="1">
                <wp:simplePos x="0" y="0"/>
                <wp:positionH relativeFrom="page">
                  <wp:posOffset>6348095</wp:posOffset>
                </wp:positionH>
                <wp:positionV relativeFrom="paragraph">
                  <wp:posOffset>0</wp:posOffset>
                </wp:positionV>
                <wp:extent cx="523240" cy="198755"/>
                <wp:wrapTopAndBottom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23240" cy="1987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3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14"/>
                                <w:b/>
                                <w:bCs/>
                              </w:rPr>
                              <w:t>ANNEX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499.85000000000002pt;margin-top:0;width:41.200000000000003pt;height:15.65pt;z-index:-125829371;mso-wrap-distance-left:0;mso-wrap-distance-right:0;mso-wrap-distance-bottom:63.pt;mso-position-horizontal-relative:page" filled="f" stroked="f">
                <v:textbox inset="0,0,0,0">
                  <w:txbxContent>
                    <w:p>
                      <w:pPr>
                        <w:pStyle w:val="Style13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4"/>
                          <w:b/>
                          <w:bCs/>
                        </w:rPr>
                        <w:t>ANNEX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4540" w:right="0" w:firstLine="0"/>
        <w:jc w:val="left"/>
      </w:pPr>
      <w:r>
        <w:rPr>
          <w:rStyle w:val="CharStyle14"/>
          <w:b/>
          <w:bCs/>
        </w:rPr>
        <w:t>Notice of Intent</w:t>
      </w:r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center"/>
      </w:pPr>
      <w:bookmarkStart w:id="22" w:name="bookmark22"/>
      <w:r>
        <w:rPr>
          <w:rStyle w:val="CharStyle24"/>
          <w:b/>
          <w:bCs/>
        </w:rPr>
        <w:t>04 November 2020</w:t>
      </w:r>
      <w:bookmarkEnd w:id="22"/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4540" w:right="0" w:firstLine="0"/>
        <w:jc w:val="left"/>
      </w:pPr>
      <w:r>
        <w:rPr>
          <w:rStyle w:val="CharStyle14"/>
        </w:rPr>
        <w:t>(7 (seven) pages)</w:t>
      </w:r>
    </w:p>
    <w:sectPr>
      <w:footnotePr>
        <w:pos w:val="pageBottom"/>
        <w:numFmt w:val="decimal"/>
        <w:numRestart w:val="continuous"/>
      </w:footnotePr>
      <w:pgSz w:w="12240" w:h="18720"/>
      <w:pgMar w:top="2473" w:right="969" w:bottom="2473" w:left="1213" w:header="2045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1087120</wp:posOffset>
              </wp:positionH>
              <wp:positionV relativeFrom="page">
                <wp:posOffset>10899140</wp:posOffset>
              </wp:positionV>
              <wp:extent cx="5708015" cy="107315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08015" cy="1073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9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4878" w:val="right"/>
                              <w:tab w:pos="8989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Style w:val="CharStyle20"/>
                              <w:rFonts w:ascii="Segoe UI" w:eastAsia="Segoe UI" w:hAnsi="Segoe UI" w:cs="Segoe UI"/>
                              <w:sz w:val="15"/>
                              <w:szCs w:val="15"/>
                            </w:rPr>
                            <w:t>Cosmetic Medical Limited</w:t>
                            <w:tab/>
                            <w:t>PN 2020/02</w:t>
                            <w:tab/>
                            <w:t xml:space="preserve">Page </w:t>
                          </w:r>
                          <w:fldSimple w:instr=" PAGE \* MERGEFORMAT ">
                            <w:r>
                              <w:rPr>
                                <w:rStyle w:val="CharStyle20"/>
                                <w:rFonts w:ascii="Segoe UI" w:eastAsia="Segoe UI" w:hAnsi="Segoe UI" w:cs="Segoe UI"/>
                                <w:b/>
                                <w:bCs/>
                                <w:sz w:val="15"/>
                                <w:szCs w:val="15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20"/>
                              <w:rFonts w:ascii="Segoe UI" w:eastAsia="Segoe UI" w:hAnsi="Segoe UI" w:cs="Segoe UI"/>
                              <w:b/>
                              <w:bCs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Style w:val="CharStyle20"/>
                              <w:rFonts w:ascii="Segoe UI" w:eastAsia="Segoe UI" w:hAnsi="Segoe UI" w:cs="Segoe UI"/>
                              <w:sz w:val="15"/>
                              <w:szCs w:val="15"/>
                            </w:rPr>
                            <w:t xml:space="preserve">of </w:t>
                          </w:r>
                          <w:r>
                            <w:rPr>
                              <w:rStyle w:val="CharStyle20"/>
                              <w:rFonts w:ascii="Segoe UI" w:eastAsia="Segoe UI" w:hAnsi="Segoe UI" w:cs="Segoe UI"/>
                              <w:b/>
                              <w:bCs/>
                              <w:sz w:val="15"/>
                              <w:szCs w:val="15"/>
                            </w:rPr>
                            <w:t>9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85.600000000000009pt;margin-top:858.20000000000005pt;width:449.44999999999999pt;height:8.4499999999999993pt;z-index:-1887440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9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4878" w:val="right"/>
                        <w:tab w:pos="8989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rStyle w:val="CharStyle20"/>
                        <w:rFonts w:ascii="Segoe UI" w:eastAsia="Segoe UI" w:hAnsi="Segoe UI" w:cs="Segoe UI"/>
                        <w:sz w:val="15"/>
                        <w:szCs w:val="15"/>
                      </w:rPr>
                      <w:t>Cosmetic Medical Limited</w:t>
                      <w:tab/>
                      <w:t>PN 2020/02</w:t>
                      <w:tab/>
                      <w:t xml:space="preserve">Page </w:t>
                    </w:r>
                    <w:fldSimple w:instr=" PAGE \* MERGEFORMAT ">
                      <w:r>
                        <w:rPr>
                          <w:rStyle w:val="CharStyle20"/>
                          <w:rFonts w:ascii="Segoe UI" w:eastAsia="Segoe UI" w:hAnsi="Segoe UI" w:cs="Segoe UI"/>
                          <w:b/>
                          <w:bCs/>
                          <w:sz w:val="15"/>
                          <w:szCs w:val="15"/>
                        </w:rPr>
                        <w:t>#</w:t>
                      </w:r>
                    </w:fldSimple>
                    <w:r>
                      <w:rPr>
                        <w:rStyle w:val="CharStyle20"/>
                        <w:rFonts w:ascii="Segoe UI" w:eastAsia="Segoe UI" w:hAnsi="Segoe UI" w:cs="Segoe UI"/>
                        <w:b/>
                        <w:bCs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Style w:val="CharStyle20"/>
                        <w:rFonts w:ascii="Segoe UI" w:eastAsia="Segoe UI" w:hAnsi="Segoe UI" w:cs="Segoe UI"/>
                        <w:sz w:val="15"/>
                        <w:szCs w:val="15"/>
                      </w:rPr>
                      <w:t xml:space="preserve">of </w:t>
                    </w:r>
                    <w:r>
                      <w:rPr>
                        <w:rStyle w:val="CharStyle20"/>
                        <w:rFonts w:ascii="Segoe UI" w:eastAsia="Segoe UI" w:hAnsi="Segoe UI" w:cs="Segoe UI"/>
                        <w:b/>
                        <w:bCs/>
                        <w:sz w:val="15"/>
                        <w:szCs w:val="15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lowerLetter"/>
      <w:lvlText w:val="%1.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"/>
      <w:numFmt w:val="lowerLetter"/>
      <w:lvlText w:val="(%1)"/>
      <w:rPr>
        <w:rFonts w:ascii="Segoe UI" w:eastAsia="Segoe UI" w:hAnsi="Segoe UI" w:cs="Segoe U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9"/>
      <w:numFmt w:val="lowerLetter"/>
      <w:lvlText w:val="(%1)"/>
      <w:rPr>
        <w:rFonts w:ascii="Segoe UI" w:eastAsia="Segoe UI" w:hAnsi="Segoe UI" w:cs="Segoe UI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"/>
      <w:numFmt w:val="lowerLetter"/>
      <w:lvlText w:val="(%1)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4"/>
      <w:numFmt w:val="lowerLetter"/>
      <w:lvlText w:val="(%1)"/>
      <w:rPr>
        <w:rFonts w:ascii="Segoe UI" w:eastAsia="Segoe UI" w:hAnsi="Segoe UI" w:cs="Segoe U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JhengHei Light" w:eastAsia="Microsoft JhengHei Light" w:hAnsi="Microsoft JhengHei Light" w:cs="Microsoft JhengHei Light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Microsoft JhengHei Light" w:eastAsia="Microsoft JhengHei Light" w:hAnsi="Microsoft JhengHei Light" w:cs="Microsoft JhengHei Light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Body text (3)_"/>
    <w:basedOn w:val="DefaultParagraphFont"/>
    <w:link w:val="Style2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CharStyle6">
    <w:name w:val="Heading #1_"/>
    <w:basedOn w:val="DefaultParagraphFont"/>
    <w:link w:val="Style5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60"/>
      <w:szCs w:val="60"/>
      <w:u w:val="none"/>
    </w:rPr>
  </w:style>
  <w:style w:type="character" w:customStyle="1" w:styleId="CharStyle9">
    <w:name w:val="Heading #2_"/>
    <w:basedOn w:val="DefaultParagraphFont"/>
    <w:link w:val="Style8"/>
    <w:rPr>
      <w:rFonts w:ascii="Segoe UI" w:eastAsia="Segoe UI" w:hAnsi="Segoe UI" w:cs="Segoe UI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CharStyle11">
    <w:name w:val="Other_"/>
    <w:basedOn w:val="DefaultParagraphFont"/>
    <w:link w:val="Style10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4">
    <w:name w:val="Body text_"/>
    <w:basedOn w:val="DefaultParagraphFont"/>
    <w:link w:val="Style13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8">
    <w:name w:val="Body text (2)_"/>
    <w:basedOn w:val="DefaultParagraphFont"/>
    <w:link w:val="Style17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CharStyle20">
    <w:name w:val="Header or footer (2)_"/>
    <w:basedOn w:val="DefaultParagraphFont"/>
    <w:link w:val="Style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4">
    <w:name w:val="Heading #3_"/>
    <w:basedOn w:val="DefaultParagraphFont"/>
    <w:link w:val="Style23"/>
    <w:rPr>
      <w:rFonts w:ascii="Segoe UI" w:eastAsia="Segoe UI" w:hAnsi="Segoe UI" w:cs="Segoe UI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Style2">
    <w:name w:val="Body text (3)"/>
    <w:basedOn w:val="Normal"/>
    <w:link w:val="CharStyle3"/>
    <w:pPr>
      <w:widowControl w:val="0"/>
      <w:shd w:val="clear" w:color="auto" w:fill="auto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Style5">
    <w:name w:val="Heading #1"/>
    <w:basedOn w:val="Normal"/>
    <w:link w:val="CharStyle6"/>
    <w:pPr>
      <w:widowControl w:val="0"/>
      <w:shd w:val="clear" w:color="auto" w:fill="auto"/>
      <w:spacing w:after="80" w:line="209" w:lineRule="auto"/>
      <w:jc w:val="center"/>
      <w:outlineLvl w:val="0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60"/>
      <w:szCs w:val="60"/>
      <w:u w:val="none"/>
    </w:rPr>
  </w:style>
  <w:style w:type="paragraph" w:customStyle="1" w:styleId="Style8">
    <w:name w:val="Heading #2"/>
    <w:basedOn w:val="Normal"/>
    <w:link w:val="CharStyle9"/>
    <w:pPr>
      <w:widowControl w:val="0"/>
      <w:shd w:val="clear" w:color="auto" w:fill="auto"/>
      <w:spacing w:after="180"/>
      <w:jc w:val="center"/>
      <w:outlineLvl w:val="1"/>
    </w:pPr>
    <w:rPr>
      <w:rFonts w:ascii="Segoe UI" w:eastAsia="Segoe UI" w:hAnsi="Segoe UI" w:cs="Segoe UI"/>
      <w:b w:val="0"/>
      <w:bCs w:val="0"/>
      <w:i/>
      <w:iCs/>
      <w:smallCaps w:val="0"/>
      <w:strike w:val="0"/>
      <w:sz w:val="26"/>
      <w:szCs w:val="26"/>
      <w:u w:val="none"/>
    </w:rPr>
  </w:style>
  <w:style w:type="paragraph" w:customStyle="1" w:styleId="Style10">
    <w:name w:val="Other"/>
    <w:basedOn w:val="Normal"/>
    <w:link w:val="CharStyle11"/>
    <w:pPr>
      <w:widowControl w:val="0"/>
      <w:shd w:val="clear" w:color="auto" w:fill="auto"/>
      <w:spacing w:after="320" w:line="276" w:lineRule="auto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styleId="Style13">
    <w:name w:val="Body text"/>
    <w:basedOn w:val="Normal"/>
    <w:link w:val="CharStyle14"/>
    <w:qFormat/>
    <w:pPr>
      <w:widowControl w:val="0"/>
      <w:shd w:val="clear" w:color="auto" w:fill="auto"/>
      <w:spacing w:after="320" w:line="276" w:lineRule="auto"/>
    </w:pPr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17">
    <w:name w:val="Body text (2)"/>
    <w:basedOn w:val="Normal"/>
    <w:link w:val="CharStyle18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19">
    <w:name w:val="Header or footer (2)"/>
    <w:basedOn w:val="Normal"/>
    <w:link w:val="CharStyle20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3">
    <w:name w:val="Heading #3"/>
    <w:basedOn w:val="Normal"/>
    <w:link w:val="CharStyle24"/>
    <w:pPr>
      <w:widowControl w:val="0"/>
      <w:shd w:val="clear" w:color="auto" w:fill="auto"/>
      <w:spacing w:after="200" w:line="276" w:lineRule="auto"/>
      <w:ind w:firstLine="480"/>
      <w:outlineLvl w:val="2"/>
    </w:pPr>
    <w:rPr>
      <w:rFonts w:ascii="Segoe UI" w:eastAsia="Segoe UI" w:hAnsi="Segoe UI" w:cs="Segoe UI"/>
      <w:b/>
      <w:bCs/>
      <w:i w:val="0"/>
      <w:iCs w:val="0"/>
      <w:smallCaps w:val="0"/>
      <w:strike w:val="0"/>
      <w:sz w:val="22"/>
      <w:szCs w:val="2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Penalty Notice Cosmetic Medical Ltd 11 Dec 2020</dc:title>
  <dc:subject/>
  <dc:creator>IOM Information Commissioner</dc:creator>
  <cp:keywords/>
</cp:coreProperties>
</file>