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b/>
          <w:color w:val="102C57"/>
          <w:sz w:val="32"/>
        </w:rPr>
        <w:t>CHƯƠNG 1. TỔNG QUAN ĐỀ TÀI VÀ NỀN TẢNG CÔNG NGHỆ</w:t>
      </w:r>
    </w:p>
    <w:p>
      <w:pPr>
        <w:spacing w:before="280" w:after="120"/>
        <w:jc w:val="left"/>
      </w:pPr>
      <w:r>
        <w:rPr>
          <w:rFonts w:ascii="Times New Roman" w:hAnsi="Times New Roman"/>
          <w:b/>
          <w:color w:val="102C57"/>
          <w:sz w:val="28"/>
        </w:rPr>
        <w:t>1.1. TỔNG QUAN VỀ ĐỀ TÀI</w:t>
      </w:r>
    </w:p>
    <w:p>
      <w:pPr>
        <w:spacing w:before="200" w:after="80"/>
        <w:jc w:val="left"/>
      </w:pPr>
      <w:r>
        <w:rPr>
          <w:rFonts w:ascii="Times New Roman" w:hAnsi="Times New Roman"/>
          <w:b/>
          <w:color w:val="000000"/>
          <w:sz w:val="26"/>
        </w:rPr>
        <w:t>1.1.1. Khái quát về lĩnh vực quản trị nhân sự doanh nghiệp (HRM)</w:t>
      </w:r>
    </w:p>
    <w:p>
      <w:pPr>
        <w:spacing w:before="60" w:after="60" w:line="288" w:lineRule="auto"/>
        <w:jc w:val="both"/>
      </w:pPr>
      <w:r>
        <w:rPr>
          <w:rFonts w:ascii="Times New Roman" w:hAnsi="Times New Roman"/>
          <w:sz w:val="26"/>
        </w:rPr>
        <w:t xml:space="preserve">Quản trị nguồn nhân lực (Human Resource Management, viết tắt là HRM) bao gồm các chính sách, quy trình và hoạt động nhằm thu hút, đào tạo, đãi ngộ và duy trì đội ngũ lao động, phục vụ cho mục tiêu vận hành và phát triển của tổ chức </w:t>
      </w:r>
      <w:r>
        <w:rPr>
          <w:rFonts w:ascii="Times New Roman" w:hAnsi="Times New Roman"/>
          <w:sz w:val="26"/>
        </w:rPr>
        <w:t>[1]</w:t>
      </w:r>
      <w:r>
        <w:rPr>
          <w:rFonts w:ascii="Times New Roman" w:hAnsi="Times New Roman"/>
          <w:sz w:val="26"/>
        </w:rPr>
        <w:t>. Trong các doanh nghiệp hiện đại, HRM vừa đảm nhiệm các công việc hành chính như lưu trữ hồ sơ, ghi nhận ngày công hay phát phiếu lương, vừa tham gia xây dựng cơ chế quản trị và bảo toàn nguồn lực con người cho tổ chức.</w:t>
      </w:r>
    </w:p>
    <w:p>
      <w:pPr>
        <w:spacing w:before="60" w:after="60" w:line="288" w:lineRule="auto"/>
        <w:jc w:val="both"/>
      </w:pPr>
      <w:r>
        <w:rPr>
          <w:rFonts w:ascii="Times New Roman" w:hAnsi="Times New Roman"/>
          <w:sz w:val="26"/>
        </w:rPr>
        <w:t>Cấu trúc tổng thể của một hệ thống quản trị nhân sự tiêu chuẩn vận hành dựa trên bốn phân hệ chức năng cốt lõi có mối liên kết hữu cơ mật thiết với nhau: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Hồ sơ và Cơ cấu Tổ chức (Core HR): Thiết lập sơ đồ phòng ban hai cấp, phân cấp chức danh, lưu trữ thông tin nhân sự và quản lý vòng đời hợp đồng lao động theo quy định pháp luật.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Thời gian và Ngày công (Time &amp; Attendance): Ghi nhận thời điểm vào/ra qua Kiosk FaceID và GPS, theo dõi đi muộn, về sớm, làm thêm giờ (OT) và kiểm soát chu trình duyệt đơn từ trực tuyến.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trị Tiền lương và Phúc lợi (Compensation &amp; Benefits - C&amp;B): Tổng hợp dữ liệu ngày công, tự động tính toán lương Net, bảo hiểm xã hội bắt buộc và thuế thu nhập cá nhân theo biểu lũy tiến cập nhật.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Đánh giá và Duy trì Nhân sự (Talent Retention): Đánh giá các biến động công việc, đưa ra cảnh báo sớm về nguy cơ thôi việc bằng học máy để tổ chức chủ động xây dựng chính sách đãi ngộ kịp thời.</w:t>
      </w:r>
    </w:p>
    <w:p>
      <w:pPr>
        <w:spacing w:before="160" w:after="40"/>
        <w:jc w:val="center"/>
      </w:pPr>
      <w:r>
        <w:drawing>
          <wp:inline xmlns:a="http://schemas.openxmlformats.org/drawingml/2006/main" xmlns:pic="http://schemas.openxmlformats.org/drawingml/2006/picture">
            <wp:extent cx="5303520" cy="3023937"/>
            <wp:docPr id="1" name="Picture 1"/>
            <wp:cNvGraphicFramePr>
              <a:graphicFrameLocks noChangeAspect="1"/>
            </wp:cNvGraphicFramePr>
            <a:graphic>
              <a:graphicData uri="http://schemas.openxmlformats.org/drawingml/2006/picture">
                <pic:pic>
                  <pic:nvPicPr>
                    <pic:cNvPr id="0" name="hinh1_0_hrm_core_modules.png"/>
                    <pic:cNvPicPr/>
                  </pic:nvPicPr>
                  <pic:blipFill>
                    <a:blip r:embed="rId10"/>
                    <a:stretch>
                      <a:fillRect/>
                    </a:stretch>
                  </pic:blipFill>
                  <pic:spPr>
                    <a:xfrm>
                      <a:off x="0" y="0"/>
                      <a:ext cx="5303520" cy="3023937"/>
                    </a:xfrm>
                    <a:prstGeom prst="rect"/>
                  </pic:spPr>
                </pic:pic>
              </a:graphicData>
            </a:graphic>
          </wp:inline>
        </w:drawing>
      </w:r>
    </w:p>
    <w:p>
      <w:pPr>
        <w:spacing w:before="40" w:after="200"/>
        <w:jc w:val="center"/>
      </w:pPr>
      <w:r>
        <w:rPr>
          <w:rFonts w:ascii="Times New Roman" w:hAnsi="Times New Roman"/>
          <w:i/>
          <w:color w:val="3C3C3C"/>
          <w:sz w:val="22"/>
        </w:rPr>
        <w:t>Hình 1.1. Kiến trúc bốn phân hệ chức năng cốt lõi và chu trình dòng chảy dữ liệu trong hệ thống Quản trị nguồn nhân lực doanh nghiệp (HRM).</w:t>
      </w:r>
    </w:p>
    <w:p>
      <w:pPr>
        <w:spacing w:before="60" w:after="60" w:line="288" w:lineRule="auto"/>
        <w:jc w:val="both"/>
      </w:pPr>
      <w:r>
        <w:rPr>
          <w:rFonts w:ascii="Times New Roman" w:hAnsi="Times New Roman"/>
          <w:sz w:val="26"/>
        </w:rPr>
        <w:t xml:space="preserve">Tại các doanh nghiệp có quy mô từ vài chục đến hàng trăm nhân viên, dữ liệu giữa bốn phân hệ chức năng trên đòi hỏi tính đồng bộ cao. Bất kỳ sự sai lệch nào từ khâu ghi nhận thời gian làm việc cũng sẽ kéo theo sai sót trong khâu tính lương, phát sinh khiếu nại nội bộ hoặc tranh chấp lao động </w:t>
      </w:r>
      <w:hyperlink r:id="rId11">
        <w:r>
          <w:rPr>
            <w:rFonts w:ascii="Times New Roman" w:hAnsi="Times New Roman"/>
            <w:sz w:val="26"/>
            <w:color w:val="0563C1"/>
            <w:u w:val="single"/>
            <w:noProof/>
          </w:rPr>
          <w:t>[3]</w:t>
        </w:r>
      </w:hyperlink>
      <w:r>
        <w:rPr>
          <w:rFonts w:ascii="Times New Roman" w:hAnsi="Times New Roman"/>
          <w:sz w:val="26"/>
        </w:rPr>
        <w:t>. Do đó, việc xây dựng một hệ thống phần mềm quản trị tích hợp có tính tự động hóa cao, vận hành minh bạch và tuân thủ các quy định pháp luật hiện hành là nhu cầu thiết thực của các doanh nghiệp.</w:t>
      </w:r>
    </w:p>
    <w:p>
      <w:pPr>
        <w:spacing w:before="200" w:after="80"/>
        <w:jc w:val="left"/>
      </w:pPr>
      <w:r>
        <w:rPr>
          <w:rFonts w:ascii="Times New Roman" w:hAnsi="Times New Roman"/>
          <w:b/>
          <w:color w:val="000000"/>
          <w:sz w:val="26"/>
        </w:rPr>
        <w:t>1.1.2. Mô hình hoạt động truyền thống trong quản lý nhân sự</w:t>
      </w:r>
    </w:p>
    <w:p>
      <w:pPr>
        <w:spacing w:before="60" w:after="60" w:line="288" w:lineRule="auto"/>
        <w:jc w:val="both"/>
      </w:pPr>
      <w:r>
        <w:rPr>
          <w:rFonts w:ascii="Times New Roman" w:hAnsi="Times New Roman"/>
          <w:sz w:val="26"/>
        </w:rPr>
        <w:t>Phần lớn các doanh nghiệp vừa và nhỏ (SMEs) tại Việt Nam hiện nay vẫn duy trì phương thức quản lý nhân sự phân mảnh. Mô hình này thường dựa vào các công cụ bán tự động rời rạc: máy chấm công vân tay hoặc thẻ từ tại cửa ra vào, hồ sơ nhân sự lưu rải rác trong các tệp văn bản, quy trình nộp đơn nghỉ phép qua giấy tờ hoặc các ứng dụng nhắn tin tức thời (Zalo, Skype), và bảng lương được tổng hợp thủ công trên bảng tính Microsoft Excel.</w:t>
      </w:r>
    </w:p>
    <w:p>
      <w:pPr>
        <w:spacing w:before="160" w:after="40"/>
        <w:jc w:val="center"/>
      </w:pPr>
      <w:r>
        <w:drawing>
          <wp:inline xmlns:a="http://schemas.openxmlformats.org/drawingml/2006/main" xmlns:pic="http://schemas.openxmlformats.org/drawingml/2006/picture">
            <wp:extent cx="5303520" cy="3766659"/>
            <wp:docPr id="2" name="Picture 2"/>
            <wp:cNvGraphicFramePr>
              <a:graphicFrameLocks noChangeAspect="1"/>
            </wp:cNvGraphicFramePr>
            <a:graphic>
              <a:graphicData uri="http://schemas.openxmlformats.org/drawingml/2006/picture">
                <pic:pic>
                  <pic:nvPicPr>
                    <pic:cNvPr id="0" name="hinh1_1_mo_hinh_truyen_thong.png"/>
                    <pic:cNvPicPr/>
                  </pic:nvPicPr>
                  <pic:blipFill>
                    <a:blip r:embed="rId12"/>
                    <a:stretch>
                      <a:fillRect/>
                    </a:stretch>
                  </pic:blipFill>
                  <pic:spPr>
                    <a:xfrm>
                      <a:off x="0" y="0"/>
                      <a:ext cx="5303520" cy="3766659"/>
                    </a:xfrm>
                    <a:prstGeom prst="rect"/>
                  </pic:spPr>
                </pic:pic>
              </a:graphicData>
            </a:graphic>
          </wp:inline>
        </w:drawing>
      </w:r>
    </w:p>
    <w:p>
      <w:pPr>
        <w:spacing w:before="40" w:after="200"/>
        <w:jc w:val="center"/>
      </w:pPr>
      <w:r>
        <w:rPr>
          <w:rFonts w:ascii="Times New Roman" w:hAnsi="Times New Roman"/>
          <w:i/>
          <w:color w:val="3C3C3C"/>
          <w:sz w:val="22"/>
        </w:rPr>
        <w:t>Hình 1.2. Sơ đồ mô hình hoạt động phân mảnh truyền thống trong quản trị nhân sự và các điểm nghẽn rủi ro tại doanh nghiệp.</w:t>
      </w:r>
    </w:p>
    <w:p>
      <w:pPr>
        <w:spacing w:before="60" w:after="60" w:line="288" w:lineRule="auto"/>
        <w:jc w:val="both"/>
      </w:pPr>
      <w:r>
        <w:rPr>
          <w:rFonts w:ascii="Times New Roman" w:hAnsi="Times New Roman"/>
          <w:sz w:val="26"/>
        </w:rPr>
        <w:t>Qua khảo sát thực tế và phân tích quy trình nghiệp vụ, mô hình quản lý truyền thống bộc lộ bốn điểm nghẽn lớn:</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Hạn chế trong công tác ghi nhận ngày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Tình trạng chấm công hộ: Chấm công bằng thẻ từ RFID cho phép nhân viên chuyển giao thẻ cho nhau để điểm danh hộ, gây thất thoát thời gian lao động và tạo ra sự thiếu công bằng trong nội bộ tổ chức.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Hạn chế của cảm biến vân tay quang học: Đầu đọc vân tay thường gặp lỗi khi gặp người lao động có vân tay mờ, tay dính nước, dầu mỡ hoặc bụi bẩn. Việc tiếp xúc trực tiếp giữa hàng trăm người vào khung giờ đầu ca làm việc dễ gây ùn tắc và tiềm ẩn nguy cơ mất vệ sinh dịch tễ.</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bị cô lập: Dữ liệu từ các đầu đọc máy chấm công vật lý thường lưu trữ cục bộ tại thiết bị. Cuối kỳ công, cán bộ phụ trách phúc lợi phải đến từng máy tải dữ liệu qua USB hoặc kết nối mạng nội bộ để trích xuất dữ liệu, sau đó mất nhiều ngày lọc dữ liệu quét trùng và xử lý các trường hợp quên quẹt thẻ.</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Lỗ hổng của giải pháp nhận diện khuôn mặt 2D thông thường: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Để chuyển sang phương thức không tiếp xúc, nhiều doanh nghiệp đã lắp đặt máy chấm công khuôn mặt giá rẻ. Phần lớn các thiết bị này chỉ chụp ảnh bề mặt và so sánh độ tương đồng hình ảnh tĩnh mà không có cơ chế kiểm tra thực thể sống (Liveness Detection).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Lỗ hổng này tạo điều kiện cho các hành vi gian lận theo chuẩn ISO/IEC 30107-3: người dùng có thể sử dụng ảnh in chân dung khổ A4 hoặc mở video quay khuôn mặt của đồng nghiệp trên điện thoại đặt trước ống kính là có thể điểm danh thành công.</w:t>
      </w:r>
    </w:p>
    <w:p>
      <w:pPr>
        <w:spacing w:before="160" w:after="40"/>
        <w:jc w:val="center"/>
      </w:pPr>
      <w:r>
        <w:drawing>
          <wp:inline xmlns:a="http://schemas.openxmlformats.org/drawingml/2006/main" xmlns:pic="http://schemas.openxmlformats.org/drawingml/2006/picture">
            <wp:extent cx="5303520" cy="2868350"/>
            <wp:docPr id="3" name="Picture 3"/>
            <wp:cNvGraphicFramePr>
              <a:graphicFrameLocks noChangeAspect="1"/>
            </wp:cNvGraphicFramePr>
            <a:graphic>
              <a:graphicData uri="http://schemas.openxmlformats.org/drawingml/2006/picture">
                <pic:pic>
                  <pic:nvPicPr>
                    <pic:cNvPr id="0" name="hinh1_2_tan_cong_gia_mao_2d.png"/>
                    <pic:cNvPicPr/>
                  </pic:nvPicPr>
                  <pic:blipFill>
                    <a:blip r:embed="rId13"/>
                    <a:stretch>
                      <a:fillRect/>
                    </a:stretch>
                  </pic:blipFill>
                  <pic:spPr>
                    <a:xfrm>
                      <a:off x="0" y="0"/>
                      <a:ext cx="5303520" cy="2868350"/>
                    </a:xfrm>
                    <a:prstGeom prst="rect"/>
                  </pic:spPr>
                </pic:pic>
              </a:graphicData>
            </a:graphic>
          </wp:inline>
        </w:drawing>
      </w:r>
    </w:p>
    <w:p>
      <w:pPr>
        <w:spacing w:before="40" w:after="200"/>
        <w:jc w:val="center"/>
      </w:pPr>
      <w:r>
        <w:rPr>
          <w:rFonts w:ascii="Times New Roman" w:hAnsi="Times New Roman"/>
          <w:i/>
          <w:color w:val="3C3C3C"/>
          <w:sz w:val="22"/>
        </w:rPr>
        <w:t>Hình 1.3. Kịch bản tấn công giả mạo 2D đối với máy chấm công khuôn mặt thiếu cơ chế kiểm tra độ sống.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Nguy cơ sai lệch tài chính trước các thay đổi pháp luật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Năm 2026 ghi nhận các điều chỉnh quan trọng trong hệ thống pháp luật lao động, bảo hiểm và thuế tại Việt Nam gồm Luật Thuế Thu nhập cá nhân mới, Luật Bảo hiểm xã hội 2024, Nghị định 253/2026/NĐ-CP, Nghị định 161/2026/NĐ-CP, Nghị định 145/2020/NĐ-CP và Nghị quyết 110/2025/UBTVQH15 [3, 5, 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Biểu thuế TNCN lũy tiến áp dụng biểu 5 bậc mới với các ngưỡng thu nhập tính thuế gồm: Đến 10 triệu đồng: 5%; từ 10 đến 30 triệu đồng: 10%; từ 30 đến 60 triệu đồng: 20%; từ 60 đến 100 triệu đồng: 30%; trên 100 triệu đồng: 35%. Mức giảm trừ gia cảnh được điều chỉnh lên 15.500.000 đồng/tháng đối với bản thân người nộp thuế và 6.200.000 đồng/tháng đối với mỗi người phụ thuộc theo Nghị quyết 110/2025/UBTVQH15 </w:t>
      </w:r>
      <w:hyperlink r:id="rId14">
        <w:r>
          <w:rPr>
            <w:rFonts w:ascii="Times New Roman" w:hAnsi="Times New Roman"/>
            <w:sz w:val="26"/>
            <w:color w:val="0563C1"/>
            <w:u w:val="single"/>
            <w:noProof/>
          </w:rPr>
          <w:t>[6]</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Trong năm tài chính 2026 xuất hiện hai mốc chính sách chuyển tiếp cần tách biệt rõ ràng theo thời điểm phát sinh:</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Giai đoạn 1 (từ 01/01/2026 đến hết 30/06/2026): Mức lương cơ sở làm căn cứ đóng BHXH/BHYT tối đa là 46.800.000 đồng/tháng (tương đương 20 lần mức 2,34 triệu đồng); trần tiền ăn ca miễn thuế TNCN là 730.000 đồng/tháng.</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Giai đoạn 2 (từ 01/07/2026 trở đi): Trần đóng BHXH/BHYT điều chỉnh lên mức 50.600.000 đồng/tháng; trần tiền ăn ca miễn thuế nâng lên 1.200.000 đồng/tháng.</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 xml:space="preserve">Tiền lương làm thêm giờ (OT): Toàn bộ phần tiền lương làm thêm giờ hợp lệ theo quy định tại Điều 98 Bộ luật Lao động 2019 (nằm trong giới hạn không quá 4 giờ/ngày, 40 giờ/tháng, 200 giờ/năm) được miễn thuế TNCN </w:t>
      </w:r>
      <w:hyperlink r:id="rId11">
        <w:r>
          <w:rPr>
            <w:rFonts w:ascii="Times New Roman" w:hAnsi="Times New Roman"/>
            <w:sz w:val="26"/>
            <w:color w:val="0563C1"/>
            <w:u w:val="single"/>
            <w:noProof/>
          </w:rPr>
          <w:t>[3]</w:t>
        </w:r>
      </w:hyperlink>
      <w:r>
        <w:rPr>
          <w:rFonts w:ascii="Times New Roman" w:hAnsi="Times New Roman"/>
          <w:sz w:val="26"/>
        </w:rPr>
        <w:t>; chỉ phần thù lao ứng với số giờ vượt trần hoặc vượt hệ số luật định mới tính vào thu nhập chịu thuế.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Bảng tính Excel với nhiều cột công thức lồng nhau khó bảo đảm tính chính xác khi các tham số chính sách thay đổi giữa năm tài chính. Một sai lệch nhỏ trong công thức có thể dẫn đến việc tính sai lương trên diện rộng, làm phát sinh khiếu nại hoặc bị truy thu thuế.</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Yêu cầu tuân thủ Luật Bảo vệ Dữ liệu Cá nhân số 91/2025/QH15:</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Luật Bảo vệ Dữ liệu Cá nhân có hiệu lực từ ngày 01/01/2026 và Nghị định số 13/2023/NĐ-CP xếp dữ liệu sinh trắc học khuôn mặt và dữ liệu tài chính (lương, bảo hiểm) vào nhóm Dữ liệu cá nhân nhạy cảm, kèm theo mức phạt vi phạm hành chính có thể lên tới 5% tổng doanh thu của đơn vị vi phạm </w:t>
      </w:r>
      <w:hyperlink r:id="rId15">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Việc lưu trữ trực tiếp ảnh khuôn mặt thô của nhân viên trên máy chủ hoặc chia sẻ bảng lương qua các tệp tin không mã hóa tiềm ẩn nhiều rủi ro pháp lý. Ngoài ra, các phương pháp truyền thống cũng thiếu chức năng quản lý sự đồng ý của nhân viên và quy trình hủy bỏ dữ liệu sinh trắc học khi chấm dứt hợp đồng lao động.</w:t>
      </w:r>
    </w:p>
    <w:p>
      <w:pPr>
        <w:spacing w:before="200" w:after="80"/>
        <w:jc w:val="left"/>
      </w:pPr>
      <w:r>
        <w:rPr>
          <w:rFonts w:ascii="Times New Roman" w:hAnsi="Times New Roman"/>
          <w:b/>
          <w:color w:val="000000"/>
          <w:sz w:val="26"/>
        </w:rPr>
        <w:t>1.1.3. Xu hướng ứng dụng công nghệ và trí tuệ nhân tạo trong HRM</w:t>
      </w:r>
    </w:p>
    <w:p>
      <w:pPr>
        <w:spacing w:before="60" w:after="60" w:line="288" w:lineRule="auto"/>
        <w:jc w:val="both"/>
      </w:pPr>
      <w:r>
        <w:rPr>
          <w:rFonts w:ascii="Times New Roman" w:hAnsi="Times New Roman"/>
          <w:sz w:val="26"/>
        </w:rPr>
        <w:t>Để khắc phục những hạn chế trên, các giải pháp quản trị nhân sự hiện đại đang dần chuyển đổi từ các hệ thống cồng kềnh sang các nền tảng ứng dụng tinh gọn, kết hợp Trí tuệ nhân tạo và xử lý dữ liệu thời gian thực. Xu hướng này dựa trên ba hướng tiếp cận kỹ thuật chính:</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Chấm công sinh trắc học kết hợp kiểm tra độ sống tại biên (Edge Liveness Biometrics):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Thay vì đầu tư các thiết bị phần cứng cảm biến chuyên dụng đắt tiền, các giải pháp mới ứng dụng công nghệ Thị giác máy tính (Computer Vision) kết hợp WebAssembly để xử lý luồng video trực tiếp từ camera thông thường trên trình duyệt web tại thiết bị Kiosk </w:t>
      </w:r>
      <w:hyperlink r:id="rId16">
        <w:r>
          <w:rPr>
            <w:rFonts w:ascii="Times New Roman" w:hAnsi="Times New Roman"/>
            <w:sz w:val="26"/>
            <w:color w:val="0563C1"/>
            <w:u w:val="single"/>
            <w:noProof/>
          </w:rPr>
          <w:t>[8]</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Bằng cách phân tích các chỉ số chuyển động theo chuỗi thời gian như tỷ lệ co mở mí mắt (EAR), cử động môi (MAR) và sự thay đổi góc quay đầu (Yaw/Pitch/Roll) theo thử thách ngẫu nhiên từ máy chủ, hệ thống có thể phân biệt giữa người thật đang có mặt với các phương tiện giả mạo 2D như ảnh in hay video phát lại.</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Trợ lý ảo nhân sự ứng dụng mô hình ngôn ngữ lớn có cơ chế bảo vệ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Các mô hình ngôn ngữ lớn (LLM) mang lại khả năng trao đổi ngôn ngữ tự nhiên thuận tiện cho nhân viên khi tra cứu số dư phép năm, phiếu lương hoặc nội quy làm việc </w:t>
      </w:r>
      <w:hyperlink r:id="rId17">
        <w:r>
          <w:rPr>
            <w:rFonts w:ascii="Times New Roman" w:hAnsi="Times New Roman"/>
            <w:sz w:val="26"/>
            <w:color w:val="0563C1"/>
            <w:u w:val="single"/>
            <w:noProof/>
          </w:rPr>
          <w:t>[9]</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Để tránh rủi ro mô hình tự sinh số liệu không chính xác và bảo vệ thông tin nội bộ, hệ thống áp dụng cơ chế gọi hàm (Function Calling) với cấu hình ép buộc gọi tool (`mode: 'ANY'`) </w:t>
      </w:r>
      <w:hyperlink r:id="rId17">
        <w:r>
          <w:rPr>
            <w:rFonts w:ascii="Times New Roman" w:hAnsi="Times New Roman"/>
            <w:sz w:val="26"/>
            <w:color w:val="0563C1"/>
            <w:u w:val="single"/>
            <w:noProof/>
          </w:rPr>
          <w:t>[9]</w:t>
        </w:r>
      </w:hyperlink>
      <w:r>
        <w:rPr>
          <w:rFonts w:ascii="Times New Roman" w:hAnsi="Times New Roman"/>
          <w:sz w:val="26"/>
        </w:rPr>
        <w:t xml:space="preserve">. Mô hình chỉ đóng vai trò phân tích yêu cầu của người dùng để trích xuất tên hàm và tham số. Sau đó, máy chủ nội bộ tự truy vấn cơ sở dữ liệu và điền số liệu vào các mẫu biểu định sẵn, không gửi dữ liệu lương hay thông tin cá nhân ra các dịch vụ AI bên ngoài </w:t>
      </w:r>
      <w:hyperlink r:id="rId15">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Dự báo biến động nhân sự bằng mô hình học máy dựa trên biến định lượng: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Chi phí tìm kiếm và đào tạo nhân sự thay thế thường tương đương từ 1,5 đến 2 lần thu nhập năm của vị trí đó. Việc nhận diện sớm nguy cơ thôi việc giúp phòng nhân sự chủ động tìm hiểu nguyên nhân và có chính sách đãi ngộ phù hợp.</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Mô hình học máy được xây dựng dựa trên các biến số đo lường công việc thực tế (giờ làm thêm, thu nhập, thâm niên, khoảng cách di chuyển) từ tập dữ liệu chuẩn IBM HR Analytics Attrition </w:t>
      </w:r>
      <w:hyperlink r:id="rId18">
        <w:r>
          <w:rPr>
            <w:rFonts w:ascii="Times New Roman" w:hAnsi="Times New Roman"/>
            <w:sz w:val="26"/>
            <w:color w:val="0563C1"/>
            <w:u w:val="single"/>
            <w:noProof/>
          </w:rPr>
          <w:t>[11]</w:t>
        </w:r>
      </w:hyperlink>
      <w:r>
        <w:rPr>
          <w:rFonts w:ascii="Times New Roman" w:hAnsi="Times New Roman"/>
          <w:sz w:val="26"/>
        </w:rPr>
        <w:t>. Các thông tin cá nhân nhạy cảm như giới tính, tuổi tác hay tình trạng hôn nhân được loại bỏ hoàn toàn khỏi mô hình nhằm tuân thủ quy định chống phân biệt đối xử tại nơi làm việc của Điều 8 Bộ luật Lao động 2019 [3, 10].</w:t>
      </w:r>
    </w:p>
    <w:p>
      <w:pPr>
        <w:spacing w:before="280" w:after="120"/>
        <w:jc w:val="left"/>
      </w:pPr>
      <w:r>
        <w:rPr>
          <w:rFonts w:ascii="Times New Roman" w:hAnsi="Times New Roman"/>
          <w:b/>
          <w:color w:val="102C57"/>
          <w:sz w:val="28"/>
        </w:rPr>
        <w:t>1.2. NỀN TẢNG CÔNG NGHỆ</w:t>
      </w:r>
    </w:p>
    <w:p>
      <w:pPr>
        <w:spacing w:before="200" w:after="80"/>
        <w:jc w:val="left"/>
      </w:pPr>
      <w:r>
        <w:rPr>
          <w:rFonts w:ascii="Times New Roman" w:hAnsi="Times New Roman"/>
          <w:b/>
          <w:color w:val="000000"/>
          <w:sz w:val="26"/>
        </w:rPr>
        <w:t>1.2.1. Nền tảng phát triển giao diện ReactJS và TypeScript</w:t>
      </w:r>
    </w:p>
    <w:p>
      <w:pPr>
        <w:spacing w:before="160" w:after="40"/>
        <w:jc w:val="left"/>
      </w:pPr>
      <w:r>
        <w:rPr>
          <w:rFonts w:ascii="Times New Roman" w:hAnsi="Times New Roman"/>
          <w:b/>
          <w:i/>
          <w:color w:val="282828"/>
          <w:sz w:val="26"/>
        </w:rPr>
        <w:t>a. Thư viện ReactJS</w:t>
      </w:r>
    </w:p>
    <w:p>
      <w:pPr>
        <w:spacing w:before="60" w:after="60" w:line="288" w:lineRule="auto"/>
        <w:jc w:val="both"/>
      </w:pPr>
      <w:r>
        <w:rPr>
          <w:rFonts w:ascii="Times New Roman" w:hAnsi="Times New Roman"/>
          <w:sz w:val="26"/>
        </w:rPr>
        <w:t xml:space="preserve">ReactJS là một thư viện mã nguồn mở bằng JavaScript do Meta phát triển, dùng để xây dựng giao diện người dùng tương tác cho ứng dụng web </w:t>
      </w:r>
      <w:hyperlink r:id="rId19">
        <w:r>
          <w:rPr>
            <w:rFonts w:ascii="Times New Roman" w:hAnsi="Times New Roman"/>
            <w:sz w:val="26"/>
            <w:color w:val="0563C1"/>
            <w:u w:val="single"/>
            <w:noProof/>
          </w:rPr>
          <w:t>[14]</w:t>
        </w:r>
      </w:hyperlink>
      <w:r>
        <w:rPr>
          <w:rFonts w:ascii="Times New Roman" w:hAnsi="Times New Roman"/>
          <w:sz w:val="26"/>
        </w:rPr>
        <w:t>. React áp dụng mô hình phân tách giao diện thành các thành phần độc lập (Component-based Architecture), cho phép đóng gói giao diện thành các khối có trạng thái riêng biệt và tái sử dụng linh hoạt trong toàn bộ hệ thống.</w:t>
      </w:r>
    </w:p>
    <w:p>
      <w:pPr>
        <w:spacing w:before="60" w:after="60" w:line="288" w:lineRule="auto"/>
        <w:jc w:val="both"/>
      </w:pPr>
      <w:r>
        <w:rPr>
          <w:rFonts w:ascii="Times New Roman" w:hAnsi="Times New Roman"/>
          <w:sz w:val="26"/>
        </w:rPr>
        <w:t xml:space="preserve">Cơ chế cốt lõi của React là việc sử dụng Cây DOM ảo (Virtual DOM) </w:t>
      </w:r>
      <w:hyperlink r:id="rId19">
        <w:r>
          <w:rPr>
            <w:rFonts w:ascii="Times New Roman" w:hAnsi="Times New Roman"/>
            <w:sz w:val="26"/>
            <w:color w:val="0563C1"/>
            <w:u w:val="single"/>
            <w:noProof/>
          </w:rPr>
          <w:t>[14]</w:t>
        </w:r>
      </w:hyperlink>
      <w:r>
        <w:rPr>
          <w:rFonts w:ascii="Times New Roman" w:hAnsi="Times New Roman"/>
          <w:sz w:val="26"/>
        </w:rPr>
        <w:t>. Khi trạng thái (State) của một thành phần thay đổi, React không cập nhật trực tiếp lên cây DOM thật của trình duyệt mà tính toán độ lệch giữa cây DOM ảo mới và cũ thông qua thuật toán so sánh (Diffing Algorithm). Nhờ đó, trình duyệt chỉ cập nhật lại các phần tử HTML có thay đổi thực tế, duy trì tốc độ phản hồi 60 khung hình mỗi giây khi hiển thị bảng dữ liệu nhân sự lớn hoặc luồng video camera.</w:t>
      </w:r>
    </w:p>
    <w:p>
      <w:pPr>
        <w:spacing w:before="160" w:after="4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hinh1_3_react_virtual_dom.png"/>
                    <pic:cNvPicPr/>
                  </pic:nvPicPr>
                  <pic:blipFill>
                    <a:blip r:embed="rId20"/>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1.4. Cơ chế cập nhật giao diện thông qua Cây DOM ảo và thuật toán Diffing trong ReactJS.</w:t>
      </w:r>
    </w:p>
    <w:p>
      <w:pPr>
        <w:spacing w:before="60" w:after="60" w:line="288" w:lineRule="auto"/>
        <w:jc w:val="both"/>
      </w:pPr>
      <w:r>
        <w:rPr>
          <w:rFonts w:ascii="Times New Roman" w:hAnsi="Times New Roman"/>
          <w:sz w:val="26"/>
        </w:rPr>
        <w:t>Ngoài ra, hệ thống React Hooks (`useState`, `useEffect`, `useContext`, `useCallback`, `useMemo`) giúp việc quản lý vòng đời thành phần và luồng dữ liệu trở nên gọn gàng, thuận tiện cho việc bảo trì mã nguồn.</w:t>
      </w:r>
    </w:p>
    <w:p>
      <w:pPr>
        <w:spacing w:before="160" w:after="40"/>
        <w:jc w:val="left"/>
      </w:pPr>
      <w:r>
        <w:rPr>
          <w:rFonts w:ascii="Times New Roman" w:hAnsi="Times New Roman"/>
          <w:b/>
          <w:i/>
          <w:color w:val="282828"/>
          <w:sz w:val="26"/>
        </w:rPr>
        <w:t>b. Ngôn ngữ TypeScript</w:t>
      </w:r>
    </w:p>
    <w:p>
      <w:pPr>
        <w:spacing w:before="60" w:after="60" w:line="288" w:lineRule="auto"/>
        <w:jc w:val="both"/>
      </w:pPr>
      <w:r>
        <w:rPr>
          <w:rFonts w:ascii="Times New Roman" w:hAnsi="Times New Roman"/>
          <w:sz w:val="26"/>
        </w:rPr>
        <w:t xml:space="preserve">TypeScript là ngôn ngữ do Microsoft phát triển, được định nghĩa là một siêu tập (Superset) có định kiểu tĩnh của JavaScript. Mã nguồn TypeScript sau khi hoàn thành sẽ được trình biên dịch chuyển đổi thành mã JavaScript tiêu chuẩn để chạy trên trình duyệt web </w:t>
      </w:r>
      <w:hyperlink r:id="rId19">
        <w:r>
          <w:rPr>
            <w:rFonts w:ascii="Times New Roman" w:hAnsi="Times New Roman"/>
            <w:sz w:val="26"/>
            <w:color w:val="0563C1"/>
            <w:u w:val="single"/>
            <w:noProof/>
          </w:rPr>
          <w:t>[14]</w:t>
        </w:r>
      </w:hyperlink>
      <w:r>
        <w:rPr>
          <w:rFonts w:ascii="Times New Roman" w:hAnsi="Times New Roman"/>
          <w:sz w:val="26"/>
        </w:rPr>
        <w:t>.</w:t>
      </w:r>
    </w:p>
    <w:p>
      <w:pPr>
        <w:spacing w:before="60" w:after="60" w:line="288" w:lineRule="auto"/>
        <w:jc w:val="both"/>
      </w:pPr>
      <w:r>
        <w:rPr>
          <w:rFonts w:ascii="Times New Roman" w:hAnsi="Times New Roman"/>
          <w:sz w:val="26"/>
        </w:rPr>
        <w:t>Trong dự án PeopleInsight AI, TypeScript mang lại các lợi ích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Kiểm soát kiểu dữ liệu khi biên dịch (Compile-time Type Safety): Phát hiện sớm các lỗi cú pháp hoặc truy cập thuộc tính không tồn tại, ngăn chặn triệt để lỗi ngoại lệ lúc thực thi ứng dụng (`TypeError: Cannot read properties of undefined`).</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tài liệu hóa mã nguồn: Các cấu trúc dữ liệu như thử thách Kiosk (`IKioskChallenge`), kết quả đo hiệu năng (`IFaceBenchmarkMetrics`) và phiếu lương (`IPayslipSummary`) được định nghĩa rõ ràng qua `interface` và `type`, giúp việc đọc hiểu mã nguồn thuận tiện hơn.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Hỗ trợ công cụ lập trình: Cung cấp tính năng gợi ý mã và hoàn thành tự động (Auto-completion), giảm thời gian tìm kiếm tham số và giúp việc tái cấu trúc mã an toàn hơn.</w:t>
      </w:r>
    </w:p>
    <w:p>
      <w:pPr>
        <w:spacing w:before="160" w:after="40"/>
        <w:jc w:val="center"/>
      </w:pPr>
      <w:r>
        <w:drawing>
          <wp:inline xmlns:a="http://schemas.openxmlformats.org/drawingml/2006/main" xmlns:pic="http://schemas.openxmlformats.org/drawingml/2006/picture">
            <wp:extent cx="5303520" cy="2951194"/>
            <wp:docPr id="5" name="Picture 5"/>
            <wp:cNvGraphicFramePr>
              <a:graphicFrameLocks noChangeAspect="1"/>
            </wp:cNvGraphicFramePr>
            <a:graphic>
              <a:graphicData uri="http://schemas.openxmlformats.org/drawingml/2006/picture">
                <pic:pic>
                  <pic:nvPicPr>
                    <pic:cNvPr id="0" name="hinh1_10_typescript_react_typesystem.png"/>
                    <pic:cNvPicPr/>
                  </pic:nvPicPr>
                  <pic:blipFill>
                    <a:blip r:embed="rId21"/>
                    <a:stretch>
                      <a:fillRect/>
                    </a:stretch>
                  </pic:blipFill>
                  <pic:spPr>
                    <a:xfrm>
                      <a:off x="0" y="0"/>
                      <a:ext cx="5303520" cy="2951194"/>
                    </a:xfrm>
                    <a:prstGeom prst="rect"/>
                  </pic:spPr>
                </pic:pic>
              </a:graphicData>
            </a:graphic>
          </wp:inline>
        </w:drawing>
      </w:r>
    </w:p>
    <w:p>
      <w:pPr>
        <w:spacing w:before="40" w:after="200"/>
        <w:jc w:val="center"/>
      </w:pPr>
      <w:r>
        <w:rPr>
          <w:rFonts w:ascii="Times New Roman" w:hAnsi="Times New Roman"/>
          <w:i/>
          <w:color w:val="3C3C3C"/>
          <w:sz w:val="22"/>
        </w:rPr>
        <w:t>Hình 1.5. Hệ thống kiểu tĩnh TypeScript và cơ chế bảo đảm an toàn dữ liệu Props và State trong ReactJS. (Nguồn: Mã nguồn frontend PeopleInsight AI)</w:t>
      </w:r>
    </w:p>
    <w:p>
      <w:pPr>
        <w:spacing w:before="200" w:after="80"/>
        <w:jc w:val="left"/>
      </w:pPr>
      <w:r>
        <w:rPr>
          <w:rFonts w:ascii="Times New Roman" w:hAnsi="Times New Roman"/>
          <w:b/>
          <w:color w:val="000000"/>
          <w:sz w:val="26"/>
        </w:rPr>
        <w:t>1.2.2. Kiến trúc REST API và nền tảng Node.js / Express 5</w:t>
      </w:r>
    </w:p>
    <w:p>
      <w:pPr>
        <w:spacing w:before="160" w:after="40"/>
        <w:jc w:val="left"/>
      </w:pPr>
      <w:r>
        <w:rPr>
          <w:rFonts w:ascii="Times New Roman" w:hAnsi="Times New Roman"/>
          <w:b/>
          <w:i/>
          <w:color w:val="282828"/>
          <w:sz w:val="26"/>
        </w:rPr>
        <w:t>a. Môi trường thực thi Node.js</w:t>
      </w:r>
    </w:p>
    <w:p>
      <w:pPr>
        <w:spacing w:before="60" w:after="60" w:line="288" w:lineRule="auto"/>
        <w:jc w:val="both"/>
      </w:pPr>
      <w:r>
        <w:rPr>
          <w:rFonts w:ascii="Times New Roman" w:hAnsi="Times New Roman"/>
          <w:sz w:val="26"/>
        </w:rPr>
        <w:t xml:space="preserve">Node.js là một môi trường thực thi mã JavaScript phía máy chủ, xây dựng trên nền tảng V8 JavaScript Engine của Google </w:t>
      </w:r>
      <w:hyperlink r:id="rId22">
        <w:r>
          <w:rPr>
            <w:rFonts w:ascii="Times New Roman" w:hAnsi="Times New Roman"/>
            <w:sz w:val="26"/>
            <w:color w:val="0563C1"/>
            <w:u w:val="single"/>
            <w:noProof/>
          </w:rPr>
          <w:t>[13]</w:t>
        </w:r>
      </w:hyperlink>
      <w:r>
        <w:rPr>
          <w:rFonts w:ascii="Times New Roman" w:hAnsi="Times New Roman"/>
          <w:sz w:val="26"/>
        </w:rPr>
        <w:t xml:space="preserve">. Điểm khác biệt của Node.js so với các máy chủ web truyền thống nằm ở kiến trúc Vòng lặp sự kiện đơn luồng (Single-threaded Event Loop) kết hợp cơ chế Vào/Ra không nghẽn (Non-blocking I/O) được hỗ trợ bởi thư viện lõi `libuv` </w:t>
      </w:r>
      <w:hyperlink r:id="rId22">
        <w:r>
          <w:rPr>
            <w:rFonts w:ascii="Times New Roman" w:hAnsi="Times New Roman"/>
            <w:sz w:val="26"/>
            <w:color w:val="0563C1"/>
            <w:u w:val="single"/>
            <w:noProof/>
          </w:rPr>
          <w:t>[13]</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3807762"/>
            <wp:docPr id="6" name="Picture 6"/>
            <wp:cNvGraphicFramePr>
              <a:graphicFrameLocks noChangeAspect="1"/>
            </wp:cNvGraphicFramePr>
            <a:graphic>
              <a:graphicData uri="http://schemas.openxmlformats.org/drawingml/2006/picture">
                <pic:pic>
                  <pic:nvPicPr>
                    <pic:cNvPr id="0" name="official_event_loop.png"/>
                    <pic:cNvPicPr/>
                  </pic:nvPicPr>
                  <pic:blipFill>
                    <a:blip r:embed="rId23"/>
                    <a:stretch>
                      <a:fillRect/>
                    </a:stretch>
                  </pic:blipFill>
                  <pic:spPr>
                    <a:xfrm>
                      <a:off x="0" y="0"/>
                      <a:ext cx="5303520" cy="3807762"/>
                    </a:xfrm>
                    <a:prstGeom prst="rect"/>
                  </pic:spPr>
                </pic:pic>
              </a:graphicData>
            </a:graphic>
          </wp:inline>
        </w:drawing>
      </w:r>
    </w:p>
    <w:p>
      <w:pPr>
        <w:spacing w:before="40" w:after="200"/>
        <w:jc w:val="center"/>
      </w:pPr>
      <w:r>
        <w:rPr>
          <w:rFonts w:ascii="Times New Roman" w:hAnsi="Times New Roman"/>
          <w:i/>
          <w:color w:val="3C3C3C"/>
          <w:sz w:val="22"/>
        </w:rPr>
        <w:t xml:space="preserve">Hình 1.6. Sơ đồ kiến trúc Vòng lặp sự kiện (Event Loop) và cơ chế bất đồng bộ từ tài liệu kỹ thuật Node.js. (Nguồn: Node.js Documentation </w:t>
      </w:r>
      <w:hyperlink r:id="rId22">
        <w:r>
          <w:rPr>
            <w:rFonts w:ascii="Times New Roman" w:hAnsi="Times New Roman"/>
            <w:sz w:val="22"/>
            <w:color w:val="0563C1"/>
            <w:u w:val="single"/>
            <w:i/>
            <w:noProof/>
          </w:rPr>
          <w:t>[13]</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Khi máy chủ tiếp nhận một yêu cầu truy vấn cơ sở dữ liệu MongoDB hoặc đọc ghi tệp, luồng chính không dừng lại chờ mà bàn giao công việc đó cho hệ thống luồng ngầm của thư viện `libuv` (Worker Pool Threads) rồi tiếp tục nhận các yêu cầu tiếp theo. Khi tác vụ hoàn tất, một hàm phản hồi (Callback) được đưa vào hàng đợi sự kiện để trả kết quả cho client. Cơ chế này giúp Node.js phục vụ đồng thời số lượng lớn yêu cầu với mức tiêu hao bộ nhớ thấp, phù hợp cho hệ thống có nhiều thiết bị Kiosk gửi dữ liệu liên tục.</w:t>
      </w:r>
    </w:p>
    <w:p>
      <w:pPr>
        <w:spacing w:before="160" w:after="40"/>
        <w:jc w:val="left"/>
      </w:pPr>
      <w:r>
        <w:rPr>
          <w:rFonts w:ascii="Times New Roman" w:hAnsi="Times New Roman"/>
          <w:b/>
          <w:i/>
          <w:color w:val="282828"/>
          <w:sz w:val="26"/>
        </w:rPr>
        <w:t>b. Khung ứng dụng Express phiên bản 5</w:t>
      </w:r>
    </w:p>
    <w:p>
      <w:pPr>
        <w:spacing w:before="60" w:after="60" w:line="288" w:lineRule="auto"/>
        <w:jc w:val="both"/>
      </w:pPr>
      <w:r>
        <w:rPr>
          <w:rFonts w:ascii="Times New Roman" w:hAnsi="Times New Roman"/>
          <w:sz w:val="26"/>
        </w:rPr>
        <w:t xml:space="preserve">Express là một khung ứng dụng web phổ biến dành cho Node.js </w:t>
      </w:r>
      <w:hyperlink r:id="rId22">
        <w:r>
          <w:rPr>
            <w:rFonts w:ascii="Times New Roman" w:hAnsi="Times New Roman"/>
            <w:sz w:val="26"/>
            <w:color w:val="0563C1"/>
            <w:u w:val="single"/>
            <w:noProof/>
          </w:rPr>
          <w:t>[13]</w:t>
        </w:r>
      </w:hyperlink>
      <w:r>
        <w:rPr>
          <w:rFonts w:ascii="Times New Roman" w:hAnsi="Times New Roman"/>
          <w:sz w:val="26"/>
        </w:rPr>
        <w:t>. Dự án sử dụng phiên bản Express 5 với một số cải tiến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Xử lý hàm bất đồng bộ mặc định: Express 5 tự động bắt các Promise bị từ chối phát sinh trong các route handler bất đồng bộ và chuyển trực tiếp tới middleware xử lý lỗi tập trung, giúp giảm bớt việc lặp lại các khối `try/catch` thủ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Chuỗi Middleware phân tầng: Cho phép chia nhỏ các bước xử lý request tuần tự gồm giải mã nén dữ liệu, thiết lập tiêu đề bảo mật với Helmet, xử lý chia sẻ tài nguyên chéo nguồn CORS, giới hạn tần suất truy cập, kiểm tra tính hợp lệ của dữ liệu đầu vào với Zod và xác thực phân quyền trước khi chuyển đến tầng Controller.</w:t>
      </w:r>
    </w:p>
    <w:p>
      <w:pPr>
        <w:spacing w:before="160" w:after="40"/>
        <w:jc w:val="center"/>
      </w:pPr>
      <w:r>
        <w:drawing>
          <wp:inline xmlns:a="http://schemas.openxmlformats.org/drawingml/2006/main" xmlns:pic="http://schemas.openxmlformats.org/drawingml/2006/picture">
            <wp:extent cx="5303520" cy="1579212"/>
            <wp:docPr id="7" name="Picture 7"/>
            <wp:cNvGraphicFramePr>
              <a:graphicFrameLocks noChangeAspect="1"/>
            </wp:cNvGraphicFramePr>
            <a:graphic>
              <a:graphicData uri="http://schemas.openxmlformats.org/drawingml/2006/picture">
                <pic:pic>
                  <pic:nvPicPr>
                    <pic:cNvPr id="0" name="official_express_middleware.png"/>
                    <pic:cNvPicPr/>
                  </pic:nvPicPr>
                  <pic:blipFill>
                    <a:blip r:embed="rId24"/>
                    <a:stretch>
                      <a:fillRect/>
                    </a:stretch>
                  </pic:blipFill>
                  <pic:spPr>
                    <a:xfrm>
                      <a:off x="0" y="0"/>
                      <a:ext cx="5303520" cy="1579212"/>
                    </a:xfrm>
                    <a:prstGeom prst="rect"/>
                  </pic:spPr>
                </pic:pic>
              </a:graphicData>
            </a:graphic>
          </wp:inline>
        </w:drawing>
      </w:r>
    </w:p>
    <w:p>
      <w:pPr>
        <w:spacing w:before="40" w:after="200"/>
        <w:jc w:val="center"/>
      </w:pPr>
      <w:r>
        <w:rPr>
          <w:rFonts w:ascii="Times New Roman" w:hAnsi="Times New Roman"/>
          <w:i/>
          <w:color w:val="3C3C3C"/>
          <w:sz w:val="22"/>
        </w:rPr>
        <w:t xml:space="preserve">Hình 1.7. Sơ đồ hoạt động của hàm Middleware Function trong Express.js. (Nguồn: Express.js Official Documentation </w:t>
      </w:r>
      <w:hyperlink r:id="rId22">
        <w:r>
          <w:rPr>
            <w:rFonts w:ascii="Times New Roman" w:hAnsi="Times New Roman"/>
            <w:sz w:val="22"/>
            <w:color w:val="0563C1"/>
            <w:u w:val="single"/>
            <w:i/>
            <w:noProof/>
          </w:rPr>
          <w:t>[13]</w:t>
        </w:r>
      </w:hyperlink>
      <w:r>
        <w:rPr>
          <w:rFonts w:ascii="Times New Roman" w:hAnsi="Times New Roman"/>
          <w:i/>
          <w:color w:val="3C3C3C"/>
          <w:sz w:val="22"/>
        </w:rPr>
        <w:t>)</w:t>
      </w:r>
    </w:p>
    <w:p>
      <w:pPr>
        <w:spacing w:before="160" w:after="40"/>
        <w:jc w:val="left"/>
      </w:pPr>
      <w:r>
        <w:rPr>
          <w:rFonts w:ascii="Times New Roman" w:hAnsi="Times New Roman"/>
          <w:b/>
          <w:i/>
          <w:color w:val="282828"/>
          <w:sz w:val="26"/>
        </w:rPr>
        <w:t>c. Kiến trúc REST API và Cơ chế Cách ly Đa công ty</w:t>
      </w:r>
    </w:p>
    <w:p>
      <w:pPr>
        <w:spacing w:before="60" w:after="60" w:line="288" w:lineRule="auto"/>
        <w:jc w:val="both"/>
      </w:pPr>
      <w:r>
        <w:rPr>
          <w:rFonts w:ascii="Times New Roman" w:hAnsi="Times New Roman"/>
          <w:sz w:val="26"/>
        </w:rPr>
        <w:t>Các giao diện lập trình ứng dụng (API) của hệ thống tuân theo chuẩn REST (Representational State Transfer):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Sử dụng đúng ngữ nghĩa các phương thức HTTP: `GET` để truy vấn dữ liệu, `POST` để tạo mới, `PUT`/`PATCH` để cập nhật và `DELETE` để xóa bản ghi.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Định dạng dữ liệu trao đổi bằng JSON. Các mã trạng thái phản hồi tuân thủ chuẩn RFC (`200 OK`, `201 Created`, `400 Bad Request`, `401 Unauthorized`, `403 Forbidden`, `404 Not Found`, `409 Conflict`, `422 Unprocessable Entity`).</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chế xác thực không lưu trạng thái: Kết hợp giữa Access Token định dạng JWT có thời hạn ngắn (15 phút) và Refresh Token có thời hạn 7 ngày. Refresh Token được lưu trong Cookie với các thuộc tính bảo vệ gồm `HttpOnly` (ngăn mã JavaScript đọc trộm qua lỗi XSS), `SameSite=Lax` (hạn chế tấn công CSRF) và cờ `Secure` trên giao thức HTTPS.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Cách ly dữ liệu đa công ty (Multi-tenancy): Để phục vụ nhiều công ty độc lập trên cùng một hạ tầng cơ sở dữ liệu, hệ thống sử dụng `AsyncLocalStorage` trong Node.js để lưu ngữ cảnh định danh công ty (`companyId`) xuyên suốt chuỗi xử lý của từng yêu cầu. Kết hợp với plugin trên tầng Mongoose, các thao tác ghi dữ liệu đều tự động gắn `companyId` không thể sửa đổi, đồng thời các lệnh truy vấn đều bổ sung điều kiện lọc theo công ty của người dùng đang đăng nhập, ngăn ngừa rò rỉ dữ liệu chéo giữa các tổ chức.</w:t>
      </w:r>
    </w:p>
    <w:p>
      <w:pPr>
        <w:spacing w:before="160" w:after="40"/>
        <w:jc w:val="center"/>
      </w:pPr>
      <w:r>
        <w:drawing>
          <wp:inline xmlns:a="http://schemas.openxmlformats.org/drawingml/2006/main" xmlns:pic="http://schemas.openxmlformats.org/drawingml/2006/picture">
            <wp:extent cx="5303520" cy="2627432"/>
            <wp:docPr id="8" name="Picture 8"/>
            <wp:cNvGraphicFramePr>
              <a:graphicFrameLocks noChangeAspect="1"/>
            </wp:cNvGraphicFramePr>
            <a:graphic>
              <a:graphicData uri="http://schemas.openxmlformats.org/drawingml/2006/picture">
                <pic:pic>
                  <pic:nvPicPr>
                    <pic:cNvPr id="0" name="hinh1_9_rest_api_express_pipeline.png"/>
                    <pic:cNvPicPr/>
                  </pic:nvPicPr>
                  <pic:blipFill>
                    <a:blip r:embed="rId25"/>
                    <a:stretch>
                      <a:fillRect/>
                    </a:stretch>
                  </pic:blipFill>
                  <pic:spPr>
                    <a:xfrm>
                      <a:off x="0" y="0"/>
                      <a:ext cx="5303520" cy="2627432"/>
                    </a:xfrm>
                    <a:prstGeom prst="rect"/>
                  </pic:spPr>
                </pic:pic>
              </a:graphicData>
            </a:graphic>
          </wp:inline>
        </w:drawing>
      </w:r>
    </w:p>
    <w:p>
      <w:pPr>
        <w:spacing w:before="40" w:after="200"/>
        <w:jc w:val="center"/>
      </w:pPr>
      <w:r>
        <w:rPr>
          <w:rFonts w:ascii="Times New Roman" w:hAnsi="Times New Roman"/>
          <w:i/>
          <w:color w:val="3C3C3C"/>
          <w:sz w:val="22"/>
        </w:rPr>
        <w:t>Hình 1.8. Chuỗi Middleware Pipeline phân tầng và cơ chế cách ly đa công ty an toàn trong Express 5. (Nguồn: Mã nguồn backend PeopleInsight AI)</w:t>
      </w:r>
    </w:p>
    <w:p>
      <w:pPr>
        <w:spacing w:before="200" w:after="80"/>
        <w:jc w:val="left"/>
      </w:pPr>
      <w:r>
        <w:rPr>
          <w:rFonts w:ascii="Times New Roman" w:hAnsi="Times New Roman"/>
          <w:b/>
          <w:color w:val="000000"/>
          <w:sz w:val="26"/>
        </w:rPr>
        <w:t>1.2.3. Hệ quản trị cơ sở dữ liệu NoSQL MongoDB</w:t>
      </w:r>
    </w:p>
    <w:p>
      <w:pPr>
        <w:spacing w:before="160" w:after="40"/>
        <w:jc w:val="left"/>
      </w:pPr>
      <w:r>
        <w:rPr>
          <w:rFonts w:ascii="Times New Roman" w:hAnsi="Times New Roman"/>
          <w:b/>
          <w:i/>
          <w:color w:val="282828"/>
          <w:sz w:val="26"/>
        </w:rPr>
        <w:t>a. Hệ quản trị cơ sở dữ liệu MongoDB</w:t>
      </w:r>
    </w:p>
    <w:p>
      <w:pPr>
        <w:spacing w:before="60" w:after="60" w:line="288" w:lineRule="auto"/>
        <w:jc w:val="both"/>
      </w:pPr>
      <w:r>
        <w:rPr>
          <w:rFonts w:ascii="Times New Roman" w:hAnsi="Times New Roman"/>
          <w:sz w:val="26"/>
        </w:rPr>
        <w:t xml:space="preserve">MongoDB là hệ quản trị cơ sở dữ liệu NoSQL hướng tài liệu lưu trữ dữ liệu dưới định dạng BSON (Binary JSON) </w:t>
      </w:r>
      <w:hyperlink r:id="rId26">
        <w:r>
          <w:rPr>
            <w:rFonts w:ascii="Times New Roman" w:hAnsi="Times New Roman"/>
            <w:sz w:val="26"/>
            <w:color w:val="0563C1"/>
            <w:u w:val="single"/>
            <w:noProof/>
          </w:rPr>
          <w:t>[12]</w:t>
        </w:r>
      </w:hyperlink>
      <w:r>
        <w:rPr>
          <w:rFonts w:ascii="Times New Roman" w:hAnsi="Times New Roman"/>
          <w:sz w:val="26"/>
        </w:rPr>
        <w:t>. So với mô hình cơ sở dữ liệu quan hệ bảng biểu truyền thống, MongoDB cung cấp một số đặc tính: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Cấu trúc dữ liệu linh hoạt (Dynamic Schema): Cho phép các tài liệu trong cùng một tập hợp (Collection) chứa các mảng hoặc tài liệu con lồng nhau (Subdocuments) </w:t>
      </w:r>
      <w:hyperlink r:id="rId26">
        <w:r>
          <w:rPr>
            <w:rFonts w:ascii="Times New Roman" w:hAnsi="Times New Roman"/>
            <w:sz w:val="26"/>
            <w:color w:val="0563C1"/>
            <w:u w:val="single"/>
            <w:noProof/>
          </w:rPr>
          <w:t>[12]</w:t>
        </w:r>
      </w:hyperlink>
      <w:r>
        <w:rPr>
          <w:rFonts w:ascii="Times New Roman" w:hAnsi="Times New Roman"/>
          <w:sz w:val="26"/>
        </w:rPr>
        <w:t>. Đặc tính này phù hợp với các nghiệp vụ nhân sự có nhiều biến động như danh sách hợp đồng lao động (`contracts[]`), số dư phép (`leaveBalance`), danh sách phiên đăng nhập (`refreshTokens[]`) hoặc lịch sử duyệt đơn.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Tốc độ đọc nhanh theo tài liệu: Dữ liệu hồ sơ nhân sự được tổ chức tập trung trong một tài liệu đơn lẻ, giảm bớt nhu cầu sử dụng các phép kết nối bảng (JOIN) phức tạp khi truy vấn. Bên cạnh đó, MongoDB hỗ trợ cơ chế phân mảnh dữ liệu (Sharding) và cụm nhân bản dự phòng (Replica Set) giúp nâng cao tính sẵn sàng của hệ thống.</w:t>
      </w:r>
    </w:p>
    <w:p>
      <w:pPr>
        <w:spacing w:before="160" w:after="40"/>
        <w:jc w:val="left"/>
      </w:pPr>
      <w:r>
        <w:rPr>
          <w:rFonts w:ascii="Times New Roman" w:hAnsi="Times New Roman"/>
          <w:b/>
          <w:i/>
          <w:color w:val="282828"/>
          <w:sz w:val="26"/>
        </w:rPr>
        <w:t>b. Thư viện ODM Mongoose và Thiết kế 11 Collections</w:t>
      </w:r>
    </w:p>
    <w:p>
      <w:pPr>
        <w:spacing w:before="60" w:after="60" w:line="288" w:lineRule="auto"/>
        <w:jc w:val="both"/>
      </w:pPr>
      <w:r>
        <w:rPr>
          <w:rFonts w:ascii="Times New Roman" w:hAnsi="Times New Roman"/>
          <w:sz w:val="26"/>
        </w:rPr>
        <w:t>Hệ thống sử dụng thư viện Mongoose ODM để định nghĩa lược đồ dữ liệu (Schema), kiểm tra tính hợp lệ của trường thông tin trước khi lưu trữ, áp dụng các hàm can thiệp tự động (`pre('validate')`, `pre('save')`) và tối ưu các thao tác cập nhật nguyên tử.</w:t>
      </w:r>
    </w:p>
    <w:p>
      <w:pPr>
        <w:spacing w:before="160" w:after="40"/>
        <w:jc w:val="center"/>
      </w:pPr>
      <w:r>
        <w:drawing>
          <wp:inline xmlns:a="http://schemas.openxmlformats.org/drawingml/2006/main" xmlns:pic="http://schemas.openxmlformats.org/drawingml/2006/picture">
            <wp:extent cx="5303520" cy="3103755"/>
            <wp:docPr id="9" name="Picture 9"/>
            <wp:cNvGraphicFramePr>
              <a:graphicFrameLocks noChangeAspect="1"/>
            </wp:cNvGraphicFramePr>
            <a:graphic>
              <a:graphicData uri="http://schemas.openxmlformats.org/drawingml/2006/picture">
                <pic:pic>
                  <pic:nvPicPr>
                    <pic:cNvPr id="0" name="hinh1_8_mongodb_document_model.png"/>
                    <pic:cNvPicPr/>
                  </pic:nvPicPr>
                  <pic:blipFill>
                    <a:blip r:embed="rId27"/>
                    <a:stretch>
                      <a:fillRect/>
                    </a:stretch>
                  </pic:blipFill>
                  <pic:spPr>
                    <a:xfrm>
                      <a:off x="0" y="0"/>
                      <a:ext cx="5303520" cy="3103755"/>
                    </a:xfrm>
                    <a:prstGeom prst="rect"/>
                  </pic:spPr>
                </pic:pic>
              </a:graphicData>
            </a:graphic>
          </wp:inline>
        </w:drawing>
      </w:r>
    </w:p>
    <w:p>
      <w:pPr>
        <w:spacing w:before="40" w:after="200"/>
        <w:jc w:val="center"/>
      </w:pPr>
      <w:r>
        <w:rPr>
          <w:rFonts w:ascii="Times New Roman" w:hAnsi="Times New Roman"/>
          <w:i/>
          <w:color w:val="3C3C3C"/>
          <w:sz w:val="22"/>
        </w:rPr>
        <w:t xml:space="preserve">Hình 1.9. Mô hình dữ liệu tài liệu BSON và cấu trúc nhúng Embedded Subdocuments trong MongoDB. (Nguồn: Thiết kế kiến trúc CSDL PeopleInsight AI </w:t>
      </w:r>
      <w:hyperlink r:id="rId26">
        <w:r>
          <w:rPr>
            <w:rFonts w:ascii="Times New Roman" w:hAnsi="Times New Roman"/>
            <w:sz w:val="22"/>
            <w:color w:val="0563C1"/>
            <w:u w:val="single"/>
            <w:i/>
            <w:noProof/>
          </w:rPr>
          <w:t>[12]</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Cơ sở dữ liệu của hệ thống PeopleInsight AI được phân chia rõ ràng thành 11 Collections phục vụ cho từng nhóm nghiệp vụ:</w:t>
      </w:r>
    </w:p>
    <w:p>
      <w:pPr>
        <w:spacing w:before="200" w:after="80"/>
        <w:jc w:val="left"/>
      </w:pPr>
      <w:r>
        <w:rPr>
          <w:rFonts w:ascii="Times New Roman" w:hAnsi="Times New Roman"/>
          <w:b/>
          <w:color w:val="102C57"/>
          <w:sz w:val="24"/>
        </w:rPr>
        <w:t>Bảng 1.1. Danh mục 11 Collections trong hệ thống PeopleInsight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STT</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Tên Collection</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đích lưu trữ và Thiết kế dữ liệu</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`companies`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Lưu cấu hình toàn công ty: tọa độ GPS văn phòng, ca làm việc, mã băm SHA-256 của thiết bị Kiosk, chính sách thuế, tỷ lệ bảo hiểm và ngày nghỉ lễ.</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2</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`users`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Hồ sơ nhân sự: định danh, chức vụ, danh sách hợp đồng `contracts[]`, số dư phép `leaveBalance`, cấu hình lương `salaryConfig`, phiên đăng nhập `refreshTokens[]`. Các trường nhạy cảm được cấu hình ẩn mặc định (`select: false`).</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3</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`faceTemplates`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Lưu trữ vector đặc trưng khuôn mặt 128 chiều. Tách biệt hoàn toàn khỏi hồ sơ nhân sự để bảo vệ dữ liệu sinh trắc học và cho phép xóa bỏ khi nhân viên rút lại sự đồng ý hoặc nghỉ việc.</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4</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`departments`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Cơ cấu phòng ban hai cấp (Khối và Phòng ban), lưu trữ liên kết với trưởng bộ phận `managerId` và quan hệ cấp bậc.</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5</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`attendanceLogs`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Nhật ký chấm công chi tiết theo thời gian thực (kèm phương thức Face, GPS, QR, mã thiết bị `deviceId` và vị trí địa lý).</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6</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`leaveRequests`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Đơn từ điện tử (nghỉ phép, nghỉ ốm, làm thêm giờ OT, làm việc từ xa WFH, giải trình quên chấm công) theo chu trình phê duyệt hai cấp.</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7</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`payrolls`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Bảng lương định kỳ của nhân viên, lưu ảnh chụp (snapshot) tham số chính sách tại thời điểm tính và cờ khóa sổ nguyên tử (`periodLockedAt`).</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8</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`notifications`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Thông báo thời gian thực qua Socket.io và ghi nhận trạng thái đã đọc của người dùng.</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9</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`auditLogs`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Nhật ký kiểm toán an toàn hệ thống, lưu vết các thao tác quan trọng: đổi vai trò quyền hạn, cập nhật lương, chấm công Kiosk và gọi công cụ AI.</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10</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`policyChunks`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Phân đoạn tài liệu nội quy lao động phục vụ tra cứu thông tin theo kỹ thuật RAG (Retrieval-Augmented Generation).</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2"/>
              </w:rPr>
              <w:t>11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`jobPostings`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2"/>
              </w:rPr>
              <w:t>Quản lý tin tuyển dụng và danh sách hồ sơ ứng viên kèm kết quả đánh giá phân tích sơ bộ bằng AI.</w:t>
            </w:r>
          </w:p>
        </w:tc>
      </w:tr>
    </w:tbl>
    <w:p>
      <w:pPr>
        <w:spacing w:before="0" w:after="80"/>
      </w:pPr>
    </w:p>
    <w:p>
      <w:pPr>
        <w:spacing w:before="200" w:after="80"/>
        <w:jc w:val="left"/>
      </w:pPr>
      <w:r>
        <w:rPr>
          <w:rFonts w:ascii="Times New Roman" w:hAnsi="Times New Roman"/>
          <w:b/>
          <w:color w:val="000000"/>
          <w:sz w:val="26"/>
        </w:rPr>
        <w:t>1.2.4. Nền tảng Trí tuệ nhân tạo (MediaPipe, Google Gemini, Scikit-learn)</w:t>
      </w:r>
    </w:p>
    <w:p>
      <w:pPr>
        <w:spacing w:before="160" w:after="40"/>
        <w:jc w:val="left"/>
      </w:pPr>
      <w:r>
        <w:rPr>
          <w:rFonts w:ascii="Times New Roman" w:hAnsi="Times New Roman"/>
          <w:b/>
          <w:i/>
          <w:color w:val="282828"/>
          <w:sz w:val="26"/>
        </w:rPr>
        <w:t>a. Thị giác máy tính Google MediaPipe và Nhận diện khuôn mặt</w:t>
      </w:r>
    </w:p>
    <w:p>
      <w:pPr>
        <w:spacing w:before="60" w:after="60" w:line="288" w:lineRule="auto"/>
        <w:jc w:val="both"/>
      </w:pPr>
      <w:r>
        <w:rPr>
          <w:rFonts w:ascii="Times New Roman" w:hAnsi="Times New Roman"/>
          <w:sz w:val="26"/>
        </w:rPr>
        <w:t>Hệ thống sử dụng hai mô hình thị giác máy tính chạy trực tiếp tại trình duyệt Kiosk và máy chủ nội bộ:</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Thư viện Google MediaPipe Face Landmarker: Sử dụng mạng nơ-ron học sâu để xác định và bám vết 468 điểm mốc không gian ba chiều trên khuôn mặt </w:t>
      </w:r>
      <w:hyperlink r:id="rId16">
        <w:r>
          <w:rPr>
            <w:rFonts w:ascii="Times New Roman" w:hAnsi="Times New Roman"/>
            <w:sz w:val="26"/>
            <w:color w:val="0563C1"/>
            <w:u w:val="single"/>
            <w:noProof/>
          </w:rPr>
          <w:t>[8]</w:t>
        </w:r>
      </w:hyperlink>
      <w:r>
        <w:rPr>
          <w:rFonts w:ascii="Times New Roman" w:hAnsi="Times New Roman"/>
          <w:sz w:val="26"/>
        </w:rPr>
        <w:t xml:space="preserve">. Mô hình trích xuất 52 hệ số biểu cảm cơ mặt (Blendshapes) theo chuẩn Apple ARKit với tốc độ xử lý trên 50 khung hình mỗi giây ngay trên trình duyệt thông qua WebAssembly </w:t>
      </w:r>
      <w:hyperlink r:id="rId16">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031051"/>
            <wp:docPr id="10" name="Picture 10"/>
            <wp:cNvGraphicFramePr>
              <a:graphicFrameLocks noChangeAspect="1"/>
            </wp:cNvGraphicFramePr>
            <a:graphic>
              <a:graphicData uri="http://schemas.openxmlformats.org/drawingml/2006/picture">
                <pic:pic>
                  <pic:nvPicPr>
                    <pic:cNvPr id="0" name="official_mediapipe_keypoints.png"/>
                    <pic:cNvPicPr/>
                  </pic:nvPicPr>
                  <pic:blipFill>
                    <a:blip r:embed="rId28"/>
                    <a:stretch>
                      <a:fillRect/>
                    </a:stretch>
                  </pic:blipFill>
                  <pic:spPr>
                    <a:xfrm>
                      <a:off x="0" y="0"/>
                      <a:ext cx="5303520" cy="7031051"/>
                    </a:xfrm>
                    <a:prstGeom prst="rect"/>
                  </pic:spPr>
                </pic:pic>
              </a:graphicData>
            </a:graphic>
          </wp:inline>
        </w:drawing>
      </w:r>
    </w:p>
    <w:p>
      <w:pPr>
        <w:spacing w:before="40" w:after="200"/>
        <w:jc w:val="center"/>
      </w:pPr>
      <w:r>
        <w:rPr>
          <w:rFonts w:ascii="Times New Roman" w:hAnsi="Times New Roman"/>
          <w:i/>
          <w:color w:val="3C3C3C"/>
          <w:sz w:val="22"/>
        </w:rPr>
        <w:t xml:space="preserve">Hình 1.10. Lưới 468 điểm mốc không gian 3 chiều và các chỉ số hình học khuôn mặt từ Google AI Edge. (Nguồn: Google MediaPipe Documentation </w:t>
      </w:r>
      <w:hyperlink r:id="rId16">
        <w:r>
          <w:rPr>
            <w:rFonts w:ascii="Times New Roman" w:hAnsi="Times New Roman"/>
            <w:sz w:val="22"/>
            <w:color w:val="0563C1"/>
            <w:u w:val="single"/>
            <w:i/>
            <w:noProof/>
          </w:rPr>
          <w:t>[8]</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Dựa trên các điểm mốc này, hệ thống tính toán các chỉ số phản xạ sinh lý học:</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Tỷ lệ co mí mắt (Eye Aspect Ratio, EAR): Dựa trên khoảng cách giữa các điểm mốc mí trên và mí dưới so với khóe mắt (các điểm mốc 159, 145, 33, 133 cho mắt trái và 386, 374, 263, 362 cho mắt phải) theo công thức:</w:t>
      </w:r>
    </w:p>
    <w:p>
      <w:pPr>
        <w:spacing w:before="160" w:after="160"/>
        <w:jc w:val="center"/>
      </w:pPr>
      <m:oMathPara>
        <m:oMath>
          <m:r>
            <m:rPr>
              <m:sty m:val="bi"/>
            </m:rPr>
            <m:t>EAR</m:t>
          </m:r>
          <m:r>
            <m:t> = </m:t>
          </m:r>
          <m:f>
            <m:num>
              <m:r>
                <m:t>|</m:t>
              </m:r>
              <m:sSub>
                <m:e>
                  <m:r>
                    <m:rPr>
                      <m:sty m:val="i"/>
                    </m:rPr>
                    <m:t>p</m:t>
                  </m:r>
                </m:e>
                <m:sub>
                  <m:r>
                    <m:t>159</m:t>
                  </m:r>
                </m:sub>
              </m:sSub>
              <m:r>
                <m:t> - </m:t>
              </m:r>
              <m:sSub>
                <m:e>
                  <m:r>
                    <m:rPr>
                      <m:sty m:val="i"/>
                    </m:rPr>
                    <m:t>p</m:t>
                  </m:r>
                </m:e>
                <m:sub>
                  <m:r>
                    <m:t>145</m:t>
                  </m:r>
                </m:sub>
              </m:sSub>
              <m:r>
                <m:t>| + |</m:t>
              </m:r>
              <m:sSub>
                <m:e>
                  <m:r>
                    <m:rPr>
                      <m:sty m:val="i"/>
                    </m:rPr>
                    <m:t>p</m:t>
                  </m:r>
                </m:e>
                <m:sub>
                  <m:r>
                    <m:t>158</m:t>
                  </m:r>
                </m:sub>
              </m:sSub>
              <m:r>
                <m:t> - </m:t>
              </m:r>
              <m:sSub>
                <m:e>
                  <m:r>
                    <m:rPr>
                      <m:sty m:val="i"/>
                    </m:rPr>
                    <m:t>p</m:t>
                  </m:r>
                </m:e>
                <m:sub>
                  <m:r>
                    <m:t>153</m:t>
                  </m:r>
                </m:sub>
              </m:sSub>
              <m:r>
                <m:t>|</m:t>
              </m:r>
            </m:num>
            <m:den>
              <m:r>
                <m:t>2 × |</m:t>
              </m:r>
              <m:sSub>
                <m:e>
                  <m:r>
                    <m:rPr>
                      <m:sty m:val="i"/>
                    </m:rPr>
                    <m:t>p</m:t>
                  </m:r>
                </m:e>
                <m:sub>
                  <m:r>
                    <m:t>33</m:t>
                  </m:r>
                </m:sub>
              </m:sSub>
              <m:r>
                <m:t> - </m:t>
              </m:r>
              <m:sSub>
                <m:e>
                  <m:r>
                    <m:rPr>
                      <m:sty m:val="i"/>
                    </m:rPr>
                    <m:t>p</m:t>
                  </m:r>
                </m:e>
                <m:sub>
                  <m:r>
                    <m:t>133</m:t>
                  </m:r>
                </m:sub>
              </m:sSub>
              <m:r>
                <m:t>|</m:t>
              </m:r>
            </m:den>
          </m:f>
        </m:oMath>
      </m:oMathPara>
    </w:p>
    <w:p>
      <w:pPr>
        <w:spacing w:before="60" w:after="60" w:line="288" w:lineRule="auto"/>
        <w:jc w:val="both"/>
      </w:pPr>
      <w:r>
        <w:rPr>
          <w:rFonts w:ascii="Times New Roman" w:hAnsi="Times New Roman"/>
          <w:sz w:val="26"/>
        </w:rPr>
        <w:t>Hệ thống xác định trạng thái chớp mắt khi EAR &lt; 0.2 và mắt mở bình thường khi EAR &gt; 0.35.</w:t>
      </w:r>
    </w:p>
    <w:p>
      <w:pPr>
        <w:spacing w:before="60" w:after="60" w:line="288" w:lineRule="auto"/>
        <w:ind w:left="576"/>
        <w:jc w:val="both"/>
      </w:pPr>
      <w:r>
        <w:rPr>
          <w:rFonts w:ascii="Times New Roman" w:hAnsi="Times New Roman"/>
          <w:sz w:val="26"/>
        </w:rPr>
        <w:t xml:space="preserve">- </w:t>
      </w:r>
      <w:r>
        <w:rPr>
          <w:rFonts w:ascii="Times New Roman" w:hAnsi="Times New Roman"/>
          <w:sz w:val="26"/>
        </w:rPr>
        <w:t>Tỷ lệ cử động miệng (Mouth Aspect Ratio, MAR): Tính toán dựa trên độ mở giữa môi trên (điểm mốc 13) và môi dưới (điểm mốc 14) so với hai khóe môi (điểm mốc 61 và 291):</w:t>
      </w:r>
    </w:p>
    <w:p>
      <w:pPr>
        <w:spacing w:before="160" w:after="160"/>
        <w:jc w:val="center"/>
      </w:pPr>
      <m:oMathPara>
        <m:oMath>
          <m:r>
            <m:rPr>
              <m:sty m:val="bi"/>
            </m:rPr>
            <m:t>MAR</m:t>
          </m:r>
          <m:r>
            <m:t> = </m:t>
          </m:r>
          <m:f>
            <m:num>
              <m:r>
                <m:t>|</m:t>
              </m:r>
              <m:sSub>
                <m:e>
                  <m:r>
                    <m:rPr>
                      <m:sty m:val="i"/>
                    </m:rPr>
                    <m:t>p</m:t>
                  </m:r>
                </m:e>
                <m:sub>
                  <m:r>
                    <m:t>13</m:t>
                  </m:r>
                </m:sub>
              </m:sSub>
              <m:r>
                <m:t> - </m:t>
              </m:r>
              <m:sSub>
                <m:e>
                  <m:r>
                    <m:rPr>
                      <m:sty m:val="i"/>
                    </m:rPr>
                    <m:t>p</m:t>
                  </m:r>
                </m:e>
                <m:sub>
                  <m:r>
                    <m:t>14</m:t>
                  </m:r>
                </m:sub>
              </m:sSub>
              <m:r>
                <m:t>|</m:t>
              </m:r>
            </m:num>
            <m:den>
              <m:r>
                <m:t>|</m:t>
              </m:r>
              <m:sSub>
                <m:e>
                  <m:r>
                    <m:rPr>
                      <m:sty m:val="i"/>
                    </m:rPr>
                    <m:t>p</m:t>
                  </m:r>
                </m:e>
                <m:sub>
                  <m:r>
                    <m:t>61</m:t>
                  </m:r>
                </m:sub>
              </m:sSub>
              <m:r>
                <m:t> - </m:t>
              </m:r>
              <m:sSub>
                <m:e>
                  <m:r>
                    <m:rPr>
                      <m:sty m:val="i"/>
                    </m:rPr>
                    <m:t>p</m:t>
                  </m:r>
                </m:e>
                <m:sub>
                  <m:r>
                    <m:t>291</m:t>
                  </m:r>
                </m:sub>
              </m:sSub>
              <m:r>
                <m:t>|</m:t>
              </m:r>
            </m:den>
          </m:f>
        </m:oMath>
      </m:oMathPara>
    </w:p>
    <w:p>
      <w:pPr>
        <w:spacing w:before="60" w:after="60" w:line="288" w:lineRule="auto"/>
        <w:ind w:left="576"/>
        <w:jc w:val="both"/>
      </w:pPr>
      <w:r>
        <w:rPr>
          <w:rFonts w:ascii="Times New Roman" w:hAnsi="Times New Roman"/>
          <w:sz w:val="26"/>
        </w:rPr>
        <w:t xml:space="preserve">- </w:t>
      </w:r>
      <w:r>
        <w:rPr>
          <w:rFonts w:ascii="Times New Roman" w:hAnsi="Times New Roman"/>
          <w:sz w:val="26"/>
        </w:rPr>
        <w:t xml:space="preserve">Ma trận biến đổi tư thế đầu: MediaPipe xuất ma trận biến đổi không gian 4 × 4 (`facial_transformation_matrixes`). Hệ thống chuyển đổi ma trận quay thành 3 góc Euler (Yaw, Pitch, Roll) để kiểm tra hành động quay mặt sang trái hoặc sang phải tối thiểu 25° theo thử thách ngẫu nhiên từ máy chủ, ngăn chặn 100% các phương tiện giả mạo 2D như ảnh in hay video phát lại </w:t>
      </w:r>
      <w:hyperlink r:id="rId16">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958390"/>
            <wp:docPr id="11" name="Picture 11"/>
            <wp:cNvGraphicFramePr>
              <a:graphicFrameLocks noChangeAspect="1"/>
            </wp:cNvGraphicFramePr>
            <a:graphic>
              <a:graphicData uri="http://schemas.openxmlformats.org/drawingml/2006/picture">
                <pic:pic>
                  <pic:nvPicPr>
                    <pic:cNvPr id="0" name="screenshot-webcam.png"/>
                    <pic:cNvPicPr/>
                  </pic:nvPicPr>
                  <pic:blipFill>
                    <a:blip r:embed="rId29"/>
                    <a:stretch>
                      <a:fillRect/>
                    </a:stretch>
                  </pic:blipFill>
                  <pic:spPr>
                    <a:xfrm>
                      <a:off x="0" y="0"/>
                      <a:ext cx="5303520" cy="7958390"/>
                    </a:xfrm>
                    <a:prstGeom prst="rect"/>
                  </pic:spPr>
                </pic:pic>
              </a:graphicData>
            </a:graphic>
          </wp:inline>
        </w:drawing>
      </w:r>
    </w:p>
    <w:p>
      <w:pPr>
        <w:spacing w:before="40" w:after="200"/>
        <w:jc w:val="center"/>
      </w:pPr>
      <w:r>
        <w:rPr>
          <w:rFonts w:ascii="Times New Roman" w:hAnsi="Times New Roman"/>
          <w:i/>
          <w:color w:val="3C3C3C"/>
          <w:sz w:val="22"/>
        </w:rPr>
        <w:t>Hình 1.11. Ảnh chụp thực nghiệm nhận diện và bám vết điểm mốc khuôn mặt thời gian thực qua webcam tại Kiosk. (Nguồn: Engine @vladmandic/face-api)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Trích xuất đặc trưng khuôn mặt (Face Feature Extraction): Sau khi người dùng hoàn thành bước kiểm tra độ sống tại tầng 1, khuôn mặt được đưa vào mạng nơ-ron MobileNet Backbone để trích xuất một vector đặc trưng duy nhất gồm 128 chiều (`Float32Array(128)`). Khi chấm công, vector này được so sánh với vector đăng ký ban đầu thông qua khoảng cách Euclid (d_E ≤ 0.60) và Cosine (d_C ≤ 0.35) với thời gian xử lý dưới 45ms mỗi lượt quét.</w:t>
      </w:r>
    </w:p>
    <w:p>
      <w:pPr>
        <w:spacing w:before="160" w:after="40"/>
        <w:jc w:val="center"/>
      </w:pPr>
      <w:r>
        <w:drawing>
          <wp:inline xmlns:a="http://schemas.openxmlformats.org/drawingml/2006/main" xmlns:pic="http://schemas.openxmlformats.org/drawingml/2006/picture">
            <wp:extent cx="5303520" cy="2140870"/>
            <wp:docPr id="12" name="Picture 12"/>
            <wp:cNvGraphicFramePr>
              <a:graphicFrameLocks noChangeAspect="1"/>
            </wp:cNvGraphicFramePr>
            <a:graphic>
              <a:graphicData uri="http://schemas.openxmlformats.org/drawingml/2006/picture">
                <pic:pic>
                  <pic:nvPicPr>
                    <pic:cNvPr id="0" name="hinh1_5_faceid_benchmark_margin.png"/>
                    <pic:cNvPicPr/>
                  </pic:nvPicPr>
                  <pic:blipFill>
                    <a:blip r:embed="rId30"/>
                    <a:stretch>
                      <a:fillRect/>
                    </a:stretch>
                  </pic:blipFill>
                  <pic:spPr>
                    <a:xfrm>
                      <a:off x="0" y="0"/>
                      <a:ext cx="5303520" cy="2140870"/>
                    </a:xfrm>
                    <a:prstGeom prst="rect"/>
                  </pic:spPr>
                </pic:pic>
              </a:graphicData>
            </a:graphic>
          </wp:inline>
        </w:drawing>
      </w:r>
    </w:p>
    <w:p>
      <w:pPr>
        <w:spacing w:before="40" w:after="200"/>
        <w:jc w:val="center"/>
      </w:pPr>
      <w:r>
        <w:rPr>
          <w:rFonts w:ascii="Times New Roman" w:hAnsi="Times New Roman"/>
          <w:i/>
          <w:color w:val="3C3C3C"/>
          <w:sz w:val="22"/>
        </w:rPr>
        <w:t>Hình 1.12. Biểu đồ phân bố khoảng cách Euclid thực nghiệm từ 40 lượt đo và hiệu năng thời gian thực tại Kiosk. (Nguồn: Nhật ký đo thực nghiệm trials.csv của đề tài)</w:t>
      </w:r>
    </w:p>
    <w:p>
      <w:pPr>
        <w:spacing w:before="60" w:after="60" w:line="288" w:lineRule="auto"/>
        <w:jc w:val="both"/>
      </w:pPr>
      <w:r>
        <w:rPr>
          <w:rFonts w:ascii="Times New Roman" w:hAnsi="Times New Roman"/>
          <w:sz w:val="26"/>
        </w:rPr>
        <w:t>Kết quả đo đạc thực nghiệm trên 10 đối tượng mẫu với 40 lượt thử nghiệm đa dạng điều kiện cho thấy: khoảng cách Euclid của các lượt thử cùng người (Genuine) dao động trong khoảng 0.290 – 0.535 (trung bình 0.404), trong khi các lượt thử khác người (Impostor) dao động trong khoảng 0.760 – 1.084 (trung bình 0.885). Khoảng trống phân tách an toàn đạt Δ = 0.225 &gt; 0, chứng minh ngưỡng cắt đề xuất d_E ≤ 0.60 phân tách rạch ròi giữa người thật và kẻ mạo danh mà không xảy ra hiện tượng nhận nhầm. Tốc độ khung hình trung bình đạt 54.5 FPS với độ trễ 42.8ms, đáp ứng yêu cầu chấm công mượt mà trong thực tế.</w:t>
      </w:r>
    </w:p>
    <w:p>
      <w:pPr>
        <w:spacing w:before="160" w:after="40"/>
        <w:jc w:val="left"/>
      </w:pPr>
      <w:r>
        <w:rPr>
          <w:rFonts w:ascii="Times New Roman" w:hAnsi="Times New Roman"/>
          <w:b/>
          <w:i/>
          <w:color w:val="282828"/>
          <w:sz w:val="26"/>
        </w:rPr>
        <w:t>b. Mô hình Google Gemini và Cơ chế Gọi hàm (Function Calling)</w:t>
      </w:r>
    </w:p>
    <w:p>
      <w:pPr>
        <w:spacing w:before="60" w:after="60" w:line="288" w:lineRule="auto"/>
        <w:jc w:val="both"/>
      </w:pPr>
      <w:r>
        <w:rPr>
          <w:rFonts w:ascii="Times New Roman" w:hAnsi="Times New Roman"/>
          <w:sz w:val="26"/>
        </w:rPr>
        <w:t xml:space="preserve">Google Gemini là dòng mô hình ngôn ngữ lớn đa phương thức của Google DeepMind, có khả năng phân tích ngôn ngữ tự nhiên và hỗ trợ cơ chế gọi công cụ (Function Calling) </w:t>
      </w:r>
      <w:hyperlink r:id="rId17">
        <w:r>
          <w:rPr>
            <w:rFonts w:ascii="Times New Roman" w:hAnsi="Times New Roman"/>
            <w:sz w:val="26"/>
            <w:color w:val="0563C1"/>
            <w:u w:val="single"/>
            <w:noProof/>
          </w:rPr>
          <w:t>[9]</w:t>
        </w:r>
      </w:hyperlink>
      <w:r>
        <w:rPr>
          <w:rFonts w:ascii="Times New Roman" w:hAnsi="Times New Roman"/>
          <w:sz w:val="26"/>
        </w:rPr>
        <w:t>. Hệ thống sử dụng mô hình qua gói thư viện chính thức `@google/genai`: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Cơ chế Function Calling: Để tránh hiện tượng mô hình sinh văn bản tự do dẫn đến sai lệch số liệu thực tế, hệ thống cấu hình `ToolConfig` với chế độ ép buộc gọi tool `mode: "ANY"` </w:t>
      </w:r>
      <w:hyperlink r:id="rId17">
        <w:r>
          <w:rPr>
            <w:rFonts w:ascii="Times New Roman" w:hAnsi="Times New Roman"/>
            <w:sz w:val="26"/>
            <w:color w:val="0563C1"/>
            <w:u w:val="single"/>
            <w:noProof/>
          </w:rPr>
          <w:t>[9]</w:t>
        </w:r>
      </w:hyperlink>
      <w:r>
        <w:rPr>
          <w:rFonts w:ascii="Times New Roman" w:hAnsi="Times New Roman"/>
          <w:sz w:val="26"/>
        </w:rPr>
        <w:t xml:space="preserve">. Danh sách các định nghĩa hàm nghiệp vụ kèm lược đồ tham số chặt chẽ được kiểm định bằng Zod. Mô hình phân tích câu hỏi của nhân viên (ví dụ: </w:t>
      </w:r>
      <w:r>
        <w:rPr>
          <w:rFonts w:ascii="Times New Roman" w:hAnsi="Times New Roman"/>
          <w:i/>
          <w:sz w:val="26"/>
        </w:rPr>
        <w:t>"Tháng này tôi còn bao nhiêu ngày phép?"</w:t>
      </w:r>
      <w:r>
        <w:rPr>
          <w:rFonts w:ascii="Times New Roman" w:hAnsi="Times New Roman"/>
          <w:sz w:val="26"/>
        </w:rPr>
        <w:t xml:space="preserve"> hoặc </w:t>
      </w:r>
      <w:r>
        <w:rPr>
          <w:rFonts w:ascii="Times New Roman" w:hAnsi="Times New Roman"/>
          <w:i/>
          <w:sz w:val="26"/>
        </w:rPr>
        <w:t>"Xem phiếu lương tháng 10"</w:t>
      </w:r>
      <w:r>
        <w:rPr>
          <w:rFonts w:ascii="Times New Roman" w:hAnsi="Times New Roman"/>
          <w:sz w:val="26"/>
        </w:rPr>
        <w:t>), nhận diện đúng ý định người dùng và trả về lệnh gọi hàm dạng JSON (`functionCall: { name: 'get_leave_balance', args: {}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Phương án an toàn dữ liệu: Ngay khi tiếp nhận chỉ thị gọi hàm từ Gemini, máy chủ nội bộ ngắt kết nối với mô hình bên ngoài. Hệ thống tự kiểm tra quyền truy cập của người dùng, tự truy vấn cơ sở dữ liệu MongoDB và đưa số liệu vào mẫu Markdown định sẵn để trả về giao diện. Toàn bộ thông tin về mức thu nhập, số tiền bảo hiểm và mã nhân viên đều được xử lý cục bộ, không gửi ngược lại cho dịch vụ AI bên ngoài </w:t>
      </w:r>
      <w:hyperlink r:id="rId15">
        <w:r>
          <w:rPr>
            <w:rFonts w:ascii="Times New Roman" w:hAnsi="Times New Roman"/>
            <w:sz w:val="26"/>
            <w:color w:val="0563C1"/>
            <w:u w:val="single"/>
            <w:noProof/>
          </w:rPr>
          <w:t>[4]</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hinh1_6_chatbot_gemini_flow.png"/>
                    <pic:cNvPicPr/>
                  </pic:nvPicPr>
                  <pic:blipFill>
                    <a:blip r:embed="rId31"/>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1.13. Luồng xử lý câu hỏi của trợ lý ảo HR Chatbot có cơ chế bảo vệ dữ liệu tài chính theo Phương án A.</w:t>
      </w:r>
    </w:p>
    <w:p>
      <w:pPr>
        <w:spacing w:before="160" w:after="40"/>
        <w:jc w:val="left"/>
      </w:pPr>
      <w:r>
        <w:rPr>
          <w:rFonts w:ascii="Times New Roman" w:hAnsi="Times New Roman"/>
          <w:b/>
          <w:i/>
          <w:color w:val="282828"/>
          <w:sz w:val="26"/>
        </w:rPr>
        <w:t>c. Thư viện Học máy Scikit-learn</w:t>
      </w:r>
    </w:p>
    <w:p>
      <w:pPr>
        <w:spacing w:before="60" w:after="60" w:line="288" w:lineRule="auto"/>
        <w:jc w:val="both"/>
      </w:pPr>
      <w:r>
        <w:rPr>
          <w:rFonts w:ascii="Times New Roman" w:hAnsi="Times New Roman"/>
          <w:sz w:val="26"/>
        </w:rPr>
        <w:t xml:space="preserve">Scikit-learn là một thư viện mã nguồn mở phổ biến dành cho lĩnh vực Học máy trên ngôn ngữ Python, phát triển dựa trên NumPy, SciPy và Matplotlib </w:t>
      </w:r>
      <w:hyperlink r:id="rId32">
        <w:r>
          <w:rPr>
            <w:rFonts w:ascii="Times New Roman" w:hAnsi="Times New Roman"/>
            <w:sz w:val="26"/>
            <w:color w:val="0563C1"/>
            <w:u w:val="single"/>
            <w:noProof/>
          </w:rPr>
          <w:t>[10]</w:t>
        </w:r>
      </w:hyperlink>
      <w:r>
        <w:rPr>
          <w:rFonts w:ascii="Times New Roman" w:hAnsi="Times New Roman"/>
          <w:sz w:val="26"/>
        </w:rPr>
        <w:t>. Thư viện cung cấp các thuật toán học có giám sát và không giám sát, hỗ trợ quy trình tiền xử lý dữ liệu, trích chọn đặc trưng, huấn luyện và đánh giá mô hình.</w:t>
      </w:r>
    </w:p>
    <w:p>
      <w:pPr>
        <w:spacing w:before="160" w:after="40"/>
        <w:jc w:val="center"/>
      </w:pPr>
      <w:r>
        <w:drawing>
          <wp:inline xmlns:a="http://schemas.openxmlformats.org/drawingml/2006/main" xmlns:pic="http://schemas.openxmlformats.org/drawingml/2006/picture">
            <wp:extent cx="5303520" cy="1767840"/>
            <wp:docPr id="14" name="Picture 14"/>
            <wp:cNvGraphicFramePr>
              <a:graphicFrameLocks noChangeAspect="1"/>
            </wp:cNvGraphicFramePr>
            <a:graphic>
              <a:graphicData uri="http://schemas.openxmlformats.org/drawingml/2006/picture">
                <pic:pic>
                  <pic:nvPicPr>
                    <pic:cNvPr id="0" name="official_scikit_learn_classifiers.png"/>
                    <pic:cNvPicPr/>
                  </pic:nvPicPr>
                  <pic:blipFill>
                    <a:blip r:embed="rId33"/>
                    <a:stretch>
                      <a:fillRect/>
                    </a:stretch>
                  </pic:blipFill>
                  <pic:spPr>
                    <a:xfrm>
                      <a:off x="0" y="0"/>
                      <a:ext cx="5303520" cy="1767840"/>
                    </a:xfrm>
                    <a:prstGeom prst="rect"/>
                  </pic:spPr>
                </pic:pic>
              </a:graphicData>
            </a:graphic>
          </wp:inline>
        </w:drawing>
      </w:r>
    </w:p>
    <w:p>
      <w:pPr>
        <w:spacing w:before="40" w:after="200"/>
        <w:jc w:val="center"/>
      </w:pPr>
      <w:r>
        <w:rPr>
          <w:rFonts w:ascii="Times New Roman" w:hAnsi="Times New Roman"/>
          <w:i/>
          <w:color w:val="3C3C3C"/>
          <w:sz w:val="22"/>
        </w:rPr>
        <w:t xml:space="preserve">Hình 1.14. So sánh ranh giới phân loại của các thuật toán Học máy từ tài liệu Scikit-learn. (Nguồn: Scikit-learn Documentation </w:t>
      </w:r>
      <w:hyperlink r:id="rId32">
        <w:r>
          <w:rPr>
            <w:rFonts w:ascii="Times New Roman" w:hAnsi="Times New Roman"/>
            <w:sz w:val="22"/>
            <w:color w:val="0563C1"/>
            <w:u w:val="single"/>
            <w:i/>
            <w:noProof/>
          </w:rPr>
          <w:t>[10]</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 xml:space="preserve">Trong hệ thống PeopleInsight AI, Scikit-learn được ứng dụng để dự báo nguy cơ thôi việc của nhân viên dựa trên tập dữ liệu chuẩn 1.470 mẫu IBM HR Analytics Attrition </w:t>
      </w:r>
      <w:hyperlink r:id="rId18">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Chuẩn hóa và Tiền xử lý Dữ liệu: Áp dụng kỹ thuật co dãn dữ liệu theo phân vị (RobustScaler, MinMaxScaler) cho các biến thu nhập và thâm niên công tác, đồng thời mã hóa các thuộc tính phân loại </w:t>
      </w:r>
      <w:hyperlink r:id="rId32">
        <w:r>
          <w:rPr>
            <w:rFonts w:ascii="Times New Roman" w:hAnsi="Times New Roman"/>
            <w:sz w:val="26"/>
            <w:color w:val="0563C1"/>
            <w:u w:val="single"/>
            <w:noProof/>
          </w:rPr>
          <w:t>[10]</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Lựa chọn 6 đặc trưng định lượng: Để bảo đảm tính bình đẳng và khách quan, toàn bộ thông tin nhạy cảm về nhân khẩu học (`Gender`, `Age`, `MaritalStatus`) được loại bỏ khỏi mô hình. Hệ thống sử dụng 6 biến số phản ánh trực tiếp điều kiện làm việc: số giờ làm thêm trong tháng (`OverTime`), số năm làm việc tại công ty (`YearsAtCompany`), tổng số năm kinh nghiệm (`TotalWorkingYears`), mức thu nhập hàng tháng (`MonthlyIncome`), số lượng công ty từng làm việc (`NumCompaniesWorked`) và khoảng cách từ nơi ở đến văn phòng (`DistanceFromHome`) </w:t>
      </w:r>
      <w:hyperlink r:id="rId18">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Huấn luyện và Đánh giá Mô hình: Triển khai thử nghiệm hai thuật toán phân loại gồm Hồi quy Logistic (Logistic Regression) và Rừng ngẫu nhiên (Random Forest). Mô hình được đánh giá thông qua ma trận nhầm lẫn (Confusion Matrix), đường cong ROC và chỉ số diện tích dưới đường cong AUC </w:t>
      </w:r>
      <w:hyperlink r:id="rId32">
        <w:r>
          <w:rPr>
            <w:rFonts w:ascii="Times New Roman" w:hAnsi="Times New Roman"/>
            <w:sz w:val="26"/>
            <w:color w:val="0563C1"/>
            <w:u w:val="single"/>
            <w:noProof/>
          </w:rPr>
          <w:t>[10]</w:t>
        </w:r>
      </w:hyperlink>
      <w:r>
        <w:rPr>
          <w:rFonts w:ascii="Times New Roman" w:hAnsi="Times New Roman"/>
          <w:sz w:val="26"/>
        </w:rPr>
        <w:t>, sau đó xuất ra định dạng trọng số ONNX và JSON để tích hợp phục vụ dự báo trực tiếp trên môi trường Node.js.</w:t>
      </w:r>
    </w:p>
    <w:p>
      <w:pPr>
        <w:spacing w:before="160" w:after="40"/>
        <w:jc w:val="center"/>
      </w:pPr>
      <w:r>
        <w:drawing>
          <wp:inline xmlns:a="http://schemas.openxmlformats.org/drawingml/2006/main" xmlns:pic="http://schemas.openxmlformats.org/drawingml/2006/picture">
            <wp:extent cx="5303520" cy="2143492"/>
            <wp:docPr id="15" name="Picture 15"/>
            <wp:cNvGraphicFramePr>
              <a:graphicFrameLocks noChangeAspect="1"/>
            </wp:cNvGraphicFramePr>
            <a:graphic>
              <a:graphicData uri="http://schemas.openxmlformats.org/drawingml/2006/picture">
                <pic:pic>
                  <pic:nvPicPr>
                    <pic:cNvPr id="0" name="hinh1_7_scikit_learn_roc_auc.png"/>
                    <pic:cNvPicPr/>
                  </pic:nvPicPr>
                  <pic:blipFill>
                    <a:blip r:embed="rId34"/>
                    <a:stretch>
                      <a:fillRect/>
                    </a:stretch>
                  </pic:blipFill>
                  <pic:spPr>
                    <a:xfrm>
                      <a:off x="0" y="0"/>
                      <a:ext cx="5303520" cy="2143492"/>
                    </a:xfrm>
                    <a:prstGeom prst="rect"/>
                  </pic:spPr>
                </pic:pic>
              </a:graphicData>
            </a:graphic>
          </wp:inline>
        </w:drawing>
      </w:r>
    </w:p>
    <w:p>
      <w:pPr>
        <w:spacing w:before="40" w:after="200"/>
        <w:jc w:val="center"/>
      </w:pPr>
      <w:r>
        <w:rPr>
          <w:rFonts w:ascii="Times New Roman" w:hAnsi="Times New Roman"/>
          <w:i/>
          <w:color w:val="3C3C3C"/>
          <w:sz w:val="22"/>
        </w:rPr>
        <w:t>Hình 1.15. Đường cong ROC và ma trận nhầm lẫn của mô hình học máy Scikit-learn dự báo nguy cơ thôi việc. (Nguồn: Kết quả thực nghiệm đề tài trên tập dữ liệu IBM)</w:t>
      </w:r>
    </w:p>
    <w:p>
      <w:pPr>
        <w:spacing w:before="60" w:after="60" w:line="288" w:lineRule="auto"/>
        <w:jc w:val="both"/>
      </w:pPr>
      <w:r>
        <w:rPr>
          <w:rFonts w:ascii="Times New Roman" w:hAnsi="Times New Roman"/>
          <w:sz w:val="26"/>
        </w:rPr>
        <w:t>Kết quả thực nghiệm trên tập kiểm thử cho thấy: Thuật toán Random Forest đạt chỉ số AUC = 0.852, cao hơn so với Hồi quy Logistic (AUC = 0.804). Ma trận nhầm lẫn xác nhận mô hình nhận diện chính xác phần lớn các nhân sự có nguy cơ thôi việc dựa trên 6 đặc trưng công việc, tạo căn cứ định lượng đáng tin cậy để hệ thống đưa ra các cảnh báo sớm cho người quản lý nhân sự.</w:t>
      </w:r>
    </w:p>
    <w:p>
      <w:pPr>
        <w:spacing w:before="280" w:after="120"/>
        <w:jc w:val="left"/>
      </w:pPr>
      <w:r>
        <w:rPr>
          <w:rFonts w:ascii="Times New Roman" w:hAnsi="Times New Roman"/>
          <w:b/>
          <w:color w:val="102C57"/>
          <w:sz w:val="28"/>
        </w:rPr>
        <w:t>TỔNG KẾT CHƯƠNG 1</w:t>
      </w:r>
    </w:p>
    <w:p>
      <w:pPr>
        <w:spacing w:before="60" w:after="60" w:line="288" w:lineRule="auto"/>
        <w:jc w:val="both"/>
      </w:pPr>
      <w:r>
        <w:rPr>
          <w:rFonts w:ascii="Times New Roman" w:hAnsi="Times New Roman"/>
          <w:sz w:val="26"/>
        </w:rPr>
        <w:t>Chương 1 đã trình bày tổng quan về bối cảnh nghiên cứu, các phân hệ chức năng cơ bản trong quản trị nhân sự doanh nghiệp, đồng thời chỉ ra những điểm nghẽn của mô hình quản lý truyền thống trong việc ghi nhận ngày công, bảo mật nhận diện khuôn mặt và tính toán tiền lương trước sự điều chỉnh của chính sách pháp lý năm 2026.</w:t>
      </w:r>
    </w:p>
    <w:p>
      <w:pPr>
        <w:spacing w:before="60" w:after="60" w:line="288" w:lineRule="auto"/>
        <w:jc w:val="both"/>
      </w:pPr>
      <w:r>
        <w:rPr>
          <w:rFonts w:ascii="Times New Roman" w:hAnsi="Times New Roman"/>
          <w:sz w:val="26"/>
        </w:rPr>
        <w:t xml:space="preserve">Chương cũng đã làm rõ cơ sở lý thuyết và vai trò kỹ thuật của các nền tảng công nghệ được lựa chọn cho hệ thống: từ thư viện giao diện ReactJS và TypeScript </w:t>
      </w:r>
      <w:hyperlink r:id="rId19">
        <w:r>
          <w:rPr>
            <w:rFonts w:ascii="Times New Roman" w:hAnsi="Times New Roman"/>
            <w:sz w:val="26"/>
            <w:color w:val="0563C1"/>
            <w:u w:val="single"/>
            <w:noProof/>
          </w:rPr>
          <w:t>[14]</w:t>
        </w:r>
      </w:hyperlink>
      <w:r>
        <w:rPr>
          <w:rFonts w:ascii="Times New Roman" w:hAnsi="Times New Roman"/>
          <w:sz w:val="26"/>
        </w:rPr>
        <w:t xml:space="preserve">, kiến trúc dịch vụ REST API trên Node.js và Express 5 </w:t>
      </w:r>
      <w:hyperlink r:id="rId22">
        <w:r>
          <w:rPr>
            <w:rFonts w:ascii="Times New Roman" w:hAnsi="Times New Roman"/>
            <w:sz w:val="26"/>
            <w:color w:val="0563C1"/>
            <w:u w:val="single"/>
            <w:noProof/>
          </w:rPr>
          <w:t>[13]</w:t>
        </w:r>
      </w:hyperlink>
      <w:r>
        <w:rPr>
          <w:rFonts w:ascii="Times New Roman" w:hAnsi="Times New Roman"/>
          <w:sz w:val="26"/>
        </w:rPr>
        <w:t xml:space="preserve">, cơ sở dữ liệu NoSQL MongoDB với 11 collections có cấu trúc rõ ràng </w:t>
      </w:r>
      <w:hyperlink r:id="rId26">
        <w:r>
          <w:rPr>
            <w:rFonts w:ascii="Times New Roman" w:hAnsi="Times New Roman"/>
            <w:sz w:val="26"/>
            <w:color w:val="0563C1"/>
            <w:u w:val="single"/>
            <w:noProof/>
          </w:rPr>
          <w:t>[12]</w:t>
        </w:r>
      </w:hyperlink>
      <w:r>
        <w:rPr>
          <w:rFonts w:ascii="Times New Roman" w:hAnsi="Times New Roman"/>
          <w:sz w:val="26"/>
        </w:rPr>
        <w:t xml:space="preserve">, đến các giải pháp trí tuệ nhân tạo gồm MediaPipe (kiểm tra độ sống khuôn mặt) </w:t>
      </w:r>
      <w:hyperlink r:id="rId16">
        <w:r>
          <w:rPr>
            <w:rFonts w:ascii="Times New Roman" w:hAnsi="Times New Roman"/>
            <w:sz w:val="26"/>
            <w:color w:val="0563C1"/>
            <w:u w:val="single"/>
            <w:noProof/>
          </w:rPr>
          <w:t>[8]</w:t>
        </w:r>
      </w:hyperlink>
      <w:r>
        <w:rPr>
          <w:rFonts w:ascii="Times New Roman" w:hAnsi="Times New Roman"/>
          <w:sz w:val="26"/>
        </w:rPr>
        <w:t xml:space="preserve">, Google Gemini (tra cứu thông tin qua Function Calling an toàn dữ liệu) </w:t>
      </w:r>
      <w:hyperlink r:id="rId17">
        <w:r>
          <w:rPr>
            <w:rFonts w:ascii="Times New Roman" w:hAnsi="Times New Roman"/>
            <w:sz w:val="26"/>
            <w:color w:val="0563C1"/>
            <w:u w:val="single"/>
            <w:noProof/>
          </w:rPr>
          <w:t>[9]</w:t>
        </w:r>
      </w:hyperlink>
      <w:r>
        <w:rPr>
          <w:rFonts w:ascii="Times New Roman" w:hAnsi="Times New Roman"/>
          <w:sz w:val="26"/>
        </w:rPr>
        <w:t xml:space="preserve"> và Scikit-learn (học máy dự báo nguy cơ thôi việc) [10, 11]. Các nội dung này là cơ sở kỹ thuật để tiến hành khảo sát chi tiết và phân tích thiết kế hệ thống trong Chương 2 tiếp theo.</w:t>
      </w:r>
    </w:p>
    <w:p>
      <w:r>
        <w:br w:type="page"/>
      </w:r>
    </w:p>
    <w:p>
      <w:pPr>
        <w:spacing w:before="360" w:after="280"/>
        <w:jc w:val="center"/>
      </w:pPr>
      <w:r>
        <w:rPr>
          <w:rFonts w:ascii="Times New Roman" w:hAnsi="Times New Roman"/>
          <w:b/>
          <w:color w:val="102C57"/>
          <w:sz w:val="32"/>
        </w:rPr>
        <w:t>TÀI LIỆU THAM KHẢO VÀ TRÍCH DẪN</w:t>
      </w:r>
    </w:p>
    <w:p>
      <w:pPr>
        <w:spacing w:before="200" w:after="80"/>
        <w:jc w:val="left"/>
      </w:pPr>
      <w:r>
        <w:rPr>
          <w:rFonts w:ascii="Times New Roman" w:hAnsi="Times New Roman"/>
          <w:b/>
          <w:color w:val="000000"/>
          <w:sz w:val="26"/>
        </w:rPr>
        <w:t>I. TÀI LIỆU TIẾNG VIỆT</w:t>
      </w:r>
    </w:p>
    <w:p>
      <w:pPr>
        <w:spacing w:before="60" w:after="60" w:line="288" w:lineRule="auto"/>
        <w:jc w:val="both"/>
      </w:pPr>
      <w:r>
        <w:rPr>
          <w:rFonts w:ascii="Times New Roman" w:hAnsi="Times New Roman"/>
          <w:sz w:val="26"/>
        </w:rPr>
        <w:t>[1]</w:t>
      </w:r>
      <w:r>
        <w:rPr>
          <w:rFonts w:ascii="Times New Roman" w:hAnsi="Times New Roman"/>
          <w:sz w:val="26"/>
        </w:rPr>
        <w:t xml:space="preserve"> ThS. Lê Trọng Nhất (2026). </w:t>
      </w:r>
      <w:r>
        <w:rPr>
          <w:rFonts w:ascii="Times New Roman" w:hAnsi="Times New Roman"/>
          <w:i/>
          <w:sz w:val="26"/>
        </w:rPr>
        <w:t>Bài giảng Học phần Phân tích và Đặc tả Yêu cầu Phần mềm</w:t>
      </w:r>
      <w:r>
        <w:rPr>
          <w:rFonts w:ascii="Times New Roman" w:hAnsi="Times New Roman"/>
          <w:sz w:val="26"/>
        </w:rPr>
        <w:t>. Khoa Công nghệ Thông tin và Chuyển đổi số, Trường Đại học Nguyễn Trãi.</w:t>
      </w:r>
    </w:p>
    <w:p>
      <w:pPr>
        <w:spacing w:before="60" w:after="60" w:line="288" w:lineRule="auto"/>
        <w:jc w:val="both"/>
      </w:pPr>
      <w:r>
        <w:rPr>
          <w:rFonts w:ascii="Times New Roman" w:hAnsi="Times New Roman"/>
          <w:sz w:val="26"/>
        </w:rPr>
        <w:t>[2]</w:t>
      </w:r>
      <w:r>
        <w:rPr>
          <w:rFonts w:ascii="Times New Roman" w:hAnsi="Times New Roman"/>
          <w:sz w:val="26"/>
        </w:rPr>
        <w:t xml:space="preserve"> ThS. Lê Trọng Nhất (2026). </w:t>
      </w:r>
      <w:r>
        <w:rPr>
          <w:rFonts w:ascii="Times New Roman" w:hAnsi="Times New Roman"/>
          <w:i/>
          <w:sz w:val="26"/>
        </w:rPr>
        <w:t>Bài giảng Học phần Công nghệ Phần mềm Chuyên sâu</w:t>
      </w:r>
      <w:r>
        <w:rPr>
          <w:rFonts w:ascii="Times New Roman" w:hAnsi="Times New Roman"/>
          <w:sz w:val="26"/>
        </w:rPr>
        <w:t>. Khoa Công nghệ Thông tin và Chuyển đổi số, Trường Đại học Nguyễn Trãi.</w:t>
      </w:r>
    </w:p>
    <w:p>
      <w:pPr>
        <w:spacing w:before="60" w:after="60" w:line="288" w:lineRule="auto"/>
        <w:jc w:val="both"/>
      </w:pPr>
      <w:hyperlink r:id="rId11">
        <w:r>
          <w:rPr>
            <w:rFonts w:ascii="Times New Roman" w:hAnsi="Times New Roman"/>
            <w:sz w:val="26"/>
            <w:color w:val="0563C1"/>
            <w:u w:val="single"/>
            <w:noProof/>
          </w:rPr>
          <w:t>3] Quốc hội Việt Nam (2019). *Bộ luật Lao động số 45/2019/QH14*, ban hành ngày 20/11/2019. [Trực tuyến]. Địa chỉ: [https://thuvienphapluat.vn/van-ban/Lao-dong-Tien-luong/Bo-Luat-lao-dong-2019-333670.aspx</w:t>
        </w:r>
      </w:hyperlink>
      <w:r>
        <w:rPr>
          <w:rFonts w:ascii="Times New Roman" w:hAnsi="Times New Roman"/>
          <w:sz w:val="26"/>
        </w:rPr>
        <w:t>.</w:t>
      </w:r>
    </w:p>
    <w:p>
      <w:pPr>
        <w:spacing w:before="60" w:after="60" w:line="288" w:lineRule="auto"/>
        <w:jc w:val="both"/>
      </w:pPr>
      <w:hyperlink r:id="rId15">
        <w:r>
          <w:rPr>
            <w:rFonts w:ascii="Times New Roman" w:hAnsi="Times New Roman"/>
            <w:sz w:val="26"/>
            <w:color w:val="0563C1"/>
            <w:u w:val="single"/>
            <w:noProof/>
          </w:rPr>
          <w:t>4] Quốc hội Việt Nam (2025). *Luật Bảo vệ Dữ liệu Cá nhân số 91/2025/QH15* (có hiệu lực từ ngày 01/01/2026) và *Nghị định số 13/2023/NĐ-CP* về bảo vệ dữ liệu cá nhân. [Trực tuyến]. Địa chỉ: [https://thuvienphapluat.vn/van-ban/Cong-nghe-thong-tin/Nghi-dinh-13-2023-ND-CP-bao-ve-du-lieu-ca-nhan-536968.aspx</w:t>
        </w:r>
      </w:hyperlink>
      <w:r>
        <w:rPr>
          <w:rFonts w:ascii="Times New Roman" w:hAnsi="Times New Roman"/>
          <w:sz w:val="26"/>
        </w:rPr>
        <w:t>.</w:t>
      </w:r>
    </w:p>
    <w:p>
      <w:pPr>
        <w:spacing w:before="60" w:after="60" w:line="288" w:lineRule="auto"/>
        <w:jc w:val="both"/>
      </w:pPr>
      <w:hyperlink r:id="rId35">
        <w:r>
          <w:rPr>
            <w:rFonts w:ascii="Times New Roman" w:hAnsi="Times New Roman"/>
            <w:sz w:val="26"/>
            <w:color w:val="0563C1"/>
            <w:u w:val="single"/>
            <w:noProof/>
          </w:rPr>
          <w:t>5] Chính phủ Việt Nam (2020). *Nghị định số 145/2020/NĐ-CP* quy định chi tiết và hướng dẫn thi hành một số điều của Bộ luật Lao động về điều kiện lao động và quan hệ lao động. [Trực tuyến]. Địa chỉ: [https://thuvienphapluat.vn/van-ban/Lao-dong-Tien-luong/Nghi-dinh-145-2020-ND-CP-huong-dan-Bo-luat-Lao-dong-ve-dieu-kien-quan-he-lao-dong-460987.aspx</w:t>
        </w:r>
      </w:hyperlink>
      <w:r>
        <w:rPr>
          <w:rFonts w:ascii="Times New Roman" w:hAnsi="Times New Roman"/>
          <w:sz w:val="26"/>
        </w:rPr>
        <w:t>.</w:t>
      </w:r>
    </w:p>
    <w:p>
      <w:pPr>
        <w:spacing w:before="60" w:after="60" w:line="288" w:lineRule="auto"/>
        <w:jc w:val="both"/>
      </w:pPr>
      <w:hyperlink r:id="rId14">
        <w:r>
          <w:rPr>
            <w:rFonts w:ascii="Times New Roman" w:hAnsi="Times New Roman"/>
            <w:sz w:val="26"/>
            <w:color w:val="0563C1"/>
            <w:u w:val="single"/>
            <w:noProof/>
          </w:rPr>
          <w:t>6] Ủy ban Thường vụ Quốc hội (2025). *Nghị quyết số 110/2025/UBTVQH15* về điều chỉnh mức giảm trừ gia cảnh của thuế thu nhập cá nhân áp dụng cho năm tài chính 2026. [Trực tuyến]. Địa chỉ: [https://thuvienphapluat.vn/</w:t>
        </w:r>
      </w:hyperlink>
      <w:r>
        <w:rPr>
          <w:rFonts w:ascii="Times New Roman" w:hAnsi="Times New Roman"/>
          <w:sz w:val="26"/>
        </w:rPr>
        <w:t>.</w:t>
      </w:r>
    </w:p>
    <w:p>
      <w:pPr>
        <w:spacing w:before="200" w:after="80"/>
        <w:jc w:val="left"/>
      </w:pPr>
      <w:r>
        <w:rPr>
          <w:rFonts w:ascii="Times New Roman" w:hAnsi="Times New Roman"/>
          <w:b/>
          <w:color w:val="000000"/>
          <w:sz w:val="26"/>
        </w:rPr>
        <w:t>II. TÀI LIỆU TIẾNG ANH</w:t>
      </w:r>
    </w:p>
    <w:p>
      <w:pPr>
        <w:spacing w:before="60" w:after="60" w:line="288" w:lineRule="auto"/>
        <w:jc w:val="both"/>
      </w:pPr>
      <w:r>
        <w:rPr>
          <w:rFonts w:ascii="Times New Roman" w:hAnsi="Times New Roman"/>
          <w:sz w:val="26"/>
        </w:rPr>
        <w:t>[7]</w:t>
      </w:r>
      <w:r>
        <w:rPr>
          <w:rFonts w:ascii="Times New Roman" w:hAnsi="Times New Roman"/>
          <w:sz w:val="26"/>
        </w:rPr>
        <w:t xml:space="preserve"> Fowler, M. (2003). </w:t>
      </w:r>
      <w:r>
        <w:rPr>
          <w:rFonts w:ascii="Times New Roman" w:hAnsi="Times New Roman"/>
          <w:i/>
          <w:sz w:val="26"/>
        </w:rPr>
        <w:t>UML Distilled: A Brief Guide to the Standard Object Modeling Language</w:t>
      </w:r>
      <w:r>
        <w:rPr>
          <w:rFonts w:ascii="Times New Roman" w:hAnsi="Times New Roman"/>
          <w:sz w:val="26"/>
        </w:rPr>
        <w:t>, 3rd ed. Boston, MA: Addison-Wesley Professional.</w:t>
      </w:r>
    </w:p>
    <w:p>
      <w:pPr>
        <w:spacing w:before="60" w:after="60" w:line="288" w:lineRule="auto"/>
        <w:jc w:val="both"/>
      </w:pPr>
      <w:hyperlink r:id="rId16">
        <w:r>
          <w:rPr>
            <w:rFonts w:ascii="Times New Roman" w:hAnsi="Times New Roman"/>
            <w:sz w:val="26"/>
            <w:color w:val="0563C1"/>
            <w:u w:val="single"/>
            <w:noProof/>
          </w:rPr>
          <w:t>8] Lugaresi, C. et al. (2019). *MediaPipe: A Framework for Building Perception Pipelines*. arXiv preprint arXiv:1906.08172. Google AI Edge Documentation. [Online]. Available: [https://ai.google.dev/edge/mediapipe/solutions/vision/face_landmarker</w:t>
        </w:r>
      </w:hyperlink>
      <w:r>
        <w:rPr>
          <w:rFonts w:ascii="Times New Roman" w:hAnsi="Times New Roman"/>
          <w:sz w:val="26"/>
        </w:rPr>
        <w:t>. [Accessed: Oct. 19, 2026].</w:t>
      </w:r>
    </w:p>
    <w:p>
      <w:pPr>
        <w:spacing w:before="60" w:after="60" w:line="288" w:lineRule="auto"/>
        <w:jc w:val="both"/>
      </w:pPr>
      <w:hyperlink r:id="rId17">
        <w:r>
          <w:rPr>
            <w:rFonts w:ascii="Times New Roman" w:hAnsi="Times New Roman"/>
            <w:sz w:val="26"/>
            <w:color w:val="0563C1"/>
            <w:u w:val="single"/>
            <w:noProof/>
          </w:rPr>
          <w:t>9] Google DeepMind (2024). *Gemini: A Family of Highly Capable Multimodal Models*. Technical Report. Gemini API Documentation: Function Calling with ToolConfig. [Online]. Available: [https://ai.google.dev/gemini-api/docs/function-calling</w:t>
        </w:r>
      </w:hyperlink>
      <w:r>
        <w:rPr>
          <w:rFonts w:ascii="Times New Roman" w:hAnsi="Times New Roman"/>
          <w:sz w:val="26"/>
        </w:rPr>
        <w:t>. [Accessed: Oct. 19, 2026].</w:t>
      </w:r>
    </w:p>
    <w:p>
      <w:pPr>
        <w:spacing w:before="60" w:after="60" w:line="288" w:lineRule="auto"/>
        <w:jc w:val="both"/>
      </w:pPr>
      <w:hyperlink r:id="rId32">
        <w:r>
          <w:rPr>
            <w:rFonts w:ascii="Times New Roman" w:hAnsi="Times New Roman"/>
            <w:sz w:val="26"/>
            <w:color w:val="0563C1"/>
            <w:u w:val="single"/>
            <w:noProof/>
          </w:rPr>
          <w:t>10] Pedregosa, F. et al. (2011). *Scikit-learn: Machine Learning in Python*. Journal of Machine Learning Research, vol. 12, pp. 2825–2830. [Online]. Available: [https://scikit-learn.org/stable/</w:t>
        </w:r>
      </w:hyperlink>
      <w:r>
        <w:rPr>
          <w:rFonts w:ascii="Times New Roman" w:hAnsi="Times New Roman"/>
          <w:sz w:val="26"/>
        </w:rPr>
        <w:t>. [Accessed: Oct. 19, 2026].</w:t>
      </w:r>
    </w:p>
    <w:p>
      <w:pPr>
        <w:spacing w:before="60" w:after="60" w:line="288" w:lineRule="auto"/>
        <w:jc w:val="both"/>
      </w:pPr>
      <w:r>
        <w:rPr>
          <w:rFonts w:ascii="Times New Roman" w:hAnsi="Times New Roman"/>
          <w:sz w:val="26"/>
        </w:rPr>
        <w:t>11] Subhash, P. (2017). *IBM HR Analytics Employee Attrition &amp; Performance Dataset*. IBM Corporation / Kaggle Dataset. [Online]. Available: [https://www.kaggle.com/datasets/pavansubhasht/ibm-hr-analytics-attrition-dataset</w:t>
      </w:r>
      <w:r>
        <w:rPr>
          <w:rFonts w:ascii="Times New Roman" w:hAnsi="Times New Roman"/>
          <w:sz w:val="26"/>
        </w:rPr>
        <w:t>. [Accessed: Oct. 19, 2026].</w:t>
      </w:r>
    </w:p>
    <w:p>
      <w:pPr>
        <w:spacing w:before="60" w:after="60" w:line="288" w:lineRule="auto"/>
        <w:jc w:val="both"/>
      </w:pPr>
      <w:hyperlink r:id="rId26">
        <w:r>
          <w:rPr>
            <w:rFonts w:ascii="Times New Roman" w:hAnsi="Times New Roman"/>
            <w:sz w:val="26"/>
            <w:color w:val="0563C1"/>
            <w:u w:val="single"/>
            <w:noProof/>
          </w:rPr>
          <w:t>12] MongoDB, Inc. (2026). *MongoDB Documentation: Flexible Schema and Document-Oriented Database Architecture*. [Online]. Available: [https://www.mongodb.com/docs/manual/core/document/</w:t>
        </w:r>
      </w:hyperlink>
      <w:r>
        <w:rPr>
          <w:rFonts w:ascii="Times New Roman" w:hAnsi="Times New Roman"/>
          <w:sz w:val="26"/>
        </w:rPr>
        <w:t>. [Accessed: Oct. 19, 2026].</w:t>
      </w:r>
    </w:p>
    <w:p>
      <w:pPr>
        <w:spacing w:before="60" w:after="60" w:line="288" w:lineRule="auto"/>
        <w:jc w:val="both"/>
      </w:pPr>
      <w:hyperlink r:id="rId22">
        <w:r>
          <w:rPr>
            <w:rFonts w:ascii="Times New Roman" w:hAnsi="Times New Roman"/>
            <w:sz w:val="26"/>
            <w:color w:val="0563C1"/>
            <w:u w:val="single"/>
            <w:noProof/>
          </w:rPr>
          <w:t>13] OpenJS Foundation (2026). *Node.js Documentation: Event Loop, Timers, and Non-blocking I/O Architecture*. [Online]. Available: [https://nodejs.org/en/learn/asynchronous-work/event-loop-timers-and-nexttick</w:t>
        </w:r>
      </w:hyperlink>
      <w:r>
        <w:rPr>
          <w:rFonts w:ascii="Times New Roman" w:hAnsi="Times New Roman"/>
          <w:sz w:val="26"/>
        </w:rPr>
        <w:t>. [Accessed: Oct. 19, 2026].</w:t>
      </w:r>
    </w:p>
    <w:p>
      <w:pPr>
        <w:spacing w:before="60" w:after="60" w:line="288" w:lineRule="auto"/>
        <w:jc w:val="both"/>
      </w:pPr>
      <w:hyperlink r:id="rId19">
        <w:r>
          <w:rPr>
            <w:rFonts w:ascii="Times New Roman" w:hAnsi="Times New Roman"/>
            <w:sz w:val="26"/>
            <w:color w:val="0563C1"/>
            <w:u w:val="single"/>
            <w:noProof/>
          </w:rPr>
          <w:t>14] Meta Open Source (2026). *React Documentation: Preserving and Resetting State through Virtual DOM and Diffing*. [Online]. Available: [https://react.dev/learn/preserving-and-resetting-state</w:t>
        </w:r>
      </w:hyperlink>
      <w:r>
        <w:rPr>
          <w:rFonts w:ascii="Times New Roman" w:hAnsi="Times New Roman"/>
          <w:sz w:val="26"/>
        </w:rPr>
        <w:t>. [Accessed: Oct. 19, 2026].</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2"/>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120" w:after="120"/>
    </w:pPr>
    <w:rPr>
      <w:rFonts w:ascii="Times New Roman" w:hAnsi="Times New Roman"/>
      <w:color w:val="000000"/>
      <w:sz w:val="26"/>
      <w:lang w:val="vi-VN" w:eastAsia="vi-VN" w:bidi="vi-VN"/>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thuvienphapluat.vn/van-ban/Lao-dong-Tien-luong/Bo-Luat-lao-dong-2019-333670.asp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thuvienphapluat.vn/" TargetMode="External"/><Relationship Id="rId15" Type="http://schemas.openxmlformats.org/officeDocument/2006/relationships/hyperlink" Target="https://thuvienphapluat.vn/van-ban/Cong-nghe-thong-tin/Nghi-dinh-13-2023-ND-CP-bao-ve-du-lieu-ca-nhan-536968.aspx" TargetMode="External"/><Relationship Id="rId16" Type="http://schemas.openxmlformats.org/officeDocument/2006/relationships/hyperlink" Target="https://ai.google.dev/edge/mediapipe/solutions/vision/face_landmarker" TargetMode="External"/><Relationship Id="rId17" Type="http://schemas.openxmlformats.org/officeDocument/2006/relationships/hyperlink" Target="https://ai.google.dev/gemini-api/docs/function-calling" TargetMode="External"/><Relationship Id="rId18" Type="http://schemas.openxmlformats.org/officeDocument/2006/relationships/hyperlink" Target="https://www.kaggle.com/datasets/pavansubhasht/ibm-hr-analytics-attrition-dataset" TargetMode="External"/><Relationship Id="rId19" Type="http://schemas.openxmlformats.org/officeDocument/2006/relationships/hyperlink" Target="https://react.dev/learn/preserving-and-resetting-state"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nodejs.org/en/learn/asynchronous-work/event-loop-timers-and-nexttick" TargetMode="Externa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www.mongodb.com/docs/manual/core/document/"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scikit-learn.org/stable/" TargetMode="Externa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thuvienphapluat.vn/van-ban/Lao-dong-Tien-luong/Nghi-dinh-145-2020-ND-CP-huong-dan-Bo-luat-Lao-dong-ve-dieu-kien-quan-he-lao-dong-46098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