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微软雅黑"/>
          <w:b/>
          <w:color w:val="6E6E6E"/>
          <w:sz w:val="18"/>
        </w:rPr>
        <w:t>FLOWCREDIT · ON-CHAIN AI CREDIT RISK INTELLIGENCE — TESTNET DEMO</w:t>
      </w:r>
    </w:p>
    <w:p>
      <w:pPr>
        <w:spacing w:before="40" w:after="40" w:line="276" w:lineRule="auto"/>
      </w:pPr>
      <w:r>
        <w:rPr>
          <w:rFonts w:ascii="Calibri" w:hAnsi="Calibri" w:eastAsia="微软雅黑"/>
          <w:b/>
          <w:color w:val="000000"/>
          <w:sz w:val="44"/>
        </w:rPr>
        <w:t>基础风控评估报告</w:t>
      </w:r>
    </w:p>
    <w:p>
      <w:pPr>
        <w:spacing w:before="0" w:after="200" w:line="288" w:lineRule="auto"/>
      </w:pPr>
      <w:r>
        <w:rPr>
          <w:rFonts w:ascii="Calibri" w:hAnsi="Calibri" w:eastAsia="宋体"/>
          <w:color w:val="595959"/>
          <w:sz w:val="25"/>
        </w:rPr>
        <w:t>链上可验证 AI 风控 · 样例输出 —— 评估对象：Healthy Merchant（AI 算力/推理服务画像）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>报告编号　FC-RISK-20260904-HM-001</w:t>
      </w:r>
      <w:r>
        <w:rPr>
          <w:rFonts w:ascii="Calibri" w:hAnsi="Calibri" w:eastAsia="宋体"/>
          <w:color w:val="262626"/>
          <w:sz w:val="21"/>
        </w:rPr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出具方　</w:t>
      </w:r>
      <w:r>
        <w:rPr>
          <w:rFonts w:ascii="Calibri" w:hAnsi="Calibri" w:eastAsia="宋体"/>
          <w:color w:val="262626"/>
          <w:sz w:val="21"/>
        </w:rPr>
        <w:t>FlowCredit Risk Lab（概念演示）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数据性质　</w:t>
      </w:r>
      <w:r>
        <w:rPr>
          <w:rFonts w:ascii="Calibri" w:hAnsi="Calibri" w:eastAsia="宋体"/>
          <w:color w:val="262626"/>
          <w:sz w:val="21"/>
        </w:rPr>
        <w:t>模拟数据 · testnet demo · simulated · not financial advice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口径版本　</w:t>
      </w:r>
      <w:r>
        <w:rPr>
          <w:rFonts w:ascii="Calibri" w:hAnsi="Calibri" w:eastAsia="宋体"/>
          <w:color w:val="262626"/>
          <w:sz w:val="21"/>
        </w:rPr>
        <w:t>rule v0.1 · demo calibration · 等级规则 A/A-/B/C/D（五档）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>评估日期　2026-09-04</w:t>
      </w:r>
      <w:r>
        <w:rPr>
          <w:rFonts w:ascii="Calibri" w:hAnsi="Calibri" w:eastAsia="宋体"/>
          <w:color w:val="262626"/>
          <w:sz w:val="21"/>
        </w:rPr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>评估结论　CCI 795/1000 · PD 2.3% · 等级 A- · 无红旗 · 建议授信 US$20,000（演示校准）</w:t>
      </w:r>
      <w:r>
        <w:rPr>
          <w:rFonts w:ascii="Calibri" w:hAnsi="Calibri" w:eastAsia="宋体"/>
          <w:color w:val="262626"/>
          <w:sz w:val="21"/>
        </w:rPr>
      </w:r>
    </w:p>
    <w:p>
      <w:pPr>
        <w:spacing w:before="160" w:after="280" w:line="240" w:lineRule="auto"/>
        <w:pBdr>
          <w:bottom w:val="single" w:sz="12" w:space="1" w:color="2E74B5"/>
        </w:pBdr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　报告概述</w:t>
      </w:r>
    </w:p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1F3A5F"/>
          <w:sz w:val="21"/>
        </w:rPr>
        <w:t>结论摘要：</w:t>
      </w:r>
      <w:r>
        <w:rPr>
          <w:rFonts w:ascii="Calibri" w:hAnsi="Calibri" w:eastAsia="宋体"/>
          <w:sz w:val="21"/>
        </w:rPr>
        <w:t>本报告按 FlowCredit P1→P2→P3 演示流水线，对 Healthy Merchant（AI 算力/推理服务画像）完成数据锚定、AI 评分与授信评估。受审主体 CCI 得分 795/1000，对应违约概率 PD 2.3%，等级 A-；五项锚点全部位于同业正常带内，无红旗（VETO）触发；建议授信额度 US$20,000（演示校准值）。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评估路径与在线演示站一致：P1 对四个签名数据源生成 Merkle 指纹并模拟链上锚定；P2 经 L0 采集、L1 归一化、L2 过滤、L3 锚点核验、L4 评分、L5 结果再锚定的流水线输出 CCI；P3 展示凭证核验与贷后压力响应。本报告全部数值由仓库数据现算，与演示站各页面一致。</w:t>
      </w:r>
    </w:p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9B1C1C"/>
          <w:sz w:val="21"/>
        </w:rPr>
        <w:t>重要提示：</w:t>
      </w:r>
      <w:r>
        <w:rPr>
          <w:rFonts w:ascii="Calibri" w:hAnsi="Calibri" w:eastAsia="宋体"/>
          <w:sz w:val="21"/>
        </w:rPr>
        <w:t>本报告基于 FlowCredit testnet 概念演示的模拟数据，仅用于演示与沟通，不构成任何形式的授信、投资、法律或财务建议。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2　评估对象与基础数据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1　主体基础画像（Healthy Merchant，计量期为演示期）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项目</w:t>
            </w:r>
          </w:p>
        </w:tc>
        <w:tc>
          <w:tcPr>
            <w:tcW w:type="dxa" w:w="68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业务形态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 推理服务（Model: Flagship Reasoning · Task: Inference）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算力消费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Raw Tokens 80.0M · Requests 3.2M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GPU 资源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4,200 GPU·小时（H100-equivalent）· 利用率 85%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经营与回款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月支出 US$58,000 · 客户 168 · 回款率 96%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客户集中度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Top-5 占比 36%（未触发 80% 关联阈值）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异常循环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洗交易/循环占比 2%（低）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价值波动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波动率 7%（低）· 申报/可信偏差 +3%（未告警）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2.1　评估口径与派生指标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评估口径遵循“Raw Token 唯一性”纪律：L1 归一化后的加权 NT（rawNT_M）只用于 L2 毛 NT 计算，不顶替源系统直采的 Raw Token；所有派生指标由纯函数现算，页面与报告均不写死结果。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2　关键指标口径与数值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000"/>
        <w:gridCol w:w="1500"/>
        <w:gridCol w:w="2526"/>
      </w:tblGrid>
      <w:tr>
        <w:trPr>
          <w:tblHeader w:val="true"/>
        </w:trPr>
        <w:tc>
          <w:tcPr>
            <w:tcW w:type="dxa" w:w="20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指标</w:t>
            </w:r>
          </w:p>
        </w:tc>
        <w:tc>
          <w:tcPr>
            <w:tcW w:type="dxa" w:w="30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口径说明</w:t>
            </w:r>
          </w:p>
        </w:tc>
        <w:tc>
          <w:tcPr>
            <w:tcW w:type="dxa" w:w="15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数值</w:t>
            </w:r>
          </w:p>
        </w:tc>
        <w:tc>
          <w:tcPr>
            <w:tcW w:type="dxa" w:w="25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备注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Raw Token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L0 源系统直采（billing）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80.0M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唯一 Raw 口径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加权 NT（rawNT_M）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Raw 经 w_model 1.2 × w_task 1.0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96.0M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仅用于 L2 毛 NT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ValidRate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L2 过滤后的有效比率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94%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去重/去废后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ValidNT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rawNT_M × ValidRate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90.2M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L2 有效净 NT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NT ÷ GPU·小时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22,857 NT/h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同业带 ±30% 内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SCU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GPU·小时 × 利用率 × c_gpu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3,570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算力利用口径</w:t>
            </w:r>
          </w:p>
        </w:tc>
      </w:tr>
    </w:tbl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3　数据来源与可验证性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受审主体的四类数据源各自生成字段摘要（leaf digest），与锚定时间戳、递增 nonce 共同输入 Merkle 树，根哈希（root）作为链上指纹锚定；明细数据保持离线，指纹可重复核验，每次锚定因 nonce 不同而产生新 root，链日志只增累积，便于回溯。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3　数据源清单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4200"/>
        <w:gridCol w:w="2526"/>
      </w:tblGrid>
      <w:tr>
        <w:trPr>
          <w:tblHeader w:val="true"/>
        </w:trPr>
        <w:tc>
          <w:tcPr>
            <w:tcW w:type="dxa" w:w="23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来源</w:t>
            </w:r>
          </w:p>
        </w:tc>
        <w:tc>
          <w:tcPr>
            <w:tcW w:type="dxa" w:w="4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主要字段</w:t>
            </w:r>
          </w:p>
        </w:tc>
        <w:tc>
          <w:tcPr>
            <w:tcW w:type="dxa" w:w="25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核验目的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Cloud / API Billing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Input/Output/Raw Tokens · Requests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算力消费真实性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GPU Telemetry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GPU·小时 · 机型 · 利用率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物理算力佐证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Treasury System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支出 · 客户 · Top-5 · 回款率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经营与回款质量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On-chain Address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 申报序列 · C 可信序列 · 循环率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链上交叉核验</w:t>
            </w:r>
          </w:p>
        </w:tc>
      </w:tr>
    </w:tbl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9B1C1C"/>
          <w:sz w:val="21"/>
        </w:rPr>
        <w:t>演示实现提示：</w:t>
      </w:r>
      <w:r>
        <w:rPr>
          <w:rFonts w:ascii="Calibri" w:hAnsi="Calibri" w:eastAsia="宋体"/>
          <w:sz w:val="21"/>
        </w:rPr>
        <w:t>当前站点以确定性 mock 哈希与随机块号模拟锚定（rule v0.1），未接入真实链；产品化需引入真实数据签名、链上锚定合约与预言机核验。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4　风险模型与评分明细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4.1　模型结构与等级规则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CCI（综合信用指数）= Σ（锚点评分 × 权重）× 10，满分 1000。权重固定为：Efficiency 0.25、Repayment 0.25、Customer 0.20、Cost 0.15、Time/Sybil 0.15。每个锚点按同业带 [lo, hi] 打分（0–100）；命中硬性规则即触发红旗并 VETO，不可被其他高分抵消。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等级为 CCI 的确定性函数（五档）：A ≥800 / A- 750–799 / B 650–749 / C 500–649 / D &lt;500；命中红旗无条件强制 D。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4　五项锚点评分明细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1900"/>
        <w:gridCol w:w="1800"/>
        <w:gridCol w:w="900"/>
        <w:gridCol w:w="1200"/>
        <w:gridCol w:w="1726"/>
      </w:tblGrid>
      <w:tr>
        <w:trPr>
          <w:tblHeader w:val="true"/>
        </w:trPr>
        <w:tc>
          <w:tcPr>
            <w:tcW w:type="dxa" w:w="15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锚点</w:t>
            </w:r>
          </w:p>
        </w:tc>
        <w:tc>
          <w:tcPr>
            <w:tcW w:type="dxa" w:w="1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口径</w:t>
            </w:r>
          </w:p>
        </w:tc>
        <w:tc>
          <w:tcPr>
            <w:tcW w:type="dxa" w:w="18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数值</w:t>
            </w:r>
          </w:p>
        </w:tc>
        <w:tc>
          <w:tcPr>
            <w:tcW w:type="dxa" w:w="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得分</w:t>
            </w:r>
          </w:p>
        </w:tc>
        <w:tc>
          <w:tcPr>
            <w:tcW w:type="dxa" w:w="1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同业带</w:t>
            </w:r>
          </w:p>
        </w:tc>
        <w:tc>
          <w:tcPr>
            <w:tcW w:type="dxa" w:w="17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判定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NT ÷ GPU·小时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22,857 NT/h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76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60–90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Repayment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回款流入 ÷ 收入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96%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88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60–95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Customer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Top-5 集中度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36%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86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55–95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Cost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支出 ÷ 收入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stable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70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50–90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Time / Sybil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平滑度 · 聚类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no cluster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72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55–90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4.2　评分结果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5　评估结论核心指标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000"/>
        <w:gridCol w:w="4426"/>
      </w:tblGrid>
      <w:tr>
        <w:trPr>
          <w:tblHeader w:val="true"/>
        </w:trPr>
        <w:tc>
          <w:tcPr>
            <w:tcW w:type="dxa" w:w="26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指标</w:t>
            </w:r>
          </w:p>
        </w:tc>
        <w:tc>
          <w:tcPr>
            <w:tcW w:type="dxa" w:w="20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结果</w:t>
            </w:r>
          </w:p>
        </w:tc>
        <w:tc>
          <w:tcPr>
            <w:tcW w:type="dxa" w:w="44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CCI 综合指数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795 / 1000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CCI = (76×0.25+88×0.25+86×0.20+70×0.15+72×0.15)×10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PD 违约概率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2.3%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logistic 演示校准曲线：PD(795) ≈ 2.3%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可信等级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A-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五档规则：A- = 750–799，接近 A 档（≥800）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红旗 / VETO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0 项 · 未触发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无硬性规则命中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建议授信额度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演示校准值，非真实授信</w:t>
            </w:r>
          </w:p>
        </w:tc>
      </w:tr>
    </w:tbl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5　授信建议与贷后监控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受审主体无红旗、低波动（7%）、回款与算力利用率良好，按演示口径建议初始授信 US$20,000。贷后进入 P3 动态响应：以 Health Factor（HF）监控价值波动，冲击触发时按序执行告警、去险、通知与部分平仓保护，恢复后额度部分回补。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6　监控响应帧（演示校准）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1700"/>
        <w:gridCol w:w="1900"/>
        <w:gridCol w:w="3026"/>
      </w:tblGrid>
      <w:tr>
        <w:trPr>
          <w:tblHeader w:val="true"/>
        </w:trPr>
        <w:tc>
          <w:tcPr>
            <w:tcW w:type="dxa" w:w="24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阶段</w:t>
            </w:r>
          </w:p>
        </w:tc>
        <w:tc>
          <w:tcPr>
            <w:tcW w:type="dxa" w:w="17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Health Factor</w:t>
            </w:r>
          </w:p>
        </w:tc>
        <w:tc>
          <w:tcPr>
            <w:tcW w:type="dxa" w:w="1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信用额度</w:t>
            </w:r>
          </w:p>
        </w:tc>
        <w:tc>
          <w:tcPr>
            <w:tcW w:type="dxa" w:w="30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语义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基线（idle）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1.85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正常运行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Shock（冲击）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告警横幅触发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De-risk（去险）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US$12,000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主动压缩敞口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Notify（通知）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US$12,000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通知相关方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Partial（部分平仓）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US$12,000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位置保护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Recover（恢复）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1.35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US$18,000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部分恢复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88" w:lineRule="auto"/>
      </w:pPr>
      <w:r>
        <w:rPr>
          <w:rFonts w:ascii="Calibri" w:hAnsi="Calibri" w:eastAsia="宋体"/>
          <w:color w:val="6E6E6E"/>
          <w:sz w:val="19"/>
        </w:rPr>
        <w:t>注：清算线 HF=1.00；上表为演示“冲击→去险→恢复”的主动响应语义，并非真实清算或保证金模型。后续复检建议关注：Top-5 集中度走势、回款率环比、GPU 利用率，以及链上申报（R）与可信值（C）的偏差变化。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6　局限与使用说明</w:t>
      </w:r>
    </w:p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1F3A5F"/>
          <w:sz w:val="21"/>
        </w:rPr>
        <w:t>适用范围：</w:t>
      </w:r>
      <w:r>
        <w:rPr>
          <w:rFonts w:ascii="Calibri" w:hAnsi="Calibri" w:eastAsia="宋体"/>
          <w:sz w:val="21"/>
        </w:rPr>
        <w:t>本报告为 FlowCredit 概念演示的样例输出，服务于产品沟通与流程说明。以下局限在正式使用前必须补齐：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数据为模拟数据（simulated），未接入真实业务系统与真实链上数据；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锚定采用 mock 哈希与随机块号，未经真实签名、链上合约或预言机验证；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模型为单样本演示校准，未经样本外验证与生产级再校准，PD/CCI 仅具演示意义；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正式授信须结合 KYC/AML、数据授权、监管合规与人工复核流程。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附录 A　Sybil 对照评估（VETO 案例）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为便于对照风控决策边界，本附录对第二条演示线 Sybil Address 执行同一流水线。该主体呈现集群/洗交易特征，四项硬性规则命中，触发 VETO，额度归零。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A-1　Healthy Merchant 与 Sybil Address 关键指标对照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213"/>
        <w:gridCol w:w="3213"/>
      </w:tblGrid>
      <w:tr>
        <w:trPr>
          <w:tblHeader w:val="true"/>
        </w:trPr>
        <w:tc>
          <w:tcPr>
            <w:tcW w:type="dxa" w:w="26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指标</w:t>
            </w:r>
          </w:p>
        </w:tc>
        <w:tc>
          <w:tcPr>
            <w:tcW w:type="dxa" w:w="3213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Healthy Merchant</w:t>
            </w:r>
          </w:p>
        </w:tc>
        <w:tc>
          <w:tcPr>
            <w:tcW w:type="dxa" w:w="3213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Sybil Address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Raw Tokens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80.0M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108.0M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折算 NT（rawNT_M）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96.0M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108.0M（毛值更高）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Requests / GPU·小时 / 利用率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3.2M / 4,200 / 85%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9.6M / 210 / 41%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回款率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Top-5 集中度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91%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循环 / 洗交易占比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67%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ValidNT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90.2M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36.7M（反低于健康户）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22,857 NT/h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514,286 NT/h（约 23× · 越界）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SCU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3,570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86.1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CCI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795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PD（违约概率）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2.3%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85.0%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波动率 / 偏差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7% / +3%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58% / +186%（&gt;2σ 告警）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等级（五档）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A-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D（VETO）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红旗 / VETO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0 项 / 无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4 项 / 触发 VETO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建议授信额度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US$0（拒绝）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A-2　Sybil Address 红旗明细与处置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500"/>
        <w:gridCol w:w="3526"/>
      </w:tblGrid>
      <w:tr>
        <w:trPr>
          <w:tblHeader w:val="true"/>
        </w:trPr>
        <w:tc>
          <w:tcPr>
            <w:tcW w:type="dxa" w:w="55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红旗内容</w:t>
            </w:r>
          </w:p>
        </w:tc>
        <w:tc>
          <w:tcPr>
            <w:tcW w:type="dxa" w:w="35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处置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 +2,150%，远超同业带（约 23×）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硬性规则命中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Top-5 91% &gt; 80% 关联阈值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集中度硬性拒绝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Repayment 12% &lt; 20%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回款硬性拒绝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Sybil cluster detected（循环 67%）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聚类拦截</w:t>
            </w:r>
          </w:p>
        </w:tc>
      </w:tr>
    </w:tbl>
    <w:p>
      <w:pPr>
        <w:spacing w:before="120" w:after="120" w:line="264" w:lineRule="auto"/>
      </w:pPr>
      <w:r>
        <w:rPr>
          <w:rFonts w:ascii="Calibri" w:hAnsi="Calibri" w:eastAsia="宋体"/>
          <w:sz w:val="22"/>
        </w:rPr>
        <w:t>结论：VETO 为终局判定，信用额度 US$0，不进入压力测试；该对照说明“高算力流水”不等于“可信收入”，链上申报（R）与可信值（C）的持续偏离是早期预警的关键信号。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附录 B　评级标准 · 术语 · 口径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B.1　风险评级标准（五档）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B-1　等级与 CCI / PD 区间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0"/>
        <w:gridCol w:w="1700"/>
        <w:gridCol w:w="2900"/>
        <w:gridCol w:w="1700"/>
        <w:gridCol w:w="1626"/>
      </w:tblGrid>
      <w:tr>
        <w:trPr>
          <w:tblHeader w:val="true"/>
        </w:trPr>
        <w:tc>
          <w:tcPr>
            <w:tcW w:type="dxa" w:w="11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等级</w:t>
            </w:r>
          </w:p>
        </w:tc>
        <w:tc>
          <w:tcPr>
            <w:tcW w:type="dxa" w:w="17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CCI 区间</w:t>
            </w:r>
          </w:p>
        </w:tc>
        <w:tc>
          <w:tcPr>
            <w:tcW w:type="dxa" w:w="2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PD 区间（近似）</w:t>
            </w:r>
          </w:p>
        </w:tc>
        <w:tc>
          <w:tcPr>
            <w:tcW w:type="dxa" w:w="17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授信建议</w:t>
            </w:r>
          </w:p>
        </w:tc>
        <w:tc>
          <w:tcPr>
            <w:tcW w:type="dxa" w:w="16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风控动作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A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800–1000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≈0.2%–2.2%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高额度授信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常规监控，季度复评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A-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750–799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≈2.2%–3.8%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中高额度授信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月度复评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B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650–749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≈3.8%–11.1%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中额度授信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月度复评，HF 盯市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C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500–649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≈11.2%–41.4%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低额度/担保授信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周度复评，降额预警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D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0–499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≈41.7%+（VETO 强制 D）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拒绝授信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一票否决，额度清零</w:t>
            </w:r>
          </w:p>
        </w:tc>
      </w:tr>
    </w:tbl>
    <w:p>
      <w:pPr>
        <w:spacing w:before="0" w:after="120" w:line="288" w:lineRule="auto"/>
      </w:pPr>
      <w:r>
        <w:rPr>
          <w:rFonts w:ascii="Calibri" w:hAnsi="Calibri" w:eastAsia="宋体"/>
          <w:color w:val="6E6E6E"/>
          <w:sz w:val="19"/>
        </w:rPr>
        <w:t>注：PD 区间为边界近似 · 示例标定 · 由 PD 曲线反解；命中红旗无条件判 D 且额度清零。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B.2　术语表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术语</w:t>
            </w:r>
          </w:p>
        </w:tc>
        <w:tc>
          <w:tcPr>
            <w:tcW w:type="dxa" w:w="68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定义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NT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标准 Token（Normalized Token），将不同模型/任务消耗量按难度折算后的可比口径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SCU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标准算力单位（Standard Compute Unit），将不同型号 GPU 按基准卡折算后的算力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CCI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可信分（Credit Confidence Index，0–1000），五锚点子分加权后 ×10，对应五档等级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PD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违约概率（Probability of Default），CCI 越高 PD 越低，Logistic 模型标定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Merkle Root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一批数据层层哈希后得到的唯一指纹，数据改动一个字符指纹即变，适合上链存证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双价值背离 D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D = (报表价值 R − 链上可信价值 C) / C，超过 2σ 触发背离告警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HF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健康因子（Health Factor），衡量抵押头寸安全边际，低于清算线 1.00 触发清算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红旗一票否决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命中硬规则时无论其他维度分多高，直接判 D 级、额度清零</w:t>
            </w:r>
          </w:p>
        </w:tc>
      </w:tr>
    </w:tbl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B.3　数据口径说明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本报告所有定量数据均为演示用 mock 示例数据（simulated data），非真实回测结果。CCI 由五锚子分加权现算（效率 25% / 回款 25% / 客户 20% / 成本 15% / 时序 15%），PD 由公式 PD = 1/(1+e^(0.01156*CCI-5.433)) 标定。锚点权重、PD 系数与等级阈值（800/750/650/500）为 Demo 校准值，真实部署需经金融专业确认并基于历史数据训练。L1 口径：Raw Token 取自 L0 原始采集值，rawNT_M 为已乘 w_model/w_task 后的折算 NT，L2 毛 NT 采用 rawNT_M。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B.4　评估局限性与免责声明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本评估报告存在以下局限性：（1）数据范围局限：评估仅覆盖授权采集的四源数据（算力、API、资金、链上），未涵盖企业全部经营活动；（2）模型局限：CCI/PD 模型与等级阈值为 Demo 校准版本，未经真实历史数据训练；（3）存证局限：链上存证仅保证上链后数据不可篡改，不排除数据源本身存在造假或错误的可能；（4）时点局限：评估结论基于评估周期内的数据快照，不代表对未来信用状况的保证。</w:t>
      </w:r>
      <w:r>
        <w:t xml:space="preserve">　（7）定位声明：本报告为 AI 信用风控评估结果与演示输出，不构成审计意见，亦非法定审计；如需审计意见，应由合资格持牌审计师另行出具。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免责声明：本报告由 FlowCredit 链上 AI 信用风控引擎自动生成，仅供演示与参考用途。报告中的评估结果、评分、等级与额度建议均基于测试网模拟数据与示例标定模型，不构成任何金融建议、投资建议、授信决策或法律意见。FlowCredit 为 RegTech 工具，不吸储、不放贷、不碰资金、不做最终授信决定。本报告内容受知识产权保护，未经授权不得复制、分发或用于商业用途。</w:t>
      </w:r>
    </w:p>
    <w:p>
      <w:pPr>
        <w:spacing w:before="240" w:after="120" w:line="264" w:lineRule="auto"/>
        <w:jc w:val="center"/>
      </w:pPr>
      <w:r>
        <w:rPr>
          <w:rFonts w:ascii="Calibri" w:hAnsi="Calibri" w:eastAsia="宋体"/>
          <w:color w:val="6E6E6E"/>
          <w:sz w:val="18"/>
        </w:rPr>
        <w:t>— 报告结束 —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  <w:spacing w:before="0" w:after="0"/>
    </w:pPr>
    <w:r/>
    <w:r>
      <w:rPr>
        <w:rFonts w:ascii="Calibri" w:hAnsi="Calibri"/>
        <w:color w:val="6E6E6E"/>
        <w:sz w:val="17"/>
      </w:rPr>
      <w:t>FlowCredit · 基础风控审计报告（testnet demo · 模拟数据）</w:t>
    </w:r>
    <w:r>
      <w:rPr>
        <w:rFonts w:ascii="Calibri" w:hAnsi="Calibri"/>
        <w:color w:val="6E6E6E"/>
        <w:sz w:val="17"/>
      </w:rPr>
      <w:tab/>
    </w:r>
    <w:r>
      <w:rPr>
        <w:rFonts w:ascii="Calibri" w:hAnsi="Calibri"/>
        <w:color w:val="6E6E6E"/>
        <w:sz w:val="17"/>
      </w:rPr>
      <w:t xml:space="preserve">第 </w:t>
    </w:r>
    <w:fldSimple w:instr=" PAGE ">
      <w:r>
        <w:rPr>
          <w:sz w:val="17"/>
          <w:color w:val="6E6E6E"/>
        </w:rPr>
        <w:t>1</w:t>
      </w:r>
    </w:fldSimple>
    <w:r>
      <w:rPr>
        <w:rFonts w:ascii="Calibri" w:hAnsi="Calibri"/>
        <w:color w:val="6E6E6E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基础风控审计报告（FlowCredit 演示样例）</dc:title>
  <dc:subject/>
  <dc:creator>FlowCredit Risk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