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rFonts w:ascii="Calibri" w:hAnsi="Calibri" w:eastAsia="微软雅黑"/>
          <w:b/>
          <w:color w:val="6E6E6E"/>
          <w:sz w:val="18"/>
        </w:rPr>
        <w:t>FLOWCREDIT · ON-CHAIN AI CREDIT RISK INTELLIGENCE — TESTNET DEMO</w:t>
      </w:r>
    </w:p>
    <w:p>
      <w:pPr>
        <w:spacing w:before="40" w:after="40" w:line="276" w:lineRule="auto"/>
      </w:pPr>
      <w:r>
        <w:rPr>
          <w:rFonts w:ascii="Calibri" w:hAnsi="Calibri" w:eastAsia="微软雅黑"/>
          <w:b/>
          <w:color w:val="000000"/>
          <w:sz w:val="44"/>
        </w:rPr>
        <w:t>基础风控审计报告</w:t>
      </w:r>
    </w:p>
    <w:p>
      <w:pPr>
        <w:spacing w:before="0" w:after="200" w:line="288" w:lineRule="auto"/>
      </w:pPr>
      <w:r>
        <w:rPr>
          <w:rFonts w:ascii="Calibri" w:hAnsi="Calibri" w:eastAsia="宋体"/>
          <w:color w:val="595959"/>
          <w:sz w:val="25"/>
        </w:rPr>
        <w:t>链上可验证 AI 风控 · 样例输出 —— 审计对象：Healthy Merchant（AI 算力/推理服务画像）</w:t>
      </w:r>
    </w:p>
    <w:p>
      <w:pPr>
        <w:spacing w:before="0" w:after="40" w:line="276" w:lineRule="auto"/>
      </w:pPr>
      <w:r>
        <w:rPr>
          <w:rFonts w:ascii="Calibri" w:hAnsi="Calibri" w:eastAsia="微软雅黑"/>
          <w:b/>
          <w:color w:val="1F3A5F"/>
          <w:sz w:val="21"/>
        </w:rPr>
        <w:t xml:space="preserve">报告编号　</w:t>
      </w:r>
      <w:r>
        <w:rPr>
          <w:rFonts w:ascii="Calibri" w:hAnsi="Calibri" w:eastAsia="宋体"/>
          <w:color w:val="262626"/>
          <w:sz w:val="21"/>
        </w:rPr>
        <w:t>FC-AUDIT-20260904-HM-001</w:t>
      </w:r>
    </w:p>
    <w:p>
      <w:pPr>
        <w:spacing w:before="0" w:after="40" w:line="276" w:lineRule="auto"/>
      </w:pPr>
      <w:r>
        <w:rPr>
          <w:rFonts w:ascii="Calibri" w:hAnsi="Calibri" w:eastAsia="微软雅黑"/>
          <w:b/>
          <w:color w:val="1F3A5F"/>
          <w:sz w:val="21"/>
        </w:rPr>
        <w:t xml:space="preserve">出具方　</w:t>
      </w:r>
      <w:r>
        <w:rPr>
          <w:rFonts w:ascii="Calibri" w:hAnsi="Calibri" w:eastAsia="宋体"/>
          <w:color w:val="262626"/>
          <w:sz w:val="21"/>
        </w:rPr>
        <w:t>FlowCredit Risk Lab（概念演示）</w:t>
      </w:r>
    </w:p>
    <w:p>
      <w:pPr>
        <w:spacing w:before="0" w:after="40" w:line="276" w:lineRule="auto"/>
      </w:pPr>
      <w:r>
        <w:rPr>
          <w:rFonts w:ascii="Calibri" w:hAnsi="Calibri" w:eastAsia="微软雅黑"/>
          <w:b/>
          <w:color w:val="1F3A5F"/>
          <w:sz w:val="21"/>
        </w:rPr>
        <w:t xml:space="preserve">数据性质　</w:t>
      </w:r>
      <w:r>
        <w:rPr>
          <w:rFonts w:ascii="Calibri" w:hAnsi="Calibri" w:eastAsia="宋体"/>
          <w:color w:val="262626"/>
          <w:sz w:val="21"/>
        </w:rPr>
        <w:t>模拟数据 · testnet demo · simulated · not financial advice</w:t>
      </w:r>
    </w:p>
    <w:p>
      <w:pPr>
        <w:spacing w:before="0" w:after="40" w:line="276" w:lineRule="auto"/>
      </w:pPr>
      <w:r>
        <w:rPr>
          <w:rFonts w:ascii="Calibri" w:hAnsi="Calibri" w:eastAsia="微软雅黑"/>
          <w:b/>
          <w:color w:val="1F3A5F"/>
          <w:sz w:val="21"/>
        </w:rPr>
        <w:t xml:space="preserve">口径版本　</w:t>
      </w:r>
      <w:r>
        <w:rPr>
          <w:rFonts w:ascii="Calibri" w:hAnsi="Calibri" w:eastAsia="宋体"/>
          <w:color w:val="262626"/>
          <w:sz w:val="21"/>
        </w:rPr>
        <w:t>rule v0.1 · demo calibration · 等级规则 A/A-/B/C/D（五档）</w:t>
      </w:r>
    </w:p>
    <w:p>
      <w:pPr>
        <w:spacing w:before="0" w:after="40" w:line="276" w:lineRule="auto"/>
      </w:pPr>
      <w:r>
        <w:rPr>
          <w:rFonts w:ascii="Calibri" w:hAnsi="Calibri" w:eastAsia="微软雅黑"/>
          <w:b/>
          <w:color w:val="1F3A5F"/>
          <w:sz w:val="21"/>
        </w:rPr>
        <w:t xml:space="preserve">审计日期　</w:t>
      </w:r>
      <w:r>
        <w:rPr>
          <w:rFonts w:ascii="Calibri" w:hAnsi="Calibri" w:eastAsia="宋体"/>
          <w:color w:val="262626"/>
          <w:sz w:val="21"/>
        </w:rPr>
        <w:t>2026-09-04</w:t>
      </w:r>
    </w:p>
    <w:p>
      <w:pPr>
        <w:spacing w:before="0" w:after="40" w:line="276" w:lineRule="auto"/>
      </w:pPr>
      <w:r>
        <w:rPr>
          <w:rFonts w:ascii="Calibri" w:hAnsi="Calibri" w:eastAsia="微软雅黑"/>
          <w:b/>
          <w:color w:val="1F3A5F"/>
          <w:sz w:val="21"/>
        </w:rPr>
        <w:t xml:space="preserve">审计结论　</w:t>
      </w:r>
      <w:r>
        <w:rPr>
          <w:rFonts w:ascii="Calibri" w:hAnsi="Calibri" w:eastAsia="宋体"/>
          <w:color w:val="262626"/>
          <w:sz w:val="21"/>
        </w:rPr>
        <w:t>CCI 795/1000 · PD 2.3% · 等级 A- · 无红旗 · 建议授信 US$20,000（演示校准）</w:t>
      </w:r>
    </w:p>
    <w:p>
      <w:pPr>
        <w:spacing w:before="160" w:after="280" w:line="240" w:lineRule="auto"/>
        <w:pBdr>
          <w:bottom w:val="single" w:sz="12" w:space="1" w:color="2E74B5"/>
        </w:pBdr>
      </w:pPr>
    </w:p>
    <w:p>
      <w:pPr>
        <w:pStyle w:val="Heading1"/>
        <w:keepNext/>
        <w:spacing w:before="320" w:after="160" w:line="264" w:lineRule="auto"/>
      </w:pPr>
      <w:r>
        <w:rPr>
          <w:rFonts w:ascii="Calibri" w:hAnsi="Calibri" w:eastAsia="微软雅黑"/>
          <w:b/>
          <w:color w:val="2E74B5"/>
          <w:sz w:val="32"/>
        </w:rPr>
        <w:t>1　报告概述</w:t>
      </w:r>
    </w:p>
    <w:p>
      <w:pPr>
        <w:spacing w:before="120" w:after="160" w:line="312" w:lineRule="auto"/>
        <w:ind w:left="120" w:right="120"/>
        <w:shd w:val="clear" w:color="auto" w:fill="F4F6F9"/>
        <w:pBdr>
          <w:top w:val="single" w:sz="4" w:space="6" w:color="C9D8E8"/>
          <w:left w:val="single" w:sz="4" w:space="6" w:color="C9D8E8"/>
          <w:bottom w:val="single" w:sz="4" w:space="6" w:color="C9D8E8"/>
          <w:right w:val="single" w:sz="4" w:space="6" w:color="C9D8E8"/>
        </w:pBdr>
      </w:pPr>
      <w:r>
        <w:rPr>
          <w:rFonts w:ascii="Calibri" w:hAnsi="Calibri" w:eastAsia="宋体"/>
          <w:b/>
          <w:color w:val="1F3A5F"/>
          <w:sz w:val="21"/>
        </w:rPr>
        <w:t>结论摘要：</w:t>
      </w:r>
      <w:r>
        <w:rPr>
          <w:rFonts w:ascii="Calibri" w:hAnsi="Calibri" w:eastAsia="宋体"/>
          <w:sz w:val="21"/>
        </w:rPr>
        <w:t>本报告按 FlowCredit P1→P2→P3 演示流水线，对 Healthy Merchant（AI 算力/推理服务画像）完成数据锚定、AI 评分与授信评估。受审主体 CCI 得分 795/1000，对应违约概率 PD 2.3%，等级 A-；五项锚点全部位于同业正常带内，无红旗（VETO）触发；建议授信额度 US$20,000（演示校准值）。</w:t>
      </w:r>
    </w:p>
    <w:p>
      <w:pPr>
        <w:spacing w:before="0" w:after="120" w:line="264" w:lineRule="auto"/>
      </w:pPr>
      <w:r>
        <w:rPr>
          <w:rFonts w:ascii="Calibri" w:hAnsi="Calibri" w:eastAsia="宋体"/>
          <w:sz w:val="22"/>
        </w:rPr>
        <w:t>审计路径与在线演示站一致：P1 对四个签名数据源生成 Merkle 指纹并模拟链上锚定；P2 经 L0 采集、L1 归一化、L2 过滤、L3 锚点核验、L4 评分、L5 结果再锚定的流水线输出 CCI；P3 展示凭证核验与贷后压力响应。本报告全部数值由仓库数据现算，与演示站各页面一致。</w:t>
      </w:r>
    </w:p>
    <w:p>
      <w:pPr>
        <w:spacing w:before="120" w:after="160" w:line="312" w:lineRule="auto"/>
        <w:ind w:left="120" w:right="120"/>
        <w:shd w:val="clear" w:color="auto" w:fill="F4F6F9"/>
        <w:pBdr>
          <w:top w:val="single" w:sz="4" w:space="6" w:color="C9D8E8"/>
          <w:left w:val="single" w:sz="4" w:space="6" w:color="C9D8E8"/>
          <w:bottom w:val="single" w:sz="4" w:space="6" w:color="C9D8E8"/>
          <w:right w:val="single" w:sz="4" w:space="6" w:color="C9D8E8"/>
        </w:pBdr>
      </w:pPr>
      <w:r>
        <w:rPr>
          <w:rFonts w:ascii="Calibri" w:hAnsi="Calibri" w:eastAsia="宋体"/>
          <w:b/>
          <w:color w:val="9B1C1C"/>
          <w:sz w:val="21"/>
        </w:rPr>
        <w:t>重要提示：</w:t>
      </w:r>
      <w:r>
        <w:rPr>
          <w:rFonts w:ascii="Calibri" w:hAnsi="Calibri" w:eastAsia="宋体"/>
          <w:sz w:val="21"/>
        </w:rPr>
        <w:t>本报告基于 FlowCredit testnet 概念演示的模拟数据，仅用于演示与沟通，不构成任何形式的授信、投资、法律或财务建议。</w:t>
      </w:r>
    </w:p>
    <w:p>
      <w:pPr>
        <w:pStyle w:val="Heading1"/>
        <w:keepNext/>
        <w:spacing w:before="320" w:after="160" w:line="264" w:lineRule="auto"/>
      </w:pPr>
      <w:r>
        <w:rPr>
          <w:rFonts w:ascii="Calibri" w:hAnsi="Calibri" w:eastAsia="微软雅黑"/>
          <w:b/>
          <w:color w:val="2E74B5"/>
          <w:sz w:val="32"/>
        </w:rPr>
        <w:t>2　审计对象与基础数据</w:t>
      </w:r>
    </w:p>
    <w:p>
      <w:pPr>
        <w:keepNext/>
        <w:spacing w:before="120" w:after="60" w:line="240" w:lineRule="auto"/>
      </w:pPr>
      <w:r>
        <w:rPr>
          <w:rFonts w:ascii="Calibri" w:hAnsi="Calibri" w:eastAsia="微软雅黑"/>
          <w:b/>
          <w:color w:val="1F4D78"/>
          <w:sz w:val="20"/>
        </w:rPr>
        <w:t>表 1　主体基础画像（Healthy Merchant，计量期为演示期）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200"/>
        <w:gridCol w:w="6826"/>
      </w:tblGrid>
      <w:tr>
        <w:trPr>
          <w:tblHeader w:val="true"/>
        </w:trPr>
        <w:tc>
          <w:tcPr>
            <w:tcW w:type="dxa" w:w="2200"/>
            <w:shd w:val="clear" w:color="auto" w:fill="F2F4F7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color w:val="1F3A5F"/>
                <w:sz w:val="21"/>
              </w:rPr>
              <w:t>项目</w:t>
            </w:r>
          </w:p>
        </w:tc>
        <w:tc>
          <w:tcPr>
            <w:tcW w:type="dxa" w:w="6826"/>
            <w:shd w:val="clear" w:color="auto" w:fill="F2F4F7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color w:val="1F3A5F"/>
                <w:sz w:val="21"/>
              </w:rPr>
              <w:t>内容</w:t>
            </w:r>
          </w:p>
        </w:tc>
      </w:tr>
      <w:tr>
        <w:tc>
          <w:tcPr>
            <w:tcW w:type="dxa" w:w="22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业务形态</w:t>
            </w:r>
          </w:p>
        </w:tc>
        <w:tc>
          <w:tcPr>
            <w:tcW w:type="dxa" w:w="68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AI 推理服务（Model: Flagship Reasoning · Task: Inference）</w:t>
            </w:r>
          </w:p>
        </w:tc>
      </w:tr>
      <w:tr>
        <w:tc>
          <w:tcPr>
            <w:tcW w:type="dxa" w:w="22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算力消费</w:t>
            </w:r>
          </w:p>
        </w:tc>
        <w:tc>
          <w:tcPr>
            <w:tcW w:type="dxa" w:w="68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Raw Tokens 80.0M · Requests 3.2M</w:t>
            </w:r>
          </w:p>
        </w:tc>
      </w:tr>
      <w:tr>
        <w:tc>
          <w:tcPr>
            <w:tcW w:type="dxa" w:w="22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GPU 资源</w:t>
            </w:r>
          </w:p>
        </w:tc>
        <w:tc>
          <w:tcPr>
            <w:tcW w:type="dxa" w:w="68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4,200 GPU·小时（H100-equivalent）· 利用率 85%</w:t>
            </w:r>
          </w:p>
        </w:tc>
      </w:tr>
      <w:tr>
        <w:tc>
          <w:tcPr>
            <w:tcW w:type="dxa" w:w="22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经营与回款</w:t>
            </w:r>
          </w:p>
        </w:tc>
        <w:tc>
          <w:tcPr>
            <w:tcW w:type="dxa" w:w="68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月支出 US$58,000 · 客户 168 · 回款率 96%</w:t>
            </w:r>
          </w:p>
        </w:tc>
      </w:tr>
      <w:tr>
        <w:tc>
          <w:tcPr>
            <w:tcW w:type="dxa" w:w="22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客户集中度</w:t>
            </w:r>
          </w:p>
        </w:tc>
        <w:tc>
          <w:tcPr>
            <w:tcW w:type="dxa" w:w="68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Top-5 占比 36%（未触发 80% 关联阈值）</w:t>
            </w:r>
          </w:p>
        </w:tc>
      </w:tr>
      <w:tr>
        <w:tc>
          <w:tcPr>
            <w:tcW w:type="dxa" w:w="22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异常循环</w:t>
            </w:r>
          </w:p>
        </w:tc>
        <w:tc>
          <w:tcPr>
            <w:tcW w:type="dxa" w:w="68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洗交易/循环占比 2%（低）</w:t>
            </w:r>
          </w:p>
        </w:tc>
      </w:tr>
      <w:tr>
        <w:tc>
          <w:tcPr>
            <w:tcW w:type="dxa" w:w="22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价值波动</w:t>
            </w:r>
          </w:p>
        </w:tc>
        <w:tc>
          <w:tcPr>
            <w:tcW w:type="dxa" w:w="68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波动率 7%（低）· 申报/可信偏差 +3%（未告警）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keepNext/>
        <w:spacing w:before="240" w:after="120" w:line="264" w:lineRule="auto"/>
      </w:pPr>
      <w:r>
        <w:rPr>
          <w:rFonts w:ascii="Calibri" w:hAnsi="Calibri" w:eastAsia="微软雅黑"/>
          <w:b/>
          <w:color w:val="2E74B5"/>
          <w:sz w:val="26"/>
        </w:rPr>
        <w:t>2.1　审计口径与派生指标</w:t>
      </w:r>
    </w:p>
    <w:p>
      <w:pPr>
        <w:spacing w:before="0" w:after="120" w:line="264" w:lineRule="auto"/>
      </w:pPr>
      <w:r>
        <w:rPr>
          <w:rFonts w:ascii="Calibri" w:hAnsi="Calibri" w:eastAsia="宋体"/>
          <w:sz w:val="22"/>
        </w:rPr>
        <w:t>审计口径遵循“Raw Token 唯一性”纪律：L1 归一化后的加权 NT（rawNT_M）只用于 L2 毛 NT 计算，不顶替源系统直采的 Raw Token；所有派生指标由纯函数现算，页面与报告均不写死结果。</w:t>
      </w:r>
    </w:p>
    <w:p>
      <w:pPr>
        <w:keepNext/>
        <w:spacing w:before="120" w:after="60" w:line="240" w:lineRule="auto"/>
      </w:pPr>
      <w:r>
        <w:rPr>
          <w:rFonts w:ascii="Calibri" w:hAnsi="Calibri" w:eastAsia="微软雅黑"/>
          <w:b/>
          <w:color w:val="1F4D78"/>
          <w:sz w:val="20"/>
        </w:rPr>
        <w:t>表 2　关键指标口径与数值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3000"/>
        <w:gridCol w:w="1500"/>
        <w:gridCol w:w="2526"/>
      </w:tblGrid>
      <w:tr>
        <w:trPr>
          <w:tblHeader w:val="true"/>
        </w:trPr>
        <w:tc>
          <w:tcPr>
            <w:tcW w:type="dxa" w:w="2000"/>
            <w:shd w:val="clear" w:color="auto" w:fill="F2F4F7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color w:val="1F3A5F"/>
                <w:sz w:val="21"/>
              </w:rPr>
              <w:t>指标</w:t>
            </w:r>
          </w:p>
        </w:tc>
        <w:tc>
          <w:tcPr>
            <w:tcW w:type="dxa" w:w="3000"/>
            <w:shd w:val="clear" w:color="auto" w:fill="F2F4F7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color w:val="1F3A5F"/>
                <w:sz w:val="21"/>
              </w:rPr>
              <w:t>口径说明</w:t>
            </w:r>
          </w:p>
        </w:tc>
        <w:tc>
          <w:tcPr>
            <w:tcW w:type="dxa" w:w="1500"/>
            <w:shd w:val="clear" w:color="auto" w:fill="F2F4F7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color w:val="1F3A5F"/>
                <w:sz w:val="21"/>
              </w:rPr>
              <w:t>数值</w:t>
            </w:r>
          </w:p>
        </w:tc>
        <w:tc>
          <w:tcPr>
            <w:tcW w:type="dxa" w:w="2526"/>
            <w:shd w:val="clear" w:color="auto" w:fill="F2F4F7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color w:val="1F3A5F"/>
                <w:sz w:val="21"/>
              </w:rPr>
              <w:t>备注</w:t>
            </w:r>
          </w:p>
        </w:tc>
      </w:tr>
      <w:tr>
        <w:tc>
          <w:tcPr>
            <w:tcW w:type="dxa" w:w="20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Raw Token</w:t>
            </w:r>
          </w:p>
        </w:tc>
        <w:tc>
          <w:tcPr>
            <w:tcW w:type="dxa" w:w="30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L0 源系统直采（billing）</w:t>
            </w:r>
          </w:p>
        </w:tc>
        <w:tc>
          <w:tcPr>
            <w:tcW w:type="dxa" w:w="15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80.0M</w:t>
            </w:r>
          </w:p>
        </w:tc>
        <w:tc>
          <w:tcPr>
            <w:tcW w:type="dxa" w:w="25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唯一 Raw 口径</w:t>
            </w:r>
          </w:p>
        </w:tc>
      </w:tr>
      <w:tr>
        <w:tc>
          <w:tcPr>
            <w:tcW w:type="dxa" w:w="20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加权 NT（rawNT_M）</w:t>
            </w:r>
          </w:p>
        </w:tc>
        <w:tc>
          <w:tcPr>
            <w:tcW w:type="dxa" w:w="30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Raw 经 w_model 1.2 × w_task 1.0</w:t>
            </w:r>
          </w:p>
        </w:tc>
        <w:tc>
          <w:tcPr>
            <w:tcW w:type="dxa" w:w="15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96.0M</w:t>
            </w:r>
          </w:p>
        </w:tc>
        <w:tc>
          <w:tcPr>
            <w:tcW w:type="dxa" w:w="25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仅用于 L2 毛 NT</w:t>
            </w:r>
          </w:p>
        </w:tc>
      </w:tr>
      <w:tr>
        <w:tc>
          <w:tcPr>
            <w:tcW w:type="dxa" w:w="20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ValidRate</w:t>
            </w:r>
          </w:p>
        </w:tc>
        <w:tc>
          <w:tcPr>
            <w:tcW w:type="dxa" w:w="30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L2 过滤后的有效比率</w:t>
            </w:r>
          </w:p>
        </w:tc>
        <w:tc>
          <w:tcPr>
            <w:tcW w:type="dxa" w:w="15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94%</w:t>
            </w:r>
          </w:p>
        </w:tc>
        <w:tc>
          <w:tcPr>
            <w:tcW w:type="dxa" w:w="25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去重/去废后</w:t>
            </w:r>
          </w:p>
        </w:tc>
      </w:tr>
      <w:tr>
        <w:tc>
          <w:tcPr>
            <w:tcW w:type="dxa" w:w="20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ValidNT</w:t>
            </w:r>
          </w:p>
        </w:tc>
        <w:tc>
          <w:tcPr>
            <w:tcW w:type="dxa" w:w="30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rawNT_M × ValidRate</w:t>
            </w:r>
          </w:p>
        </w:tc>
        <w:tc>
          <w:tcPr>
            <w:tcW w:type="dxa" w:w="15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90.2M</w:t>
            </w:r>
          </w:p>
        </w:tc>
        <w:tc>
          <w:tcPr>
            <w:tcW w:type="dxa" w:w="25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L2 有效净 NT</w:t>
            </w:r>
          </w:p>
        </w:tc>
      </w:tr>
      <w:tr>
        <w:tc>
          <w:tcPr>
            <w:tcW w:type="dxa" w:w="20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Efficiency</w:t>
            </w:r>
          </w:p>
        </w:tc>
        <w:tc>
          <w:tcPr>
            <w:tcW w:type="dxa" w:w="30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NT ÷ GPU·小时</w:t>
            </w:r>
          </w:p>
        </w:tc>
        <w:tc>
          <w:tcPr>
            <w:tcW w:type="dxa" w:w="15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22,857 NT/h</w:t>
            </w:r>
          </w:p>
        </w:tc>
        <w:tc>
          <w:tcPr>
            <w:tcW w:type="dxa" w:w="25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同业带 ±30% 内</w:t>
            </w:r>
          </w:p>
        </w:tc>
      </w:tr>
      <w:tr>
        <w:tc>
          <w:tcPr>
            <w:tcW w:type="dxa" w:w="20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SCU</w:t>
            </w:r>
          </w:p>
        </w:tc>
        <w:tc>
          <w:tcPr>
            <w:tcW w:type="dxa" w:w="30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GPU·小时 × 利用率 × c_gpu</w:t>
            </w:r>
          </w:p>
        </w:tc>
        <w:tc>
          <w:tcPr>
            <w:tcW w:type="dxa" w:w="15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3,570</w:t>
            </w:r>
          </w:p>
        </w:tc>
        <w:tc>
          <w:tcPr>
            <w:tcW w:type="dxa" w:w="25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算力利用口径</w:t>
            </w:r>
          </w:p>
        </w:tc>
      </w:tr>
    </w:tbl>
    <w:p>
      <w:pPr>
        <w:pStyle w:val="Heading1"/>
        <w:keepNext/>
        <w:spacing w:before="320" w:after="160" w:line="264" w:lineRule="auto"/>
      </w:pPr>
      <w:r>
        <w:rPr>
          <w:rFonts w:ascii="Calibri" w:hAnsi="Calibri" w:eastAsia="微软雅黑"/>
          <w:b/>
          <w:color w:val="2E74B5"/>
          <w:sz w:val="32"/>
        </w:rPr>
        <w:t>3　数据来源与可验证性</w:t>
      </w:r>
    </w:p>
    <w:p>
      <w:pPr>
        <w:spacing w:before="0" w:after="120" w:line="264" w:lineRule="auto"/>
      </w:pPr>
      <w:r>
        <w:rPr>
          <w:rFonts w:ascii="Calibri" w:hAnsi="Calibri" w:eastAsia="宋体"/>
          <w:sz w:val="22"/>
        </w:rPr>
        <w:t>受审主体的四类数据源各自生成字段摘要（leaf digest），与锚定时间戳、递增 nonce 共同输入 Merkle 树，根哈希（root）作为链上指纹锚定；明细数据保持离线，指纹可重复核验，每次锚定因 nonce 不同而产生新 root，链日志只增累积，便于回溯。</w:t>
      </w:r>
    </w:p>
    <w:p>
      <w:pPr>
        <w:keepNext/>
        <w:spacing w:before="120" w:after="60" w:line="240" w:lineRule="auto"/>
      </w:pPr>
      <w:r>
        <w:rPr>
          <w:rFonts w:ascii="Calibri" w:hAnsi="Calibri" w:eastAsia="微软雅黑"/>
          <w:b/>
          <w:color w:val="1F4D78"/>
          <w:sz w:val="20"/>
        </w:rPr>
        <w:t>表 3　数据源清单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00"/>
        <w:gridCol w:w="4200"/>
        <w:gridCol w:w="2526"/>
      </w:tblGrid>
      <w:tr>
        <w:trPr>
          <w:tblHeader w:val="true"/>
        </w:trPr>
        <w:tc>
          <w:tcPr>
            <w:tcW w:type="dxa" w:w="2300"/>
            <w:shd w:val="clear" w:color="auto" w:fill="F2F4F7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color w:val="1F3A5F"/>
                <w:sz w:val="21"/>
              </w:rPr>
              <w:t>来源</w:t>
            </w:r>
          </w:p>
        </w:tc>
        <w:tc>
          <w:tcPr>
            <w:tcW w:type="dxa" w:w="4200"/>
            <w:shd w:val="clear" w:color="auto" w:fill="F2F4F7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color w:val="1F3A5F"/>
                <w:sz w:val="21"/>
              </w:rPr>
              <w:t>主要字段</w:t>
            </w:r>
          </w:p>
        </w:tc>
        <w:tc>
          <w:tcPr>
            <w:tcW w:type="dxa" w:w="2526"/>
            <w:shd w:val="clear" w:color="auto" w:fill="F2F4F7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color w:val="1F3A5F"/>
                <w:sz w:val="21"/>
              </w:rPr>
              <w:t>核验目的</w:t>
            </w:r>
          </w:p>
        </w:tc>
      </w:tr>
      <w:tr>
        <w:tc>
          <w:tcPr>
            <w:tcW w:type="dxa" w:w="23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Cloud / API Billing</w:t>
            </w:r>
          </w:p>
        </w:tc>
        <w:tc>
          <w:tcPr>
            <w:tcW w:type="dxa" w:w="42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Input/Output/Raw Tokens · Requests</w:t>
            </w:r>
          </w:p>
        </w:tc>
        <w:tc>
          <w:tcPr>
            <w:tcW w:type="dxa" w:w="25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算力消费真实性</w:t>
            </w:r>
          </w:p>
        </w:tc>
      </w:tr>
      <w:tr>
        <w:tc>
          <w:tcPr>
            <w:tcW w:type="dxa" w:w="23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GPU Telemetry</w:t>
            </w:r>
          </w:p>
        </w:tc>
        <w:tc>
          <w:tcPr>
            <w:tcW w:type="dxa" w:w="42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GPU·小时 · 机型 · 利用率</w:t>
            </w:r>
          </w:p>
        </w:tc>
        <w:tc>
          <w:tcPr>
            <w:tcW w:type="dxa" w:w="25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物理算力佐证</w:t>
            </w:r>
          </w:p>
        </w:tc>
      </w:tr>
      <w:tr>
        <w:tc>
          <w:tcPr>
            <w:tcW w:type="dxa" w:w="23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Treasury System</w:t>
            </w:r>
          </w:p>
        </w:tc>
        <w:tc>
          <w:tcPr>
            <w:tcW w:type="dxa" w:w="42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支出 · 客户 · Top-5 · 回款率</w:t>
            </w:r>
          </w:p>
        </w:tc>
        <w:tc>
          <w:tcPr>
            <w:tcW w:type="dxa" w:w="25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经营与回款质量</w:t>
            </w:r>
          </w:p>
        </w:tc>
      </w:tr>
      <w:tr>
        <w:tc>
          <w:tcPr>
            <w:tcW w:type="dxa" w:w="23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On-chain Address</w:t>
            </w:r>
          </w:p>
        </w:tc>
        <w:tc>
          <w:tcPr>
            <w:tcW w:type="dxa" w:w="42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R 申报序列 · C 可信序列 · 循环率</w:t>
            </w:r>
          </w:p>
        </w:tc>
        <w:tc>
          <w:tcPr>
            <w:tcW w:type="dxa" w:w="25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链上交叉核验</w:t>
            </w:r>
          </w:p>
        </w:tc>
      </w:tr>
    </w:tbl>
    <w:p>
      <w:pPr>
        <w:spacing w:before="120" w:after="160" w:line="312" w:lineRule="auto"/>
        <w:ind w:left="120" w:right="120"/>
        <w:shd w:val="clear" w:color="auto" w:fill="F4F6F9"/>
        <w:pBdr>
          <w:top w:val="single" w:sz="4" w:space="6" w:color="C9D8E8"/>
          <w:left w:val="single" w:sz="4" w:space="6" w:color="C9D8E8"/>
          <w:bottom w:val="single" w:sz="4" w:space="6" w:color="C9D8E8"/>
          <w:right w:val="single" w:sz="4" w:space="6" w:color="C9D8E8"/>
        </w:pBdr>
      </w:pPr>
      <w:r>
        <w:rPr>
          <w:rFonts w:ascii="Calibri" w:hAnsi="Calibri" w:eastAsia="宋体"/>
          <w:b/>
          <w:color w:val="9B1C1C"/>
          <w:sz w:val="21"/>
        </w:rPr>
        <w:t>演示实现提示：</w:t>
      </w:r>
      <w:r>
        <w:rPr>
          <w:rFonts w:ascii="Calibri" w:hAnsi="Calibri" w:eastAsia="宋体"/>
          <w:sz w:val="21"/>
        </w:rPr>
        <w:t>当前站点以确定性 mock 哈希与随机块号模拟锚定（rule v0.1），未接入真实链；产品化需引入真实数据签名、链上锚定合约与预言机核验。</w:t>
      </w:r>
    </w:p>
    <w:p>
      <w:pPr>
        <w:pStyle w:val="Heading1"/>
        <w:keepNext/>
        <w:spacing w:before="320" w:after="160" w:line="264" w:lineRule="auto"/>
      </w:pPr>
      <w:r>
        <w:rPr>
          <w:rFonts w:ascii="Calibri" w:hAnsi="Calibri" w:eastAsia="微软雅黑"/>
          <w:b/>
          <w:color w:val="2E74B5"/>
          <w:sz w:val="32"/>
        </w:rPr>
        <w:t>4　风险模型与评分明细</w:t>
      </w:r>
    </w:p>
    <w:p>
      <w:pPr>
        <w:pStyle w:val="Heading2"/>
        <w:keepNext/>
        <w:spacing w:before="240" w:after="120" w:line="264" w:lineRule="auto"/>
      </w:pPr>
      <w:r>
        <w:rPr>
          <w:rFonts w:ascii="Calibri" w:hAnsi="Calibri" w:eastAsia="微软雅黑"/>
          <w:b/>
          <w:color w:val="2E74B5"/>
          <w:sz w:val="26"/>
        </w:rPr>
        <w:t>4.1　模型结构与等级规则</w:t>
      </w:r>
    </w:p>
    <w:p>
      <w:pPr>
        <w:spacing w:before="0" w:after="120" w:line="264" w:lineRule="auto"/>
      </w:pPr>
      <w:r>
        <w:rPr>
          <w:rFonts w:ascii="Calibri" w:hAnsi="Calibri" w:eastAsia="宋体"/>
          <w:sz w:val="22"/>
        </w:rPr>
        <w:t>CCI（综合信用指数）= Σ（锚点评分 × 权重）× 10，满分 1000。权重固定为：Efficiency 0.25、Repayment 0.25、Customer 0.20、Cost 0.15、Time/Sybil 0.15。每个锚点按同业带 [lo, hi] 打分（0–100）；命中硬性规则即触发红旗并 VETO，不可被其他高分抵消。</w:t>
      </w:r>
    </w:p>
    <w:p>
      <w:pPr>
        <w:spacing w:before="0" w:after="120" w:line="264" w:lineRule="auto"/>
      </w:pPr>
      <w:r>
        <w:rPr>
          <w:rFonts w:ascii="Calibri" w:hAnsi="Calibri" w:eastAsia="宋体"/>
          <w:sz w:val="22"/>
        </w:rPr>
        <w:t>等级为 CCI 的确定性函数（五档）：A ≥800 / A- 750–799 / B 650–749 / C 500–649 / D &lt;500；命中红旗无条件强制 D。</w:t>
      </w:r>
    </w:p>
    <w:p>
      <w:pPr>
        <w:keepNext/>
        <w:spacing w:before="120" w:after="60" w:line="240" w:lineRule="auto"/>
      </w:pPr>
      <w:r>
        <w:rPr>
          <w:rFonts w:ascii="Calibri" w:hAnsi="Calibri" w:eastAsia="微软雅黑"/>
          <w:b/>
          <w:color w:val="1F4D78"/>
          <w:sz w:val="20"/>
        </w:rPr>
        <w:t>表 4　五项锚点评分明细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500"/>
        <w:gridCol w:w="1900"/>
        <w:gridCol w:w="1800"/>
        <w:gridCol w:w="900"/>
        <w:gridCol w:w="1200"/>
        <w:gridCol w:w="1726"/>
      </w:tblGrid>
      <w:tr>
        <w:trPr>
          <w:tblHeader w:val="true"/>
        </w:trPr>
        <w:tc>
          <w:tcPr>
            <w:tcW w:type="dxa" w:w="1500"/>
            <w:shd w:val="clear" w:color="auto" w:fill="F2F4F7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color w:val="1F3A5F"/>
                <w:sz w:val="21"/>
              </w:rPr>
              <w:t>锚点</w:t>
            </w:r>
          </w:p>
        </w:tc>
        <w:tc>
          <w:tcPr>
            <w:tcW w:type="dxa" w:w="1900"/>
            <w:shd w:val="clear" w:color="auto" w:fill="F2F4F7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color w:val="1F3A5F"/>
                <w:sz w:val="21"/>
              </w:rPr>
              <w:t>口径</w:t>
            </w:r>
          </w:p>
        </w:tc>
        <w:tc>
          <w:tcPr>
            <w:tcW w:type="dxa" w:w="1800"/>
            <w:shd w:val="clear" w:color="auto" w:fill="F2F4F7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color w:val="1F3A5F"/>
                <w:sz w:val="21"/>
              </w:rPr>
              <w:t>数值</w:t>
            </w:r>
          </w:p>
        </w:tc>
        <w:tc>
          <w:tcPr>
            <w:tcW w:type="dxa" w:w="900"/>
            <w:shd w:val="clear" w:color="auto" w:fill="F2F4F7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color w:val="1F3A5F"/>
                <w:sz w:val="21"/>
              </w:rPr>
              <w:t>得分</w:t>
            </w:r>
          </w:p>
        </w:tc>
        <w:tc>
          <w:tcPr>
            <w:tcW w:type="dxa" w:w="1200"/>
            <w:shd w:val="clear" w:color="auto" w:fill="F2F4F7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color w:val="1F3A5F"/>
                <w:sz w:val="21"/>
              </w:rPr>
              <w:t>同业带</w:t>
            </w:r>
          </w:p>
        </w:tc>
        <w:tc>
          <w:tcPr>
            <w:tcW w:type="dxa" w:w="1726"/>
            <w:shd w:val="clear" w:color="auto" w:fill="F2F4F7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color w:val="1F3A5F"/>
                <w:sz w:val="21"/>
              </w:rPr>
              <w:t>判定</w:t>
            </w:r>
          </w:p>
        </w:tc>
      </w:tr>
      <w:tr>
        <w:tc>
          <w:tcPr>
            <w:tcW w:type="dxa" w:w="15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Efficiency</w:t>
            </w:r>
          </w:p>
        </w:tc>
        <w:tc>
          <w:tcPr>
            <w:tcW w:type="dxa" w:w="19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NT ÷ GPU·小时</w:t>
            </w:r>
          </w:p>
        </w:tc>
        <w:tc>
          <w:tcPr>
            <w:tcW w:type="dxa" w:w="18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22,857 NT/h</w:t>
            </w:r>
          </w:p>
        </w:tc>
        <w:tc>
          <w:tcPr>
            <w:tcW w:type="dxa" w:w="90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76</w:t>
            </w:r>
          </w:p>
        </w:tc>
        <w:tc>
          <w:tcPr>
            <w:tcW w:type="dxa" w:w="120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60–90</w:t>
            </w:r>
          </w:p>
        </w:tc>
        <w:tc>
          <w:tcPr>
            <w:tcW w:type="dxa" w:w="1726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正常</w:t>
            </w:r>
          </w:p>
        </w:tc>
      </w:tr>
      <w:tr>
        <w:tc>
          <w:tcPr>
            <w:tcW w:type="dxa" w:w="15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Repayment</w:t>
            </w:r>
          </w:p>
        </w:tc>
        <w:tc>
          <w:tcPr>
            <w:tcW w:type="dxa" w:w="19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回款流入 ÷ 收入</w:t>
            </w:r>
          </w:p>
        </w:tc>
        <w:tc>
          <w:tcPr>
            <w:tcW w:type="dxa" w:w="18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96%</w:t>
            </w:r>
          </w:p>
        </w:tc>
        <w:tc>
          <w:tcPr>
            <w:tcW w:type="dxa" w:w="90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88</w:t>
            </w:r>
          </w:p>
        </w:tc>
        <w:tc>
          <w:tcPr>
            <w:tcW w:type="dxa" w:w="120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60–95</w:t>
            </w:r>
          </w:p>
        </w:tc>
        <w:tc>
          <w:tcPr>
            <w:tcW w:type="dxa" w:w="1726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正常</w:t>
            </w:r>
          </w:p>
        </w:tc>
      </w:tr>
      <w:tr>
        <w:tc>
          <w:tcPr>
            <w:tcW w:type="dxa" w:w="15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Customer</w:t>
            </w:r>
          </w:p>
        </w:tc>
        <w:tc>
          <w:tcPr>
            <w:tcW w:type="dxa" w:w="19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Top-5 集中度</w:t>
            </w:r>
          </w:p>
        </w:tc>
        <w:tc>
          <w:tcPr>
            <w:tcW w:type="dxa" w:w="18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36%</w:t>
            </w:r>
          </w:p>
        </w:tc>
        <w:tc>
          <w:tcPr>
            <w:tcW w:type="dxa" w:w="90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86</w:t>
            </w:r>
          </w:p>
        </w:tc>
        <w:tc>
          <w:tcPr>
            <w:tcW w:type="dxa" w:w="120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55–95</w:t>
            </w:r>
          </w:p>
        </w:tc>
        <w:tc>
          <w:tcPr>
            <w:tcW w:type="dxa" w:w="1726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正常</w:t>
            </w:r>
          </w:p>
        </w:tc>
      </w:tr>
      <w:tr>
        <w:tc>
          <w:tcPr>
            <w:tcW w:type="dxa" w:w="15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Cost</w:t>
            </w:r>
          </w:p>
        </w:tc>
        <w:tc>
          <w:tcPr>
            <w:tcW w:type="dxa" w:w="19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支出 ÷ 收入</w:t>
            </w:r>
          </w:p>
        </w:tc>
        <w:tc>
          <w:tcPr>
            <w:tcW w:type="dxa" w:w="18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stable</w:t>
            </w:r>
          </w:p>
        </w:tc>
        <w:tc>
          <w:tcPr>
            <w:tcW w:type="dxa" w:w="90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70</w:t>
            </w:r>
          </w:p>
        </w:tc>
        <w:tc>
          <w:tcPr>
            <w:tcW w:type="dxa" w:w="120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50–90</w:t>
            </w:r>
          </w:p>
        </w:tc>
        <w:tc>
          <w:tcPr>
            <w:tcW w:type="dxa" w:w="1726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正常</w:t>
            </w:r>
          </w:p>
        </w:tc>
      </w:tr>
      <w:tr>
        <w:tc>
          <w:tcPr>
            <w:tcW w:type="dxa" w:w="15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Time / Sybil</w:t>
            </w:r>
          </w:p>
        </w:tc>
        <w:tc>
          <w:tcPr>
            <w:tcW w:type="dxa" w:w="19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平滑度 · 聚类</w:t>
            </w:r>
          </w:p>
        </w:tc>
        <w:tc>
          <w:tcPr>
            <w:tcW w:type="dxa" w:w="18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no cluster</w:t>
            </w:r>
          </w:p>
        </w:tc>
        <w:tc>
          <w:tcPr>
            <w:tcW w:type="dxa" w:w="90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72</w:t>
            </w:r>
          </w:p>
        </w:tc>
        <w:tc>
          <w:tcPr>
            <w:tcW w:type="dxa" w:w="120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55–90</w:t>
            </w:r>
          </w:p>
        </w:tc>
        <w:tc>
          <w:tcPr>
            <w:tcW w:type="dxa" w:w="1726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正常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keepNext/>
        <w:spacing w:before="240" w:after="120" w:line="264" w:lineRule="auto"/>
      </w:pPr>
      <w:r>
        <w:rPr>
          <w:rFonts w:ascii="Calibri" w:hAnsi="Calibri" w:eastAsia="微软雅黑"/>
          <w:b/>
          <w:color w:val="2E74B5"/>
          <w:sz w:val="26"/>
        </w:rPr>
        <w:t>4.2　评分结果</w:t>
      </w:r>
    </w:p>
    <w:p>
      <w:pPr>
        <w:keepNext/>
        <w:spacing w:before="120" w:after="60" w:line="240" w:lineRule="auto"/>
      </w:pPr>
      <w:r>
        <w:rPr>
          <w:rFonts w:ascii="Calibri" w:hAnsi="Calibri" w:eastAsia="微软雅黑"/>
          <w:b/>
          <w:color w:val="1F4D78"/>
          <w:sz w:val="20"/>
        </w:rPr>
        <w:t>表 5　审计结论核心指标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600"/>
        <w:gridCol w:w="2000"/>
        <w:gridCol w:w="4426"/>
      </w:tblGrid>
      <w:tr>
        <w:trPr>
          <w:tblHeader w:val="true"/>
        </w:trPr>
        <w:tc>
          <w:tcPr>
            <w:tcW w:type="dxa" w:w="2600"/>
            <w:shd w:val="clear" w:color="auto" w:fill="F2F4F7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color w:val="1F3A5F"/>
                <w:sz w:val="21"/>
              </w:rPr>
              <w:t>指标</w:t>
            </w:r>
          </w:p>
        </w:tc>
        <w:tc>
          <w:tcPr>
            <w:tcW w:type="dxa" w:w="2000"/>
            <w:shd w:val="clear" w:color="auto" w:fill="F2F4F7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color w:val="1F3A5F"/>
                <w:sz w:val="21"/>
              </w:rPr>
              <w:t>结果</w:t>
            </w:r>
          </w:p>
        </w:tc>
        <w:tc>
          <w:tcPr>
            <w:tcW w:type="dxa" w:w="4426"/>
            <w:shd w:val="clear" w:color="auto" w:fill="F2F4F7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color w:val="1F3A5F"/>
                <w:sz w:val="21"/>
              </w:rPr>
              <w:t>说明</w:t>
            </w:r>
          </w:p>
        </w:tc>
      </w:tr>
      <w:tr>
        <w:tc>
          <w:tcPr>
            <w:tcW w:type="dxa" w:w="26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CCI 综合指数</w:t>
            </w:r>
          </w:p>
        </w:tc>
        <w:tc>
          <w:tcPr>
            <w:tcW w:type="dxa" w:w="20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795 / 1000</w:t>
            </w:r>
          </w:p>
        </w:tc>
        <w:tc>
          <w:tcPr>
            <w:tcW w:type="dxa" w:w="44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CCI = (76×0.25+88×0.25+86×0.20+70×0.15+72×0.15)×10</w:t>
            </w:r>
          </w:p>
        </w:tc>
      </w:tr>
      <w:tr>
        <w:tc>
          <w:tcPr>
            <w:tcW w:type="dxa" w:w="26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PD 违约概率</w:t>
            </w:r>
          </w:p>
        </w:tc>
        <w:tc>
          <w:tcPr>
            <w:tcW w:type="dxa" w:w="20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2.3%</w:t>
            </w:r>
          </w:p>
        </w:tc>
        <w:tc>
          <w:tcPr>
            <w:tcW w:type="dxa" w:w="44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logistic 演示校准曲线：PD(795) ≈ 2.3%</w:t>
            </w:r>
          </w:p>
        </w:tc>
      </w:tr>
      <w:tr>
        <w:tc>
          <w:tcPr>
            <w:tcW w:type="dxa" w:w="26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可信等级</w:t>
            </w:r>
          </w:p>
        </w:tc>
        <w:tc>
          <w:tcPr>
            <w:tcW w:type="dxa" w:w="20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A-</w:t>
            </w:r>
          </w:p>
        </w:tc>
        <w:tc>
          <w:tcPr>
            <w:tcW w:type="dxa" w:w="44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五档规则：A- = 750–799，接近 A 档（≥800）</w:t>
            </w:r>
          </w:p>
        </w:tc>
      </w:tr>
      <w:tr>
        <w:tc>
          <w:tcPr>
            <w:tcW w:type="dxa" w:w="26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红旗 / VETO</w:t>
            </w:r>
          </w:p>
        </w:tc>
        <w:tc>
          <w:tcPr>
            <w:tcW w:type="dxa" w:w="20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0 项 · 未触发</w:t>
            </w:r>
          </w:p>
        </w:tc>
        <w:tc>
          <w:tcPr>
            <w:tcW w:type="dxa" w:w="44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无硬性规则命中</w:t>
            </w:r>
          </w:p>
        </w:tc>
      </w:tr>
      <w:tr>
        <w:tc>
          <w:tcPr>
            <w:tcW w:type="dxa" w:w="26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建议授信额度</w:t>
            </w:r>
          </w:p>
        </w:tc>
        <w:tc>
          <w:tcPr>
            <w:tcW w:type="dxa" w:w="20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US$20,000</w:t>
            </w:r>
          </w:p>
        </w:tc>
        <w:tc>
          <w:tcPr>
            <w:tcW w:type="dxa" w:w="44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演示校准值，非真实授信</w:t>
            </w:r>
          </w:p>
        </w:tc>
      </w:tr>
    </w:tbl>
    <w:p>
      <w:pPr>
        <w:pStyle w:val="Heading1"/>
        <w:keepNext/>
        <w:spacing w:before="320" w:after="160" w:line="264" w:lineRule="auto"/>
      </w:pPr>
      <w:r>
        <w:rPr>
          <w:rFonts w:ascii="Calibri" w:hAnsi="Calibri" w:eastAsia="微软雅黑"/>
          <w:b/>
          <w:color w:val="2E74B5"/>
          <w:sz w:val="32"/>
        </w:rPr>
        <w:t>5　授信建议与贷后监控</w:t>
      </w:r>
    </w:p>
    <w:p>
      <w:pPr>
        <w:spacing w:before="0" w:after="120" w:line="264" w:lineRule="auto"/>
      </w:pPr>
      <w:r>
        <w:rPr>
          <w:rFonts w:ascii="Calibri" w:hAnsi="Calibri" w:eastAsia="宋体"/>
          <w:sz w:val="22"/>
        </w:rPr>
        <w:t>受审主体无红旗、低波动（7%）、回款与算力利用率良好，按演示口径建议初始授信 US$20,000。贷后进入 P3 动态响应：以 Health Factor（HF）监控价值波动，冲击触发时按序执行告警、去险、通知与部分平仓保护，恢复后额度部分回补。</w:t>
      </w:r>
    </w:p>
    <w:p>
      <w:pPr>
        <w:keepNext/>
        <w:spacing w:before="120" w:after="60" w:line="240" w:lineRule="auto"/>
      </w:pPr>
      <w:r>
        <w:rPr>
          <w:rFonts w:ascii="Calibri" w:hAnsi="Calibri" w:eastAsia="微软雅黑"/>
          <w:b/>
          <w:color w:val="1F4D78"/>
          <w:sz w:val="20"/>
        </w:rPr>
        <w:t>表 6　监控响应帧（演示校准）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1700"/>
        <w:gridCol w:w="1900"/>
        <w:gridCol w:w="3026"/>
      </w:tblGrid>
      <w:tr>
        <w:trPr>
          <w:tblHeader w:val="true"/>
        </w:trPr>
        <w:tc>
          <w:tcPr>
            <w:tcW w:type="dxa" w:w="2400"/>
            <w:shd w:val="clear" w:color="auto" w:fill="F2F4F7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color w:val="1F3A5F"/>
                <w:sz w:val="21"/>
              </w:rPr>
              <w:t>阶段</w:t>
            </w:r>
          </w:p>
        </w:tc>
        <w:tc>
          <w:tcPr>
            <w:tcW w:type="dxa" w:w="1700"/>
            <w:shd w:val="clear" w:color="auto" w:fill="F2F4F7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color w:val="1F3A5F"/>
                <w:sz w:val="21"/>
              </w:rPr>
              <w:t>Health Factor</w:t>
            </w:r>
          </w:p>
        </w:tc>
        <w:tc>
          <w:tcPr>
            <w:tcW w:type="dxa" w:w="1900"/>
            <w:shd w:val="clear" w:color="auto" w:fill="F2F4F7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color w:val="1F3A5F"/>
                <w:sz w:val="21"/>
              </w:rPr>
              <w:t>信用额度</w:t>
            </w:r>
          </w:p>
        </w:tc>
        <w:tc>
          <w:tcPr>
            <w:tcW w:type="dxa" w:w="3026"/>
            <w:shd w:val="clear" w:color="auto" w:fill="F2F4F7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color w:val="1F3A5F"/>
                <w:sz w:val="21"/>
              </w:rPr>
              <w:t>语义</w:t>
            </w:r>
          </w:p>
        </w:tc>
      </w:tr>
      <w:tr>
        <w:tc>
          <w:tcPr>
            <w:tcW w:type="dxa" w:w="24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基线（idle）</w:t>
            </w:r>
          </w:p>
        </w:tc>
        <w:tc>
          <w:tcPr>
            <w:tcW w:type="dxa" w:w="170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1.85</w:t>
            </w:r>
          </w:p>
        </w:tc>
        <w:tc>
          <w:tcPr>
            <w:tcW w:type="dxa" w:w="190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US$20,000</w:t>
            </w:r>
          </w:p>
        </w:tc>
        <w:tc>
          <w:tcPr>
            <w:tcW w:type="dxa" w:w="30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正常运行</w:t>
            </w:r>
          </w:p>
        </w:tc>
      </w:tr>
      <w:tr>
        <w:tc>
          <w:tcPr>
            <w:tcW w:type="dxa" w:w="24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Shock（冲击）</w:t>
            </w:r>
          </w:p>
        </w:tc>
        <w:tc>
          <w:tcPr>
            <w:tcW w:type="dxa" w:w="170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1.05</w:t>
            </w:r>
          </w:p>
        </w:tc>
        <w:tc>
          <w:tcPr>
            <w:tcW w:type="dxa" w:w="190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US$20,000</w:t>
            </w:r>
          </w:p>
        </w:tc>
        <w:tc>
          <w:tcPr>
            <w:tcW w:type="dxa" w:w="30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告警横幅触发</w:t>
            </w:r>
          </w:p>
        </w:tc>
      </w:tr>
      <w:tr>
        <w:tc>
          <w:tcPr>
            <w:tcW w:type="dxa" w:w="24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De-risk（去险）</w:t>
            </w:r>
          </w:p>
        </w:tc>
        <w:tc>
          <w:tcPr>
            <w:tcW w:type="dxa" w:w="170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1.05</w:t>
            </w:r>
          </w:p>
        </w:tc>
        <w:tc>
          <w:tcPr>
            <w:tcW w:type="dxa" w:w="190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US$12,000</w:t>
            </w:r>
          </w:p>
        </w:tc>
        <w:tc>
          <w:tcPr>
            <w:tcW w:type="dxa" w:w="30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主动压缩敞口</w:t>
            </w:r>
          </w:p>
        </w:tc>
      </w:tr>
      <w:tr>
        <w:tc>
          <w:tcPr>
            <w:tcW w:type="dxa" w:w="24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Notify（通知）</w:t>
            </w:r>
          </w:p>
        </w:tc>
        <w:tc>
          <w:tcPr>
            <w:tcW w:type="dxa" w:w="170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1.05</w:t>
            </w:r>
          </w:p>
        </w:tc>
        <w:tc>
          <w:tcPr>
            <w:tcW w:type="dxa" w:w="190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US$12,000</w:t>
            </w:r>
          </w:p>
        </w:tc>
        <w:tc>
          <w:tcPr>
            <w:tcW w:type="dxa" w:w="30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通知相关方</w:t>
            </w:r>
          </w:p>
        </w:tc>
      </w:tr>
      <w:tr>
        <w:tc>
          <w:tcPr>
            <w:tcW w:type="dxa" w:w="24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Partial（部分平仓）</w:t>
            </w:r>
          </w:p>
        </w:tc>
        <w:tc>
          <w:tcPr>
            <w:tcW w:type="dxa" w:w="170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1.05</w:t>
            </w:r>
          </w:p>
        </w:tc>
        <w:tc>
          <w:tcPr>
            <w:tcW w:type="dxa" w:w="190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US$12,000</w:t>
            </w:r>
          </w:p>
        </w:tc>
        <w:tc>
          <w:tcPr>
            <w:tcW w:type="dxa" w:w="30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位置保护</w:t>
            </w:r>
          </w:p>
        </w:tc>
      </w:tr>
      <w:tr>
        <w:tc>
          <w:tcPr>
            <w:tcW w:type="dxa" w:w="24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Recover（恢复）</w:t>
            </w:r>
          </w:p>
        </w:tc>
        <w:tc>
          <w:tcPr>
            <w:tcW w:type="dxa" w:w="170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1.35</w:t>
            </w:r>
          </w:p>
        </w:tc>
        <w:tc>
          <w:tcPr>
            <w:tcW w:type="dxa" w:w="190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US$18,000</w:t>
            </w:r>
          </w:p>
        </w:tc>
        <w:tc>
          <w:tcPr>
            <w:tcW w:type="dxa" w:w="30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部分恢复</w:t>
            </w:r>
          </w:p>
        </w:tc>
      </w:tr>
    </w:tbl>
    <w:p>
      <w:pPr>
        <w:spacing w:before="0" w:after="40" w:line="264" w:lineRule="auto"/>
      </w:pPr>
    </w:p>
    <w:p>
      <w:pPr>
        <w:spacing w:before="0" w:after="120" w:line="288" w:lineRule="auto"/>
      </w:pPr>
      <w:r>
        <w:rPr>
          <w:rFonts w:ascii="Calibri" w:hAnsi="Calibri" w:eastAsia="宋体"/>
          <w:color w:val="6E6E6E"/>
          <w:sz w:val="19"/>
        </w:rPr>
        <w:t>注：清算线 HF=1.00；上表为演示“冲击→去险→恢复”的主动响应语义，并非真实清算或保证金模型。后续复检建议关注：Top-5 集中度走势、回款率环比、GPU 利用率，以及链上申报（R）与可信值（C）的偏差变化。</w:t>
      </w:r>
    </w:p>
    <w:p>
      <w:pPr>
        <w:pStyle w:val="Heading1"/>
        <w:keepNext/>
        <w:spacing w:before="320" w:after="160" w:line="264" w:lineRule="auto"/>
      </w:pPr>
      <w:r>
        <w:rPr>
          <w:rFonts w:ascii="Calibri" w:hAnsi="Calibri" w:eastAsia="微软雅黑"/>
          <w:b/>
          <w:color w:val="2E74B5"/>
          <w:sz w:val="32"/>
        </w:rPr>
        <w:t>6　局限与使用说明</w:t>
      </w:r>
    </w:p>
    <w:p>
      <w:pPr>
        <w:spacing w:before="120" w:after="160" w:line="312" w:lineRule="auto"/>
        <w:ind w:left="120" w:right="120"/>
        <w:shd w:val="clear" w:color="auto" w:fill="F4F6F9"/>
        <w:pBdr>
          <w:top w:val="single" w:sz="4" w:space="6" w:color="C9D8E8"/>
          <w:left w:val="single" w:sz="4" w:space="6" w:color="C9D8E8"/>
          <w:bottom w:val="single" w:sz="4" w:space="6" w:color="C9D8E8"/>
          <w:right w:val="single" w:sz="4" w:space="6" w:color="C9D8E8"/>
        </w:pBdr>
      </w:pPr>
      <w:r>
        <w:rPr>
          <w:rFonts w:ascii="Calibri" w:hAnsi="Calibri" w:eastAsia="宋体"/>
          <w:b/>
          <w:color w:val="1F3A5F"/>
          <w:sz w:val="21"/>
        </w:rPr>
        <w:t>适用范围：</w:t>
      </w:r>
      <w:r>
        <w:rPr>
          <w:rFonts w:ascii="Calibri" w:hAnsi="Calibri" w:eastAsia="宋体"/>
          <w:sz w:val="21"/>
        </w:rPr>
        <w:t>本报告为 FlowCredit 概念演示的样例输出，服务于产品沟通与流程说明。以下局限在正式使用前必须补齐：</w:t>
      </w:r>
    </w:p>
    <w:p>
      <w:pPr>
        <w:spacing w:before="0" w:after="60" w:line="300" w:lineRule="auto"/>
      </w:pPr>
      <w:r>
        <w:rPr>
          <w:rFonts w:ascii="Calibri" w:hAnsi="Calibri" w:eastAsia="宋体"/>
          <w:b/>
          <w:color w:val="2E74B5"/>
          <w:sz w:val="22"/>
        </w:rPr>
        <w:t xml:space="preserve">· </w:t>
      </w:r>
      <w:r>
        <w:rPr>
          <w:rFonts w:ascii="Calibri" w:hAnsi="Calibri" w:eastAsia="宋体"/>
          <w:sz w:val="22"/>
        </w:rPr>
        <w:t>数据为模拟数据（simulated），未接入真实业务系统与真实链上数据；</w:t>
      </w:r>
    </w:p>
    <w:p>
      <w:pPr>
        <w:spacing w:before="0" w:after="60" w:line="300" w:lineRule="auto"/>
      </w:pPr>
      <w:r>
        <w:rPr>
          <w:rFonts w:ascii="Calibri" w:hAnsi="Calibri" w:eastAsia="宋体"/>
          <w:b/>
          <w:color w:val="2E74B5"/>
          <w:sz w:val="22"/>
        </w:rPr>
        <w:t xml:space="preserve">· </w:t>
      </w:r>
      <w:r>
        <w:rPr>
          <w:rFonts w:ascii="Calibri" w:hAnsi="Calibri" w:eastAsia="宋体"/>
          <w:sz w:val="22"/>
        </w:rPr>
        <w:t>锚定采用 mock 哈希与随机块号，未经真实签名、链上合约或预言机验证；</w:t>
      </w:r>
    </w:p>
    <w:p>
      <w:pPr>
        <w:spacing w:before="0" w:after="60" w:line="300" w:lineRule="auto"/>
      </w:pPr>
      <w:r>
        <w:rPr>
          <w:rFonts w:ascii="Calibri" w:hAnsi="Calibri" w:eastAsia="宋体"/>
          <w:b/>
          <w:color w:val="2E74B5"/>
          <w:sz w:val="22"/>
        </w:rPr>
        <w:t xml:space="preserve">· </w:t>
      </w:r>
      <w:r>
        <w:rPr>
          <w:rFonts w:ascii="Calibri" w:hAnsi="Calibri" w:eastAsia="宋体"/>
          <w:sz w:val="22"/>
        </w:rPr>
        <w:t>模型为单样本演示校准，未经样本外验证与生产级再校准，PD/CCI 仅具演示意义；</w:t>
      </w:r>
    </w:p>
    <w:p>
      <w:pPr>
        <w:spacing w:before="0" w:after="60" w:line="300" w:lineRule="auto"/>
      </w:pPr>
      <w:r>
        <w:rPr>
          <w:rFonts w:ascii="Calibri" w:hAnsi="Calibri" w:eastAsia="宋体"/>
          <w:b/>
          <w:color w:val="2E74B5"/>
          <w:sz w:val="22"/>
        </w:rPr>
        <w:t xml:space="preserve">· </w:t>
      </w:r>
      <w:r>
        <w:rPr>
          <w:rFonts w:ascii="Calibri" w:hAnsi="Calibri" w:eastAsia="宋体"/>
          <w:sz w:val="22"/>
        </w:rPr>
        <w:t>正式授信须结合 KYC/AML、数据授权、监管合规与人工复核流程。</w:t>
      </w:r>
    </w:p>
    <w:p>
      <w:r>
        <w:br w:type="page"/>
      </w:r>
    </w:p>
    <w:p>
      <w:pPr>
        <w:pStyle w:val="Heading1"/>
        <w:keepNext/>
        <w:spacing w:before="320" w:after="160" w:line="264" w:lineRule="auto"/>
      </w:pPr>
      <w:r>
        <w:rPr>
          <w:rFonts w:ascii="Calibri" w:hAnsi="Calibri" w:eastAsia="微软雅黑"/>
          <w:b/>
          <w:color w:val="2E74B5"/>
          <w:sz w:val="32"/>
        </w:rPr>
        <w:t>附录 A　Sybil 对照审计（VETO 案例）</w:t>
      </w:r>
    </w:p>
    <w:p>
      <w:pPr>
        <w:spacing w:before="0" w:after="120" w:line="264" w:lineRule="auto"/>
      </w:pPr>
      <w:r>
        <w:rPr>
          <w:rFonts w:ascii="Calibri" w:hAnsi="Calibri" w:eastAsia="宋体"/>
          <w:sz w:val="22"/>
        </w:rPr>
        <w:t>为便于对照风控决策边界，本附录对第二条演示线 Sybil Address 执行同一流水线。该主体呈现集群/洗交易特征，四项硬性规则命中，触发 VETO，额度归零。</w:t>
      </w:r>
    </w:p>
    <w:p>
      <w:pPr>
        <w:keepNext/>
        <w:spacing w:before="120" w:after="60" w:line="240" w:lineRule="auto"/>
      </w:pPr>
      <w:r>
        <w:rPr>
          <w:rFonts w:ascii="Calibri" w:hAnsi="Calibri" w:eastAsia="微软雅黑"/>
          <w:b/>
          <w:color w:val="1F4D78"/>
          <w:sz w:val="20"/>
        </w:rPr>
        <w:t>表 A-1　Healthy Merchant 与 Sybil Address 关键指标对照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600"/>
        <w:gridCol w:w="3213"/>
        <w:gridCol w:w="3213"/>
      </w:tblGrid>
      <w:tr>
        <w:trPr>
          <w:tblHeader w:val="true"/>
        </w:trPr>
        <w:tc>
          <w:tcPr>
            <w:tcW w:type="dxa" w:w="2600"/>
            <w:shd w:val="clear" w:color="auto" w:fill="F2F4F7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color w:val="1F3A5F"/>
                <w:sz w:val="21"/>
              </w:rPr>
              <w:t>指标</w:t>
            </w:r>
          </w:p>
        </w:tc>
        <w:tc>
          <w:tcPr>
            <w:tcW w:type="dxa" w:w="3213"/>
            <w:shd w:val="clear" w:color="auto" w:fill="F2F4F7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color w:val="1F3A5F"/>
                <w:sz w:val="21"/>
              </w:rPr>
              <w:t>Healthy Merchant</w:t>
            </w:r>
          </w:p>
        </w:tc>
        <w:tc>
          <w:tcPr>
            <w:tcW w:type="dxa" w:w="3213"/>
            <w:shd w:val="clear" w:color="auto" w:fill="F2F4F7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color w:val="1F3A5F"/>
                <w:sz w:val="21"/>
              </w:rPr>
              <w:t>Sybil Address</w:t>
            </w:r>
          </w:p>
        </w:tc>
      </w:tr>
      <w:tr>
        <w:tc>
          <w:tcPr>
            <w:tcW w:type="dxa" w:w="26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Raw Tokens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80.0M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108.0M</w:t>
            </w:r>
          </w:p>
        </w:tc>
      </w:tr>
      <w:tr>
        <w:tc>
          <w:tcPr>
            <w:tcW w:type="dxa" w:w="26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折算 NT（rawNT_M）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96.0M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108.0M（毛值更高）</w:t>
            </w:r>
          </w:p>
        </w:tc>
      </w:tr>
      <w:tr>
        <w:tc>
          <w:tcPr>
            <w:tcW w:type="dxa" w:w="26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Requests / GPU·小时 / 利用率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3.2M / 4,200 / 85%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9.6M / 210 / 41%</w:t>
            </w:r>
          </w:p>
        </w:tc>
      </w:tr>
      <w:tr>
        <w:tc>
          <w:tcPr>
            <w:tcW w:type="dxa" w:w="26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回款率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96%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12%</w:t>
            </w:r>
          </w:p>
        </w:tc>
      </w:tr>
      <w:tr>
        <w:tc>
          <w:tcPr>
            <w:tcW w:type="dxa" w:w="26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Top-5 集中度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36%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91%</w:t>
            </w:r>
          </w:p>
        </w:tc>
      </w:tr>
      <w:tr>
        <w:tc>
          <w:tcPr>
            <w:tcW w:type="dxa" w:w="26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循环 / 洗交易占比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2%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67%</w:t>
            </w:r>
          </w:p>
        </w:tc>
      </w:tr>
      <w:tr>
        <w:tc>
          <w:tcPr>
            <w:tcW w:type="dxa" w:w="26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ValidNT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90.2M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36.7M（反低于健康户）</w:t>
            </w:r>
          </w:p>
        </w:tc>
      </w:tr>
      <w:tr>
        <w:tc>
          <w:tcPr>
            <w:tcW w:type="dxa" w:w="26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Efficiency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22,857 NT/h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514,286 NT/h（约 23× · 越界）</w:t>
            </w:r>
          </w:p>
        </w:tc>
      </w:tr>
      <w:tr>
        <w:tc>
          <w:tcPr>
            <w:tcW w:type="dxa" w:w="26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SCU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3,570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86.1</w:t>
            </w:r>
          </w:p>
        </w:tc>
      </w:tr>
      <w:tr>
        <w:tc>
          <w:tcPr>
            <w:tcW w:type="dxa" w:w="26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CCI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795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320</w:t>
            </w:r>
          </w:p>
        </w:tc>
      </w:tr>
      <w:tr>
        <w:tc>
          <w:tcPr>
            <w:tcW w:type="dxa" w:w="26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PD（违约概率）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2.3%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85.0%</w:t>
            </w:r>
          </w:p>
        </w:tc>
      </w:tr>
      <w:tr>
        <w:tc>
          <w:tcPr>
            <w:tcW w:type="dxa" w:w="26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波动率 / 偏差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7% / +3%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58% / +186%（&gt;2σ 告警）</w:t>
            </w:r>
          </w:p>
        </w:tc>
      </w:tr>
      <w:tr>
        <w:tc>
          <w:tcPr>
            <w:tcW w:type="dxa" w:w="26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等级（五档）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A-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D（VETO）</w:t>
            </w:r>
          </w:p>
        </w:tc>
      </w:tr>
      <w:tr>
        <w:tc>
          <w:tcPr>
            <w:tcW w:type="dxa" w:w="26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红旗 / VETO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0 项 / 无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4 项 / 触发 VETO</w:t>
            </w:r>
          </w:p>
        </w:tc>
      </w:tr>
      <w:tr>
        <w:tc>
          <w:tcPr>
            <w:tcW w:type="dxa" w:w="26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建议授信额度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US$20,000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US$0（拒绝）</w:t>
            </w:r>
          </w:p>
        </w:tc>
      </w:tr>
    </w:tbl>
    <w:p>
      <w:pPr>
        <w:spacing w:before="0" w:after="40" w:line="264" w:lineRule="auto"/>
      </w:pPr>
    </w:p>
    <w:p>
      <w:pPr>
        <w:keepNext/>
        <w:spacing w:before="120" w:after="60" w:line="240" w:lineRule="auto"/>
      </w:pPr>
      <w:r>
        <w:rPr>
          <w:rFonts w:ascii="Calibri" w:hAnsi="Calibri" w:eastAsia="微软雅黑"/>
          <w:b/>
          <w:color w:val="1F4D78"/>
          <w:sz w:val="20"/>
        </w:rPr>
        <w:t>表 A-2　Sybil Address 红旗明细与处置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5500"/>
        <w:gridCol w:w="3526"/>
      </w:tblGrid>
      <w:tr>
        <w:trPr>
          <w:tblHeader w:val="true"/>
        </w:trPr>
        <w:tc>
          <w:tcPr>
            <w:tcW w:type="dxa" w:w="5500"/>
            <w:shd w:val="clear" w:color="auto" w:fill="F2F4F7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color w:val="1F3A5F"/>
                <w:sz w:val="21"/>
              </w:rPr>
              <w:t>红旗内容</w:t>
            </w:r>
          </w:p>
        </w:tc>
        <w:tc>
          <w:tcPr>
            <w:tcW w:type="dxa" w:w="3526"/>
            <w:shd w:val="clear" w:color="auto" w:fill="F2F4F7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color w:val="1F3A5F"/>
                <w:sz w:val="21"/>
              </w:rPr>
              <w:t>处置</w:t>
            </w:r>
          </w:p>
        </w:tc>
      </w:tr>
      <w:tr>
        <w:tc>
          <w:tcPr>
            <w:tcW w:type="dxa" w:w="55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Efficiency +2,150%，远超同业带（约 23×）</w:t>
            </w:r>
          </w:p>
        </w:tc>
        <w:tc>
          <w:tcPr>
            <w:tcW w:type="dxa" w:w="35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硬性规则命中</w:t>
            </w:r>
          </w:p>
        </w:tc>
      </w:tr>
      <w:tr>
        <w:tc>
          <w:tcPr>
            <w:tcW w:type="dxa" w:w="55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Top-5 91% &gt; 80% 关联阈值</w:t>
            </w:r>
          </w:p>
        </w:tc>
        <w:tc>
          <w:tcPr>
            <w:tcW w:type="dxa" w:w="35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集中度硬性拒绝</w:t>
            </w:r>
          </w:p>
        </w:tc>
      </w:tr>
      <w:tr>
        <w:tc>
          <w:tcPr>
            <w:tcW w:type="dxa" w:w="55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Repayment 12% &lt; 20%</w:t>
            </w:r>
          </w:p>
        </w:tc>
        <w:tc>
          <w:tcPr>
            <w:tcW w:type="dxa" w:w="35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回款硬性拒绝</w:t>
            </w:r>
          </w:p>
        </w:tc>
      </w:tr>
      <w:tr>
        <w:tc>
          <w:tcPr>
            <w:tcW w:type="dxa" w:w="55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Sybil cluster detected（循环 67%）</w:t>
            </w:r>
          </w:p>
        </w:tc>
        <w:tc>
          <w:tcPr>
            <w:tcW w:type="dxa" w:w="35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聚类拦截</w:t>
            </w:r>
          </w:p>
        </w:tc>
      </w:tr>
    </w:tbl>
    <w:p>
      <w:pPr>
        <w:spacing w:before="120" w:after="120" w:line="264" w:lineRule="auto"/>
      </w:pPr>
      <w:r>
        <w:rPr>
          <w:rFonts w:ascii="Calibri" w:hAnsi="Calibri" w:eastAsia="宋体"/>
          <w:sz w:val="22"/>
        </w:rPr>
        <w:t>结论：VETO 为终局判定，信用额度 US$0，不进入压力测试；该对照说明“高算力流水”不等于“可信收入”，链上申报（R）与可信值（C）的持续偏离是早期预警的关键信号。</w:t>
      </w:r>
    </w:p>
    <w:p>
      <w:pPr>
        <w:pStyle w:val="Heading1"/>
        <w:keepNext/>
        <w:spacing w:before="320" w:after="160" w:line="264" w:lineRule="auto"/>
      </w:pPr>
      <w:r>
        <w:rPr>
          <w:rFonts w:ascii="Calibri" w:hAnsi="Calibri" w:eastAsia="微软雅黑"/>
          <w:b/>
          <w:color w:val="2E74B5"/>
          <w:sz w:val="32"/>
        </w:rPr>
        <w:t>附录 B　评级标准 · 术语 · 口径</w:t>
      </w:r>
    </w:p>
    <w:p>
      <w:pPr>
        <w:pStyle w:val="Heading2"/>
        <w:keepNext/>
        <w:spacing w:before="240" w:after="120" w:line="264" w:lineRule="auto"/>
      </w:pPr>
      <w:r>
        <w:rPr>
          <w:rFonts w:ascii="Calibri" w:hAnsi="Calibri" w:eastAsia="微软雅黑"/>
          <w:b/>
          <w:color w:val="2E74B5"/>
          <w:sz w:val="26"/>
        </w:rPr>
        <w:t>B.1　风险评级标准（五档）</w:t>
      </w:r>
    </w:p>
    <w:p>
      <w:pPr>
        <w:keepNext/>
        <w:spacing w:before="120" w:after="60" w:line="240" w:lineRule="auto"/>
      </w:pPr>
      <w:r>
        <w:rPr>
          <w:rFonts w:ascii="Calibri" w:hAnsi="Calibri" w:eastAsia="微软雅黑"/>
          <w:b/>
          <w:color w:val="1F4D78"/>
          <w:sz w:val="20"/>
        </w:rPr>
        <w:t>表 B-1　等级与 CCI / PD 区间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00"/>
        <w:gridCol w:w="1700"/>
        <w:gridCol w:w="2900"/>
        <w:gridCol w:w="1700"/>
        <w:gridCol w:w="1626"/>
      </w:tblGrid>
      <w:tr>
        <w:trPr>
          <w:tblHeader w:val="true"/>
        </w:trPr>
        <w:tc>
          <w:tcPr>
            <w:tcW w:type="dxa" w:w="1100"/>
            <w:shd w:val="clear" w:color="auto" w:fill="F2F4F7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color w:val="1F3A5F"/>
                <w:sz w:val="21"/>
              </w:rPr>
              <w:t>等级</w:t>
            </w:r>
          </w:p>
        </w:tc>
        <w:tc>
          <w:tcPr>
            <w:tcW w:type="dxa" w:w="1700"/>
            <w:shd w:val="clear" w:color="auto" w:fill="F2F4F7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color w:val="1F3A5F"/>
                <w:sz w:val="21"/>
              </w:rPr>
              <w:t>CCI 区间</w:t>
            </w:r>
          </w:p>
        </w:tc>
        <w:tc>
          <w:tcPr>
            <w:tcW w:type="dxa" w:w="2900"/>
            <w:shd w:val="clear" w:color="auto" w:fill="F2F4F7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color w:val="1F3A5F"/>
                <w:sz w:val="21"/>
              </w:rPr>
              <w:t>PD 区间（近似）</w:t>
            </w:r>
          </w:p>
        </w:tc>
        <w:tc>
          <w:tcPr>
            <w:tcW w:type="dxa" w:w="1700"/>
            <w:shd w:val="clear" w:color="auto" w:fill="F2F4F7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color w:val="1F3A5F"/>
                <w:sz w:val="21"/>
              </w:rPr>
              <w:t>授信建议</w:t>
            </w:r>
          </w:p>
        </w:tc>
        <w:tc>
          <w:tcPr>
            <w:tcW w:type="dxa" w:w="1626"/>
            <w:shd w:val="clear" w:color="auto" w:fill="F2F4F7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color w:val="1F3A5F"/>
                <w:sz w:val="21"/>
              </w:rPr>
              <w:t>风控动作</w:t>
            </w:r>
          </w:p>
        </w:tc>
      </w:tr>
      <w:tr>
        <w:tc>
          <w:tcPr>
            <w:tcW w:type="dxa" w:w="110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21"/>
              </w:rPr>
              <w:t>A</w:t>
            </w:r>
          </w:p>
        </w:tc>
        <w:tc>
          <w:tcPr>
            <w:tcW w:type="dxa" w:w="170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800–1000</w:t>
            </w:r>
          </w:p>
        </w:tc>
        <w:tc>
          <w:tcPr>
            <w:tcW w:type="dxa" w:w="29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≈0.2%–2.2%</w:t>
            </w:r>
          </w:p>
        </w:tc>
        <w:tc>
          <w:tcPr>
            <w:tcW w:type="dxa" w:w="17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高额度授信</w:t>
            </w:r>
          </w:p>
        </w:tc>
        <w:tc>
          <w:tcPr>
            <w:tcW w:type="dxa" w:w="16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常规监控，季度复评</w:t>
            </w:r>
          </w:p>
        </w:tc>
      </w:tr>
      <w:tr>
        <w:tc>
          <w:tcPr>
            <w:tcW w:type="dxa" w:w="110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21"/>
              </w:rPr>
              <w:t>A-</w:t>
            </w:r>
          </w:p>
        </w:tc>
        <w:tc>
          <w:tcPr>
            <w:tcW w:type="dxa" w:w="170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750–799</w:t>
            </w:r>
          </w:p>
        </w:tc>
        <w:tc>
          <w:tcPr>
            <w:tcW w:type="dxa" w:w="29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≈2.2%–3.8%</w:t>
            </w:r>
          </w:p>
        </w:tc>
        <w:tc>
          <w:tcPr>
            <w:tcW w:type="dxa" w:w="17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中高额度授信</w:t>
            </w:r>
          </w:p>
        </w:tc>
        <w:tc>
          <w:tcPr>
            <w:tcW w:type="dxa" w:w="16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月度复评</w:t>
            </w:r>
          </w:p>
        </w:tc>
      </w:tr>
      <w:tr>
        <w:tc>
          <w:tcPr>
            <w:tcW w:type="dxa" w:w="110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21"/>
              </w:rPr>
              <w:t>B</w:t>
            </w:r>
          </w:p>
        </w:tc>
        <w:tc>
          <w:tcPr>
            <w:tcW w:type="dxa" w:w="170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650–749</w:t>
            </w:r>
          </w:p>
        </w:tc>
        <w:tc>
          <w:tcPr>
            <w:tcW w:type="dxa" w:w="29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≈3.8%–11.1%</w:t>
            </w:r>
          </w:p>
        </w:tc>
        <w:tc>
          <w:tcPr>
            <w:tcW w:type="dxa" w:w="17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中额度授信</w:t>
            </w:r>
          </w:p>
        </w:tc>
        <w:tc>
          <w:tcPr>
            <w:tcW w:type="dxa" w:w="16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月度复评，HF 盯市</w:t>
            </w:r>
          </w:p>
        </w:tc>
      </w:tr>
      <w:tr>
        <w:tc>
          <w:tcPr>
            <w:tcW w:type="dxa" w:w="110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21"/>
              </w:rPr>
              <w:t>C</w:t>
            </w:r>
          </w:p>
        </w:tc>
        <w:tc>
          <w:tcPr>
            <w:tcW w:type="dxa" w:w="170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500–649</w:t>
            </w:r>
          </w:p>
        </w:tc>
        <w:tc>
          <w:tcPr>
            <w:tcW w:type="dxa" w:w="29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≈11.2%–41.4%</w:t>
            </w:r>
          </w:p>
        </w:tc>
        <w:tc>
          <w:tcPr>
            <w:tcW w:type="dxa" w:w="17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低额度/担保授信</w:t>
            </w:r>
          </w:p>
        </w:tc>
        <w:tc>
          <w:tcPr>
            <w:tcW w:type="dxa" w:w="16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周度复评，降额预警</w:t>
            </w:r>
          </w:p>
        </w:tc>
      </w:tr>
      <w:tr>
        <w:tc>
          <w:tcPr>
            <w:tcW w:type="dxa" w:w="110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 w:eastAsia="宋体"/>
                <w:b/>
                <w:sz w:val="21"/>
              </w:rPr>
              <w:t>D</w:t>
            </w:r>
          </w:p>
        </w:tc>
        <w:tc>
          <w:tcPr>
            <w:tcW w:type="dxa" w:w="1700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0–499</w:t>
            </w:r>
          </w:p>
        </w:tc>
        <w:tc>
          <w:tcPr>
            <w:tcW w:type="dxa" w:w="29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≈41.7%+（VETO 强制 D）</w:t>
            </w:r>
          </w:p>
        </w:tc>
        <w:tc>
          <w:tcPr>
            <w:tcW w:type="dxa" w:w="17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拒绝授信</w:t>
            </w:r>
          </w:p>
        </w:tc>
        <w:tc>
          <w:tcPr>
            <w:tcW w:type="dxa" w:w="16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一票否决，额度清零</w:t>
            </w:r>
          </w:p>
        </w:tc>
      </w:tr>
    </w:tbl>
    <w:p>
      <w:pPr>
        <w:spacing w:before="0" w:after="120" w:line="288" w:lineRule="auto"/>
      </w:pPr>
      <w:r>
        <w:rPr>
          <w:rFonts w:ascii="Calibri" w:hAnsi="Calibri" w:eastAsia="宋体"/>
          <w:color w:val="6E6E6E"/>
          <w:sz w:val="19"/>
        </w:rPr>
        <w:t>注：PD 区间为边界近似 · 示例标定 · 由 PD 曲线反解；命中红旗无条件判 D 且额度清零。</w:t>
      </w:r>
    </w:p>
    <w:p>
      <w:pPr>
        <w:pStyle w:val="Heading2"/>
        <w:keepNext/>
        <w:spacing w:before="240" w:after="120" w:line="264" w:lineRule="auto"/>
      </w:pPr>
      <w:r>
        <w:rPr>
          <w:rFonts w:ascii="Calibri" w:hAnsi="Calibri" w:eastAsia="微软雅黑"/>
          <w:b/>
          <w:color w:val="2E74B5"/>
          <w:sz w:val="26"/>
        </w:rPr>
        <w:t>B.2　术语表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200"/>
        <w:gridCol w:w="6826"/>
      </w:tblGrid>
      <w:tr>
        <w:trPr>
          <w:tblHeader w:val="true"/>
        </w:trPr>
        <w:tc>
          <w:tcPr>
            <w:tcW w:type="dxa" w:w="2200"/>
            <w:shd w:val="clear" w:color="auto" w:fill="F2F4F7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color w:val="1F3A5F"/>
                <w:sz w:val="21"/>
              </w:rPr>
              <w:t>术语</w:t>
            </w:r>
          </w:p>
        </w:tc>
        <w:tc>
          <w:tcPr>
            <w:tcW w:type="dxa" w:w="6826"/>
            <w:shd w:val="clear" w:color="auto" w:fill="F2F4F7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color w:val="1F3A5F"/>
                <w:sz w:val="21"/>
              </w:rPr>
              <w:t>定义</w:t>
            </w:r>
          </w:p>
        </w:tc>
      </w:tr>
      <w:tr>
        <w:tc>
          <w:tcPr>
            <w:tcW w:type="dxa" w:w="22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NT</w:t>
            </w:r>
          </w:p>
        </w:tc>
        <w:tc>
          <w:tcPr>
            <w:tcW w:type="dxa" w:w="68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标准 Token（Normalized Token），将不同模型/任务消耗量按难度折算后的可比口径</w:t>
            </w:r>
          </w:p>
        </w:tc>
      </w:tr>
      <w:tr>
        <w:tc>
          <w:tcPr>
            <w:tcW w:type="dxa" w:w="22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SCU</w:t>
            </w:r>
          </w:p>
        </w:tc>
        <w:tc>
          <w:tcPr>
            <w:tcW w:type="dxa" w:w="68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标准算力单位（Standard Compute Unit），将不同型号 GPU 按基准卡折算后的算力</w:t>
            </w:r>
          </w:p>
        </w:tc>
      </w:tr>
      <w:tr>
        <w:tc>
          <w:tcPr>
            <w:tcW w:type="dxa" w:w="22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CCI</w:t>
            </w:r>
          </w:p>
        </w:tc>
        <w:tc>
          <w:tcPr>
            <w:tcW w:type="dxa" w:w="68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可信分（Credit Confidence Index，0–1000），五锚点子分加权后 ×10，对应五档等级</w:t>
            </w:r>
          </w:p>
        </w:tc>
      </w:tr>
      <w:tr>
        <w:tc>
          <w:tcPr>
            <w:tcW w:type="dxa" w:w="22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PD</w:t>
            </w:r>
          </w:p>
        </w:tc>
        <w:tc>
          <w:tcPr>
            <w:tcW w:type="dxa" w:w="68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违约概率（Probability of Default），CCI 越高 PD 越低，Logistic 模型标定</w:t>
            </w:r>
          </w:p>
        </w:tc>
      </w:tr>
      <w:tr>
        <w:tc>
          <w:tcPr>
            <w:tcW w:type="dxa" w:w="22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Merkle Root</w:t>
            </w:r>
          </w:p>
        </w:tc>
        <w:tc>
          <w:tcPr>
            <w:tcW w:type="dxa" w:w="68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一批数据层层哈希后得到的唯一指纹，数据改动一个字符指纹即变，适合上链存证</w:t>
            </w:r>
          </w:p>
        </w:tc>
      </w:tr>
      <w:tr>
        <w:tc>
          <w:tcPr>
            <w:tcW w:type="dxa" w:w="22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双价值背离 D</w:t>
            </w:r>
          </w:p>
        </w:tc>
        <w:tc>
          <w:tcPr>
            <w:tcW w:type="dxa" w:w="68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D = (报表价值 R − 链上可信价值 C) / C，超过 2σ 触发背离告警</w:t>
            </w:r>
          </w:p>
        </w:tc>
      </w:tr>
      <w:tr>
        <w:tc>
          <w:tcPr>
            <w:tcW w:type="dxa" w:w="22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HF</w:t>
            </w:r>
          </w:p>
        </w:tc>
        <w:tc>
          <w:tcPr>
            <w:tcW w:type="dxa" w:w="68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健康因子（Health Factor），衡量抵押头寸安全边际，低于清算线 1.00 触发清算</w:t>
            </w:r>
          </w:p>
        </w:tc>
      </w:tr>
      <w:tr>
        <w:tc>
          <w:tcPr>
            <w:tcW w:type="dxa" w:w="2200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/>
                <w:sz w:val="21"/>
              </w:rPr>
              <w:t>红旗一票否决</w:t>
            </w:r>
          </w:p>
        </w:tc>
        <w:tc>
          <w:tcPr>
            <w:tcW w:type="dxa" w:w="6826"/>
          </w:tcPr>
          <w:p>
            <w:pPr>
              <w:spacing w:before="20" w:after="20" w:line="276" w:lineRule="auto"/>
            </w:pPr>
            <w:r/>
            <w:r>
              <w:rPr>
                <w:rFonts w:ascii="Calibri" w:hAnsi="Calibri" w:eastAsia="宋体"/>
                <w:b w:val="0"/>
                <w:sz w:val="21"/>
              </w:rPr>
              <w:t>命中硬规则时无论其他维度分多高，直接判 D 级、额度清零</w:t>
            </w:r>
          </w:p>
        </w:tc>
      </w:tr>
    </w:tbl>
    <w:p>
      <w:pPr>
        <w:pStyle w:val="Heading2"/>
        <w:keepNext/>
        <w:spacing w:before="240" w:after="120" w:line="264" w:lineRule="auto"/>
      </w:pPr>
      <w:r>
        <w:rPr>
          <w:rFonts w:ascii="Calibri" w:hAnsi="Calibri" w:eastAsia="微软雅黑"/>
          <w:b/>
          <w:color w:val="2E74B5"/>
          <w:sz w:val="26"/>
        </w:rPr>
        <w:t>B.3　数据口径说明</w:t>
      </w:r>
    </w:p>
    <w:p>
      <w:pPr>
        <w:spacing w:before="0" w:after="120" w:line="264" w:lineRule="auto"/>
      </w:pPr>
      <w:r>
        <w:rPr>
          <w:rFonts w:ascii="Calibri" w:hAnsi="Calibri" w:eastAsia="宋体"/>
          <w:sz w:val="22"/>
        </w:rPr>
        <w:t>本报告所有定量数据均为演示用 mock 示例数据（simulated data），非真实回测结果。CCI 由五锚子分加权现算（效率 25% / 回款 25% / 客户 20% / 成本 15% / 时序 15%），PD 由公式 PD = 1/(1+e^(0.01156*CCI-5.433)) 标定。锚点权重、PD 系数与等级阈值（800/750/650/500）为 Demo 校准值，真实部署需经金融专业确认并基于历史数据训练。L1 口径：Raw Token 取自 L0 原始采集值，rawNT_M 为已乘 w_model/w_task 后的折算 NT，L2 毛 NT 采用 rawNT_M。</w:t>
      </w:r>
    </w:p>
    <w:p>
      <w:pPr>
        <w:pStyle w:val="Heading2"/>
        <w:keepNext/>
        <w:spacing w:before="240" w:after="120" w:line="264" w:lineRule="auto"/>
      </w:pPr>
      <w:r>
        <w:rPr>
          <w:rFonts w:ascii="Calibri" w:hAnsi="Calibri" w:eastAsia="微软雅黑"/>
          <w:b/>
          <w:color w:val="2E74B5"/>
          <w:sz w:val="26"/>
        </w:rPr>
        <w:t>B.4　审计局限性与免责声明</w:t>
      </w:r>
    </w:p>
    <w:p>
      <w:pPr>
        <w:spacing w:before="0" w:after="120" w:line="264" w:lineRule="auto"/>
      </w:pPr>
      <w:r>
        <w:rPr>
          <w:rFonts w:ascii="Calibri" w:hAnsi="Calibri" w:eastAsia="宋体"/>
          <w:sz w:val="22"/>
        </w:rPr>
        <w:t>本审计报告存在以下局限性：（1）数据范围局限：审计仅覆盖授权采集的四源数据（算力、API、资金、链上），未涵盖企业全部经营活动；（2）模型局限：CCI/PD 模型与等级阈值为 Demo 校准版本，未经真实历史数据训练；（3）存证局限：链上存证仅保证上链后数据不可篡改，不排除数据源本身存在造假或错误的可能；（4）时点局限：审计结论基于审计周期内的数据快照，不代表对未来信用状况的保证。</w:t>
      </w:r>
    </w:p>
    <w:p>
      <w:pPr>
        <w:spacing w:before="0" w:after="120" w:line="264" w:lineRule="auto"/>
      </w:pPr>
      <w:r>
        <w:rPr>
          <w:rFonts w:ascii="Calibri" w:hAnsi="Calibri" w:eastAsia="宋体"/>
          <w:sz w:val="22"/>
        </w:rPr>
        <w:t>免责声明：本报告由 FlowCredit 链上 AI 信用风控引擎自动生成，仅供演示与参考用途。报告中的评估结果、评分、等级与额度建议均基于测试网模拟数据与示例标定模型，不构成任何金融建议、投资建议、授信决策或法律意见。FlowCredit 为 RegTech 工具，不吸储、不放贷、不碰资金、不做最终授信决定。本报告内容受知识产权保护，未经授权不得复制、分发或用于商业用途。</w:t>
      </w:r>
    </w:p>
    <w:p>
      <w:pPr>
        <w:spacing w:before="240" w:after="120" w:line="264" w:lineRule="auto"/>
        <w:jc w:val="center"/>
      </w:pPr>
      <w:r>
        <w:rPr>
          <w:rFonts w:ascii="Calibri" w:hAnsi="Calibri" w:eastAsia="宋体"/>
          <w:color w:val="6E6E6E"/>
          <w:sz w:val="18"/>
        </w:rPr>
        <w:t>— 报告结束 —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26" w:val="right"/>
      </w:tabs>
      <w:spacing w:before="0" w:after="0"/>
    </w:pPr>
    <w:r/>
    <w:r>
      <w:rPr>
        <w:rFonts w:ascii="Calibri" w:hAnsi="Calibri"/>
        <w:color w:val="6E6E6E"/>
        <w:sz w:val="17"/>
      </w:rPr>
      <w:t>FlowCredit · 基础风控审计报告（testnet demo · 模拟数据）</w:t>
    </w:r>
    <w:r>
      <w:rPr>
        <w:rFonts w:ascii="Calibri" w:hAnsi="Calibri"/>
        <w:color w:val="6E6E6E"/>
        <w:sz w:val="17"/>
      </w:rPr>
      <w:tab/>
    </w:r>
    <w:r>
      <w:rPr>
        <w:rFonts w:ascii="Calibri" w:hAnsi="Calibri"/>
        <w:color w:val="6E6E6E"/>
        <w:sz w:val="17"/>
      </w:rPr>
      <w:t xml:space="preserve">第 </w:t>
    </w:r>
    <w:fldSimple w:instr=" PAGE ">
      <w:r>
        <w:rPr>
          <w:sz w:val="17"/>
          <w:color w:val="6E6E6E"/>
        </w:rPr>
        <w:t>1</w:t>
      </w:r>
    </w:fldSimple>
    <w:r>
      <w:rPr>
        <w:rFonts w:ascii="Calibri" w:hAnsi="Calibri"/>
        <w:color w:val="6E6E6E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基础风控审计报告（FlowCredit 演示样例）</dc:title>
  <dc:subject/>
  <dc:creator>FlowCredit Risk Lab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