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jc w:val="center"/>
      </w:pPr>
      <w:r>
        <w:rPr>
          <w:rFonts w:ascii="Times New Roman" w:cs="Times New Roman" w:eastAsia="Times New Roman" w:hAnsi="Times New Roman"/>
          <w:b/>
          <w:bCs/>
          <w:sz w:val="36"/>
          <w:szCs w:val="36"/>
        </w:rPr>
        <w:t xml:space="preserve">The Resonant Fourier Transform: A Golden-Ratio Unitary Basis</w:t>
      </w:r>
    </w:p>
    <w:p>
      <w:pPr>
        <w:spacing w:after="60"/>
        <w:jc w:val="center"/>
      </w:pPr>
      <w:r>
        <w:rPr>
          <w:rFonts w:ascii="Times New Roman" w:cs="Times New Roman" w:eastAsia="Times New Roman" w:hAnsi="Times New Roman"/>
          <w:b/>
          <w:bCs/>
          <w:sz w:val="36"/>
          <w:szCs w:val="36"/>
        </w:rPr>
        <w:t xml:space="preserve">with Provable Spectral Concentration and Applications</w:t>
      </w:r>
    </w:p>
    <w:p>
      <w:pPr>
        <w:spacing w:after="200"/>
        <w:jc w:val="center"/>
      </w:pPr>
      <w:r>
        <w:rPr>
          <w:rFonts w:ascii="Times New Roman" w:cs="Times New Roman" w:eastAsia="Times New Roman" w:hAnsi="Times New Roman"/>
          <w:b/>
          <w:bCs/>
          <w:sz w:val="36"/>
          <w:szCs w:val="36"/>
        </w:rPr>
        <w:t xml:space="preserve">to KV-Cache Positional Encoding</w:t>
      </w:r>
    </w:p>
    <w:p>
      <w:pPr>
        <w:spacing w:after="40"/>
        <w:jc w:val="center"/>
      </w:pPr>
      <w:r>
        <w:rPr>
          <w:rFonts w:ascii="Times New Roman" w:cs="Times New Roman" w:eastAsia="Times New Roman" w:hAnsi="Times New Roman"/>
          <w:sz w:val="26"/>
          <w:szCs w:val="26"/>
        </w:rPr>
        <w:t xml:space="preserve">Luis M. Minier</w:t>
      </w:r>
    </w:p>
    <w:p>
      <w:pPr>
        <w:spacing w:after="40"/>
        <w:jc w:val="center"/>
      </w:pPr>
      <w:r>
        <w:rPr>
          <w:rFonts w:ascii="Times New Roman" w:cs="Times New Roman" w:eastAsia="Times New Roman" w:hAnsi="Times New Roman"/>
          <w:i/>
          <w:iCs/>
          <w:sz w:val="22"/>
          <w:szCs w:val="22"/>
        </w:rPr>
        <w:t xml:space="preserve">Independent Researcher</w:t>
      </w:r>
    </w:p>
    <w:p>
      <w:pPr>
        <w:spacing w:after="40"/>
        <w:jc w:val="center"/>
      </w:pPr>
      <w:r>
        <w:rPr>
          <w:rFonts w:ascii="Times New Roman" w:cs="Times New Roman" w:eastAsia="Times New Roman" w:hAnsi="Times New Roman"/>
          <w:sz w:val="22"/>
          <w:szCs w:val="22"/>
        </w:rPr>
        <w:t xml:space="preserve">luisminier79@gmail.com</w:t>
      </w:r>
    </w:p>
    <w:p>
      <w:pPr>
        <w:spacing w:after="200"/>
        <w:jc w:val="center"/>
      </w:pPr>
      <w:r>
        <w:rPr>
          <w:rFonts w:ascii="Times New Roman" w:cs="Times New Roman" w:eastAsia="Times New Roman" w:hAnsi="Times New Roman"/>
          <w:sz w:val="20"/>
          <w:szCs w:val="20"/>
        </w:rPr>
        <w:t xml:space="preserve">https://github.com/LMMinier/quantoniumos</w:t>
      </w:r>
    </w:p>
    <w:p>
      <w:pPr>
        <w:spacing w:after="120"/>
        <w:jc w:val="center"/>
      </w:pPr>
      <w:r>
        <w:rPr>
          <w:rFonts w:ascii="Times New Roman" w:cs="Times New Roman" w:eastAsia="Times New Roman" w:hAnsi="Times New Roman"/>
          <w:sz w:val="24"/>
          <w:szCs w:val="24"/>
        </w:rPr>
        <w:t xml:space="preserve">March 2026</w:t>
      </w:r>
    </w:p>
    <w:p>
      <w:pPr>
        <w:spacing w:after="40"/>
        <w:jc w:val="center"/>
      </w:pPr>
      <w:r>
        <w:rPr>
          <w:rFonts w:ascii="Times New Roman" w:cs="Times New Roman" w:eastAsia="Times New Roman" w:hAnsi="Times New Roman"/>
          <w:i/>
          <w:iCs/>
          <w:sz w:val="20"/>
          <w:szCs w:val="20"/>
        </w:rPr>
        <w:t xml:space="preserve">USPTO Patent Application 19/169,399 | Priority Date: January 26, 2025</w:t>
      </w:r>
    </w:p>
    <w:p>
      <w:pPr>
        <w:spacing w:after="300"/>
        <w:jc w:val="center"/>
      </w:pPr>
      <w:r>
        <w:rPr>
          <w:rFonts w:ascii="Times New Roman" w:cs="Times New Roman" w:eastAsia="Times New Roman" w:hAnsi="Times New Roman"/>
          <w:i/>
          <w:iCs/>
          <w:sz w:val="20"/>
          <w:szCs w:val="20"/>
        </w:rPr>
        <w:t xml:space="preserve">DOI: 10.5281/zenodo.17712905 | TechRxiv: 10.36227/techrxiv.175384307.75693850/v1</w:t>
      </w:r>
    </w:p>
    <w:p>
      <w:pPr>
        <w:spacing w:after="80"/>
        <w:jc w:val="center"/>
      </w:pPr>
      <w:r>
        <w:rPr>
          <w:rFonts w:ascii="Times New Roman" w:cs="Times New Roman" w:eastAsia="Times New Roman" w:hAnsi="Times New Roman"/>
          <w:b/>
          <w:bCs/>
          <w:sz w:val="26"/>
          <w:szCs w:val="26"/>
        </w:rPr>
        <w:t xml:space="preserve">Abstract</w:t>
      </w:r>
    </w:p>
    <w:p>
      <w:pPr>
        <w:spacing w:after="120" w:before="0" w:line="276"/>
        <w:jc w:val="both"/>
      </w:pPr>
      <w:r>
        <w:rPr>
          <w:rFonts w:ascii="Times New Roman" w:cs="Times New Roman" w:eastAsia="Times New Roman" w:hAnsi="Times New Roman"/>
          <w:b w:val="false"/>
          <w:bCs w:val="false"/>
          <w:i w:val="false"/>
          <w:iCs w:val="false"/>
          <w:sz w:val="20"/>
          <w:szCs w:val="20"/>
        </w:rPr>
        <w:t xml:space="preserve">We introduce the Resonant Fourier Transform (RFT), a unitary signal transform constructed by applying Löwdin symmetric orthogonalization to a non-uniform Fourier basis with golden-ratio (φ) frequency spacing. The canonical construction </w:t>
      </w:r>
      <w:r>
        <w:rPr>
          <w:rFonts w:ascii="Times New Roman" w:cs="Times New Roman" w:eastAsia="Times New Roman" w:hAnsi="Times New Roman"/>
          <w:b w:val="false"/>
          <w:bCs w:val="false"/>
          <w:i/>
          <w:iCs/>
          <w:sz w:val="20"/>
          <w:szCs w:val="20"/>
        </w:rPr>
        <w:t xml:space="preserve">Φ̃ = Φ(Φ</w:t>
      </w:r>
      <w:r>
        <w:rPr>
          <w:rFonts w:ascii="Times New Roman" w:cs="Times New Roman" w:eastAsia="Times New Roman" w:hAnsi="Times New Roman"/>
          <w:b w:val="false"/>
          <w:bCs w:val="false"/>
          <w:i w:val="false"/>
          <w:iCs w:val="false"/>
          <w:sz w:val="20"/>
          <w:szCs w:val="20"/>
          <w:vertAlign w:val="superscript"/>
        </w:rPr>
        <w:t xml:space="preserve">†</w:t>
      </w:r>
      <w:r>
        <w:rPr>
          <w:rFonts w:ascii="Times New Roman" w:cs="Times New Roman" w:eastAsia="Times New Roman" w:hAnsi="Times New Roman"/>
          <w:b w:val="false"/>
          <w:bCs w:val="false"/>
          <w:i/>
          <w:iCs/>
          <w:sz w:val="20"/>
          <w:szCs w:val="20"/>
        </w:rPr>
        <w:t xml:space="preserve">Φ)</w:t>
      </w:r>
      <w:r>
        <w:rPr>
          <w:rFonts w:ascii="Times New Roman" w:cs="Times New Roman" w:eastAsia="Times New Roman" w:hAnsi="Times New Roman"/>
          <w:b w:val="false"/>
          <w:bCs w:val="false"/>
          <w:i w:val="false"/>
          <w:iCs w:val="false"/>
          <w:sz w:val="20"/>
          <w:szCs w:val="20"/>
          <w:vertAlign w:val="superscript"/>
        </w:rPr>
        <w:t xml:space="preserve">⁻¹/²</w:t>
      </w:r>
      <w:r>
        <w:rPr>
          <w:rFonts w:ascii="Times New Roman" w:cs="Times New Roman" w:eastAsia="Times New Roman" w:hAnsi="Times New Roman"/>
          <w:b w:val="false"/>
          <w:bCs w:val="false"/>
          <w:i w:val="false"/>
          <w:iCs w:val="false"/>
          <w:sz w:val="20"/>
          <w:szCs w:val="20"/>
        </w:rPr>
        <w:t xml:space="preserve"> yields the unique nearest unitary to the raw frame Φ via polar decomposition. We prove analytically (Theorem 8) that the RFT achieves O(log N) spectral concentration on golden quasi-periodic signals versus N</w:t>
      </w:r>
      <w:r>
        <w:rPr>
          <w:rFonts w:ascii="Times New Roman" w:cs="Times New Roman" w:eastAsia="Times New Roman" w:hAnsi="Times New Roman"/>
          <w:b w:val="false"/>
          <w:bCs w:val="false"/>
          <w:i w:val="false"/>
          <w:iCs w:val="false"/>
          <w:sz w:val="20"/>
          <w:szCs w:val="20"/>
          <w:vertAlign w:val="superscript"/>
        </w:rPr>
        <w:t xml:space="preserve">0.75</w:t>
      </w:r>
      <w:r>
        <w:rPr>
          <w:rFonts w:ascii="Times New Roman" w:cs="Times New Roman" w:eastAsia="Times New Roman" w:hAnsi="Times New Roman"/>
          <w:b w:val="false"/>
          <w:bCs w:val="false"/>
          <w:i w:val="false"/>
          <w:iCs w:val="false"/>
          <w:sz w:val="20"/>
          <w:szCs w:val="20"/>
        </w:rPr>
        <w:t xml:space="preserve"> for the DFT, using Weyl equidistribution, Hurwitz’s theorem, and the Three-Distance Theorem. We verify this at finite N through an empirical Restricted Isometry Property (RIP) measurement: δ</w:t>
      </w:r>
      <w:r>
        <w:rPr>
          <w:rFonts w:ascii="Times New Roman" w:cs="Times New Roman" w:eastAsia="Times New Roman" w:hAnsi="Times New Roman"/>
          <w:b w:val="false"/>
          <w:bCs w:val="false"/>
          <w:i w:val="false"/>
          <w:iCs w:val="false"/>
          <w:sz w:val="20"/>
          <w:szCs w:val="20"/>
          <w:vertAlign w:val="subscript"/>
        </w:rPr>
        <w:t xml:space="preserve">8</w:t>
      </w:r>
      <w:r>
        <w:rPr>
          <w:rFonts w:ascii="Times New Roman" w:cs="Times New Roman" w:eastAsia="Times New Roman" w:hAnsi="Times New Roman"/>
          <w:b w:val="false"/>
          <w:bCs w:val="false"/>
          <w:i w:val="false"/>
          <w:iCs w:val="false"/>
          <w:sz w:val="20"/>
          <w:szCs w:val="20"/>
        </w:rPr>
        <w:t xml:space="preserve"> = 0.1603 &lt; 0.2929 (Candès-Tao threshold) over 2,000 Monte Carlo trials at N=128, K=8. We apply the φ-grid to positional encoding in LLM KV-caches, demonstrating 47–80% cross-window leakage reduction versus RoPE across 11 sequence-length/window configurations. End-to-end perplexity evaluation on GPT-2 124M shows the variant-scheduled RFT achieves PPL 29.85 versus DCT’s 35.51 at 40% head-dimension retention. All results are reproducible via 2,621 automated tests in the open-source quantoniumos repository.</w:t>
      </w:r>
    </w:p>
    <w:p>
      <w:pPr>
        <w:spacing w:after="80"/>
      </w:pPr>
    </w:p>
    <w:p>
      <w:pPr>
        <w:spacing w:after="120" w:before="0" w:line="276"/>
        <w:jc w:val="left"/>
      </w:pPr>
      <w:r>
        <w:rPr>
          <w:rFonts w:ascii="Times New Roman" w:cs="Times New Roman" w:eastAsia="Times New Roman" w:hAnsi="Times New Roman"/>
          <w:b/>
          <w:bCs/>
          <w:i w:val="false"/>
          <w:iCs w:val="false"/>
          <w:sz w:val="20"/>
          <w:szCs w:val="20"/>
        </w:rPr>
        <w:t xml:space="preserve">Keywords: </w:t>
      </w:r>
      <w:r>
        <w:rPr>
          <w:rFonts w:ascii="Times New Roman" w:cs="Times New Roman" w:eastAsia="Times New Roman" w:hAnsi="Times New Roman"/>
          <w:b w:val="false"/>
          <w:bCs w:val="false"/>
          <w:i/>
          <w:iCs/>
          <w:sz w:val="20"/>
          <w:szCs w:val="20"/>
        </w:rPr>
        <w:t xml:space="preserve">Resonant Fourier Transform, golden ratio, spectral concentration, Restricted Isometry Property, KV-cache, positional encoding, unitary transform, signal processing</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after="80" w:before="240" w:line="276"/>
        <w:jc w:val="left"/>
      </w:pPr>
      <w:r>
        <w:rPr>
          <w:rFonts w:ascii="Times New Roman" w:cs="Times New Roman" w:eastAsia="Times New Roman" w:hAnsi="Times New Roman"/>
          <w:b/>
          <w:bCs/>
          <w:i w:val="false"/>
          <w:iCs w:val="false"/>
          <w:sz w:val="28"/>
          <w:szCs w:val="28"/>
        </w:rPr>
        <w:t xml:space="preserve">1. Introduction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Discrete Fourier Transform (DFT) has been the dominant spectral analysis tool for over half a century, owing to the O(N log N) Fast Fourier Transform algorithm and its exact periodicity properties. However, the DFT’s integer-harmonic frequency grid is poorly matched to signals whose dominant frequencies are governed by non-integer ratios—particularly the golden ratio φ = (1 + √5)/2 ≈ 1.6180, which arises in phyllotaxis, quasicrystals, Fibonacci sequences, and certain physiological rhythms.</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We present the Resonant Fourier Transform (RFT), a unitary signal transform that replaces the DFT’s integer-harmonic grid with frequencies placed at the fractional parts of integer multiples of φ. The key construction applies Löwdin symmetric orthogonalization (the polar decomposition) to the resulting non-uniform Fourier frame, producing the unique nearest unitary matrix to the raw basis. This is not an approximation—the resulting transform is exactly unitary to machine precision.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contribution of this paper is threefold:</w:t>
      </w:r>
    </w:p>
    <w:p>
      <w:pPr>
        <w:spacing w:after="120" w:before="0" w:line="276"/>
        <w:ind w:firstLine="360"/>
        <w:jc w:val="both"/>
      </w:pPr>
      <w:r>
        <w:rPr>
          <w:rFonts w:ascii="Times New Roman" w:cs="Times New Roman" w:eastAsia="Times New Roman" w:hAnsi="Times New Roman"/>
          <w:b/>
          <w:bCs/>
          <w:i w:val="false"/>
          <w:iCs w:val="false"/>
          <w:sz w:val="24"/>
          <w:szCs w:val="24"/>
        </w:rPr>
        <w:t xml:space="preserve">(1) Analytical proof </w:t>
      </w:r>
      <w:r>
        <w:rPr>
          <w:rFonts w:ascii="Times New Roman" w:cs="Times New Roman" w:eastAsia="Times New Roman" w:hAnsi="Times New Roman"/>
          <w:b w:val="false"/>
          <w:bCs w:val="false"/>
          <w:i w:val="false"/>
          <w:iCs w:val="false"/>
          <w:sz w:val="24"/>
          <w:szCs w:val="24"/>
        </w:rPr>
        <w:t xml:space="preserve">(Theorem 8) that the RFT achieves O(log N) spectral concentration on golden quasi-periodic signals, versus N</w:t>
      </w:r>
      <w:r>
        <w:rPr>
          <w:rFonts w:ascii="Times New Roman" w:cs="Times New Roman" w:eastAsia="Times New Roman" w:hAnsi="Times New Roman"/>
          <w:b w:val="false"/>
          <w:bCs w:val="false"/>
          <w:i w:val="false"/>
          <w:iCs w:val="false"/>
          <w:sz w:val="24"/>
          <w:szCs w:val="24"/>
          <w:vertAlign w:val="superscript"/>
        </w:rPr>
        <w:t xml:space="preserve">0.75</w:t>
      </w:r>
      <w:r>
        <w:rPr>
          <w:rFonts w:ascii="Times New Roman" w:cs="Times New Roman" w:eastAsia="Times New Roman" w:hAnsi="Times New Roman"/>
          <w:b w:val="false"/>
          <w:bCs w:val="false"/>
          <w:i w:val="false"/>
          <w:iCs w:val="false"/>
          <w:sz w:val="24"/>
          <w:szCs w:val="24"/>
        </w:rPr>
        <w:t xml:space="preserve"> for the DFT, with the gap growing as N</w:t>
      </w:r>
      <w:r>
        <w:rPr>
          <w:rFonts w:ascii="Times New Roman" w:cs="Times New Roman" w:eastAsia="Times New Roman" w:hAnsi="Times New Roman"/>
          <w:b w:val="false"/>
          <w:bCs w:val="false"/>
          <w:i w:val="false"/>
          <w:iCs w:val="false"/>
          <w:sz w:val="24"/>
          <w:szCs w:val="24"/>
          <w:vertAlign w:val="superscript"/>
        </w:rPr>
        <w:t xml:space="preserve">1.04</w:t>
      </w:r>
      <w:r>
        <w:rPr>
          <w:rFonts w:ascii="Times New Roman" w:cs="Times New Roman" w:eastAsia="Times New Roman" w:hAnsi="Times New Roman"/>
          <w:b w:val="false"/>
          <w:bCs w:val="false"/>
          <w:i w:val="false"/>
          <w:iCs w:val="false"/>
          <w:sz w:val="24"/>
          <w:szCs w:val="24"/>
        </w:rPr>
        <w:t xml:space="preserve">. The proof uses Weyl equidistribution, Hurwitz’s theorem on optimal rational approximation, and the Three-Distance Theorem of Steinhaus-Sós.</w:t>
      </w:r>
    </w:p>
    <w:p>
      <w:pPr>
        <w:spacing w:after="120" w:before="0" w:line="276"/>
        <w:ind w:firstLine="360"/>
        <w:jc w:val="both"/>
      </w:pPr>
      <w:r>
        <w:rPr>
          <w:rFonts w:ascii="Times New Roman" w:cs="Times New Roman" w:eastAsia="Times New Roman" w:hAnsi="Times New Roman"/>
          <w:b/>
          <w:bCs/>
          <w:i w:val="false"/>
          <w:iCs w:val="false"/>
          <w:sz w:val="24"/>
          <w:szCs w:val="24"/>
        </w:rPr>
        <w:t xml:space="preserve">(2) Empirical RIP verification </w:t>
      </w:r>
      <w:r>
        <w:rPr>
          <w:rFonts w:ascii="Times New Roman" w:cs="Times New Roman" w:eastAsia="Times New Roman" w:hAnsi="Times New Roman"/>
          <w:b w:val="false"/>
          <w:bCs w:val="false"/>
          <w:i w:val="false"/>
          <w:iCs w:val="false"/>
          <w:sz w:val="24"/>
          <w:szCs w:val="24"/>
        </w:rPr>
        <w:t xml:space="preserve">(Theorem E) establishing δ</w:t>
      </w:r>
      <w:r>
        <w:rPr>
          <w:rFonts w:ascii="Times New Roman" w:cs="Times New Roman" w:eastAsia="Times New Roman" w:hAnsi="Times New Roman"/>
          <w:b w:val="false"/>
          <w:bCs w:val="false"/>
          <w:i w:val="false"/>
          <w:iCs w:val="false"/>
          <w:sz w:val="24"/>
          <w:szCs w:val="24"/>
          <w:vertAlign w:val="subscript"/>
        </w:rPr>
        <w:t xml:space="preserve">8</w:t>
      </w:r>
      <w:r>
        <w:rPr>
          <w:rFonts w:ascii="Times New Roman" w:cs="Times New Roman" w:eastAsia="Times New Roman" w:hAnsi="Times New Roman"/>
          <w:b w:val="false"/>
          <w:bCs w:val="false"/>
          <w:i w:val="false"/>
          <w:iCs w:val="false"/>
          <w:sz w:val="24"/>
          <w:szCs w:val="24"/>
        </w:rPr>
        <w:t xml:space="preserve"> = 0.1603 &lt; 0.2929 at N=128, K=8 over 2,000 Monte Carlo trials, confirming that the RFT satisfies the Restricted Isometry Property on its natural signal class.</w:t>
      </w:r>
    </w:p>
    <w:p>
      <w:pPr>
        <w:spacing w:after="120" w:before="0" w:line="276"/>
        <w:ind w:firstLine="360"/>
        <w:jc w:val="both"/>
      </w:pPr>
      <w:r>
        <w:rPr>
          <w:rFonts w:ascii="Times New Roman" w:cs="Times New Roman" w:eastAsia="Times New Roman" w:hAnsi="Times New Roman"/>
          <w:b/>
          <w:bCs/>
          <w:i w:val="false"/>
          <w:iCs w:val="false"/>
          <w:sz w:val="24"/>
          <w:szCs w:val="24"/>
        </w:rPr>
        <w:t xml:space="preserve">(3) Application to LLM KV-cache positional encoding</w:t>
      </w:r>
      <w:r>
        <w:rPr>
          <w:rFonts w:ascii="Times New Roman" w:cs="Times New Roman" w:eastAsia="Times New Roman" w:hAnsi="Times New Roman"/>
          <w:b w:val="false"/>
          <w:bCs w:val="false"/>
          <w:i w:val="false"/>
          <w:iCs w:val="false"/>
          <w:sz w:val="24"/>
          <w:szCs w:val="24"/>
        </w:rPr>
        <w:t xml:space="preserve">, demonstrating 47–80% cross-window leakage reduction versus Rotary Position Embedding (RoPE) across 11 configurations, and end-to-end perplexity improvements on GPT-2 124M with variant-scheduled head-dimension compression.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RFT is classical signal processing. It involves no qubits, no quantum gates, and no exponential speedup claims. It provably outperforms the DFT on golden quasi-periodic signals and provably loses on everything else. This honest scope boundary is a feature, not a limitation—it defines the precise signal class where the transform adds value.</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2. Mathematical Foundations</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2.1 Canonical RFT Construction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Let N be the transform dimension and φ = (1+√5)/2 the golden ratio. Define the raw basis matrix Φ with entries:</w:t>
      </w:r>
    </w:p>
    <w:p>
      <w:pPr>
        <w:spacing w:after="120" w:before="80"/>
        <w:jc w:val="center"/>
      </w:pPr>
      <w:r>
        <w:rPr>
          <w:rFonts w:ascii="Cambria Math" w:cs="Cambria Math" w:eastAsia="Cambria Math" w:hAnsi="Cambria Math"/>
          <w:i/>
          <w:iCs/>
          <w:sz w:val="22"/>
          <w:szCs w:val="22"/>
        </w:rPr>
        <w:t xml:space="preserve">Φ[n,k] = (1/√N) · exp(j · 2π · frac((k+1)φ) · 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where frac(·) denotes the fractional part. The frequencies f_k = frac((k+1)φ) are irrational for all k, placing the basis outside the class of DFT, Fractional Fourier, and Linear Canonical Transform constructions (Theorem 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raw frame Φ is full-rank (Theorem 1, via Vandermonde determinant with distinct irrational nodes) but not unitary. We construct the canonical RFT basis via Löwdin symmetric orthogonalization:</w:t>
      </w:r>
    </w:p>
    <w:p>
      <w:pPr>
        <w:spacing w:after="120" w:before="80"/>
        <w:jc w:val="center"/>
      </w:pPr>
      <w:r>
        <w:rPr>
          <w:rFonts w:ascii="Cambria Math" w:cs="Cambria Math" w:eastAsia="Cambria Math" w:hAnsi="Cambria Math"/>
          <w:i/>
          <w:iCs/>
          <w:sz w:val="22"/>
          <w:szCs w:val="22"/>
        </w:rPr>
        <w:t xml:space="preserve">Ũ = Φ(Φ†Φ)⁻¹ˀ²</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is the polar factor of Φ. By the uniqueness of the polar decomposition (Theorem 9), Ũ is the unique nearest unitary matrix to Φ in Frobenius norm. The forward and inverse transforms are:</w:t>
      </w:r>
    </w:p>
    <w:p>
      <w:pPr>
        <w:spacing w:after="120" w:before="80"/>
        <w:jc w:val="center"/>
      </w:pPr>
      <w:r>
        <w:rPr>
          <w:rFonts w:ascii="Cambria Math" w:cs="Cambria Math" w:eastAsia="Cambria Math" w:hAnsi="Cambria Math"/>
          <w:i/>
          <w:iCs/>
          <w:sz w:val="22"/>
          <w:szCs w:val="22"/>
        </w:rPr>
        <w:t xml:space="preserve">RFT(x) = Ũ†x,    x = Ũ·x̂</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2.2 Core Theorems</w:t>
      </w:r>
    </w:p>
    <w:p>
      <w:pPr>
        <w:spacing w:after="120" w:before="0" w:line="276"/>
        <w:jc w:val="both"/>
      </w:pPr>
      <w:r>
        <w:rPr>
          <w:rFonts w:ascii="Times New Roman" w:cs="Times New Roman" w:eastAsia="Times New Roman" w:hAnsi="Times New Roman"/>
          <w:b/>
          <w:bCs/>
          <w:i w:val="false"/>
          <w:iCs w:val="false"/>
          <w:sz w:val="24"/>
          <w:szCs w:val="24"/>
        </w:rPr>
        <w:t xml:space="preserve">Theorem 1 (Full Rank). </w:t>
      </w:r>
      <w:r>
        <w:rPr>
          <w:rFonts w:ascii="Times New Roman" w:cs="Times New Roman" w:eastAsia="Times New Roman" w:hAnsi="Times New Roman"/>
          <w:b w:val="false"/>
          <w:bCs w:val="false"/>
          <w:i w:val="false"/>
          <w:iCs w:val="false"/>
          <w:sz w:val="24"/>
          <w:szCs w:val="24"/>
        </w:rPr>
        <w:t xml:space="preserve">Φ is full rank for all N ≥ 1. </w:t>
      </w:r>
      <w:r>
        <w:rPr>
          <w:rFonts w:ascii="Times New Roman" w:cs="Times New Roman" w:eastAsia="Times New Roman" w:hAnsi="Times New Roman"/>
          <w:b w:val="false"/>
          <w:bCs w:val="false"/>
          <w:i/>
          <w:iCs/>
          <w:sz w:val="24"/>
          <w:szCs w:val="24"/>
        </w:rPr>
        <w:t xml:space="preserve">Proof: </w:t>
      </w:r>
      <w:r>
        <w:rPr>
          <w:rFonts w:ascii="Times New Roman" w:cs="Times New Roman" w:eastAsia="Times New Roman" w:hAnsi="Times New Roman"/>
          <w:b w:val="false"/>
          <w:bCs w:val="false"/>
          <w:i w:val="false"/>
          <w:iCs w:val="false"/>
          <w:sz w:val="24"/>
          <w:szCs w:val="24"/>
        </w:rPr>
        <w:t xml:space="preserve">Φ is a Vandermonde matrix with nodes z</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exp(j·2π·frac((k+1)φ)). Since φ is irrational, frac((k+1)φ) ≠ frac((m+1)φ) for k ≠ m, so all nodes are distinct. A Vandermonde matrix with distinct nodes has full rank. □</w:t>
      </w:r>
    </w:p>
    <w:p>
      <w:pPr>
        <w:spacing w:after="120" w:before="0" w:line="276"/>
        <w:jc w:val="both"/>
      </w:pPr>
      <w:r>
        <w:rPr>
          <w:rFonts w:ascii="Times New Roman" w:cs="Times New Roman" w:eastAsia="Times New Roman" w:hAnsi="Times New Roman"/>
          <w:b/>
          <w:bCs/>
          <w:i w:val="false"/>
          <w:iCs w:val="false"/>
          <w:sz w:val="24"/>
          <w:szCs w:val="24"/>
        </w:rPr>
        <w:t xml:space="preserve">Theorem 2 (Unitarity). </w:t>
      </w:r>
      <w:r>
        <w:rPr>
          <w:rFonts w:ascii="Times New Roman" w:cs="Times New Roman" w:eastAsia="Times New Roman" w:hAnsi="Times New Roman"/>
          <w:b w:val="false"/>
          <w:bCs w:val="false"/>
          <w:i w:val="false"/>
          <w:iCs w:val="false"/>
          <w:sz w:val="24"/>
          <w:szCs w:val="24"/>
        </w:rPr>
        <w:t xml:space="preserve">Ũ†Ũ = I to machine precision. </w:t>
      </w:r>
      <w:r>
        <w:rPr>
          <w:rFonts w:ascii="Times New Roman" w:cs="Times New Roman" w:eastAsia="Times New Roman" w:hAnsi="Times New Roman"/>
          <w:b w:val="false"/>
          <w:bCs w:val="false"/>
          <w:i/>
          <w:iCs/>
          <w:sz w:val="24"/>
          <w:szCs w:val="24"/>
        </w:rPr>
        <w:t xml:space="preserve">Proof: </w:t>
      </w:r>
      <w:r>
        <w:rPr>
          <w:rFonts w:ascii="Times New Roman" w:cs="Times New Roman" w:eastAsia="Times New Roman" w:hAnsi="Times New Roman"/>
          <w:b w:val="false"/>
          <w:bCs w:val="false"/>
          <w:i w:val="false"/>
          <w:iCs w:val="false"/>
          <w:sz w:val="24"/>
          <w:szCs w:val="24"/>
        </w:rPr>
        <w:t xml:space="preserve">By construction, Ũ = ΦG</w:t>
      </w:r>
      <w:r>
        <w:rPr>
          <w:rFonts w:ascii="Times New Roman" w:cs="Times New Roman" w:eastAsia="Times New Roman" w:hAnsi="Times New Roman"/>
          <w:b w:val="false"/>
          <w:bCs w:val="false"/>
          <w:i w:val="false"/>
          <w:iCs w:val="false"/>
          <w:sz w:val="24"/>
          <w:szCs w:val="24"/>
          <w:vertAlign w:val="superscript"/>
        </w:rPr>
        <w:t xml:space="preserve">⁻¹/²</w:t>
      </w:r>
      <w:r>
        <w:rPr>
          <w:rFonts w:ascii="Times New Roman" w:cs="Times New Roman" w:eastAsia="Times New Roman" w:hAnsi="Times New Roman"/>
          <w:b w:val="false"/>
          <w:bCs w:val="false"/>
          <w:i w:val="false"/>
          <w:iCs w:val="false"/>
          <w:sz w:val="24"/>
          <w:szCs w:val="24"/>
        </w:rPr>
        <w:t xml:space="preserve"> where G = Φ†Φ is the Gram matrix. Then Ũ†Ũ = G</w:t>
      </w:r>
      <w:r>
        <w:rPr>
          <w:rFonts w:ascii="Times New Roman" w:cs="Times New Roman" w:eastAsia="Times New Roman" w:hAnsi="Times New Roman"/>
          <w:b w:val="false"/>
          <w:bCs w:val="false"/>
          <w:i w:val="false"/>
          <w:iCs w:val="false"/>
          <w:sz w:val="24"/>
          <w:szCs w:val="24"/>
          <w:vertAlign w:val="superscript"/>
        </w:rPr>
        <w:t xml:space="preserve">⁻¹/²</w:t>
      </w:r>
      <w:r>
        <w:rPr>
          <w:rFonts w:ascii="Times New Roman" w:cs="Times New Roman" w:eastAsia="Times New Roman" w:hAnsi="Times New Roman"/>
          <w:b w:val="false"/>
          <w:bCs w:val="false"/>
          <w:i w:val="false"/>
          <w:iCs w:val="false"/>
          <w:sz w:val="24"/>
          <w:szCs w:val="24"/>
        </w:rPr>
        <w:t xml:space="preserve">Φ†ΦG</w:t>
      </w:r>
      <w:r>
        <w:rPr>
          <w:rFonts w:ascii="Times New Roman" w:cs="Times New Roman" w:eastAsia="Times New Roman" w:hAnsi="Times New Roman"/>
          <w:b w:val="false"/>
          <w:bCs w:val="false"/>
          <w:i w:val="false"/>
          <w:iCs w:val="false"/>
          <w:sz w:val="24"/>
          <w:szCs w:val="24"/>
          <w:vertAlign w:val="superscript"/>
        </w:rPr>
        <w:t xml:space="preserve">⁻¹/²</w:t>
      </w:r>
      <w:r>
        <w:rPr>
          <w:rFonts w:ascii="Times New Roman" w:cs="Times New Roman" w:eastAsia="Times New Roman" w:hAnsi="Times New Roman"/>
          <w:b w:val="false"/>
          <w:bCs w:val="false"/>
          <w:i w:val="false"/>
          <w:iCs w:val="false"/>
          <w:sz w:val="24"/>
          <w:szCs w:val="24"/>
        </w:rPr>
        <w:t xml:space="preserve"> = G</w:t>
      </w:r>
      <w:r>
        <w:rPr>
          <w:rFonts w:ascii="Times New Roman" w:cs="Times New Roman" w:eastAsia="Times New Roman" w:hAnsi="Times New Roman"/>
          <w:b w:val="false"/>
          <w:bCs w:val="false"/>
          <w:i w:val="false"/>
          <w:iCs w:val="false"/>
          <w:sz w:val="24"/>
          <w:szCs w:val="24"/>
          <w:vertAlign w:val="superscript"/>
        </w:rPr>
        <w:t xml:space="preserve">⁻¹/²</w:t>
      </w:r>
      <w:r>
        <w:rPr>
          <w:rFonts w:ascii="Times New Roman" w:cs="Times New Roman" w:eastAsia="Times New Roman" w:hAnsi="Times New Roman"/>
          <w:b w:val="false"/>
          <w:bCs w:val="false"/>
          <w:i w:val="false"/>
          <w:iCs w:val="false"/>
          <w:sz w:val="24"/>
          <w:szCs w:val="24"/>
        </w:rPr>
        <w:t xml:space="preserve">GG</w:t>
      </w:r>
      <w:r>
        <w:rPr>
          <w:rFonts w:ascii="Times New Roman" w:cs="Times New Roman" w:eastAsia="Times New Roman" w:hAnsi="Times New Roman"/>
          <w:b w:val="false"/>
          <w:bCs w:val="false"/>
          <w:i w:val="false"/>
          <w:iCs w:val="false"/>
          <w:sz w:val="24"/>
          <w:szCs w:val="24"/>
          <w:vertAlign w:val="superscript"/>
        </w:rPr>
        <w:t xml:space="preserve">⁻¹/²</w:t>
      </w:r>
      <w:r>
        <w:rPr>
          <w:rFonts w:ascii="Times New Roman" w:cs="Times New Roman" w:eastAsia="Times New Roman" w:hAnsi="Times New Roman"/>
          <w:b w:val="false"/>
          <w:bCs w:val="false"/>
          <w:i w:val="false"/>
          <w:iCs w:val="false"/>
          <w:sz w:val="24"/>
          <w:szCs w:val="24"/>
        </w:rPr>
        <w:t xml:space="preserve"> = I. Numerical verification: max off-diagonal element of Ũ†Ũ is 4.66×10</w:t>
      </w:r>
      <w:r>
        <w:rPr>
          <w:rFonts w:ascii="Times New Roman" w:cs="Times New Roman" w:eastAsia="Times New Roman" w:hAnsi="Times New Roman"/>
          <w:b w:val="false"/>
          <w:bCs w:val="false"/>
          <w:i w:val="false"/>
          <w:iCs w:val="false"/>
          <w:sz w:val="24"/>
          <w:szCs w:val="24"/>
          <w:vertAlign w:val="superscript"/>
        </w:rPr>
        <w:t xml:space="preserve">⁻¹⁵</w:t>
      </w:r>
      <w:r>
        <w:rPr>
          <w:rFonts w:ascii="Times New Roman" w:cs="Times New Roman" w:eastAsia="Times New Roman" w:hAnsi="Times New Roman"/>
          <w:b w:val="false"/>
          <w:bCs w:val="false"/>
          <w:i w:val="false"/>
          <w:iCs w:val="false"/>
          <w:sz w:val="24"/>
          <w:szCs w:val="24"/>
        </w:rPr>
        <w:t xml:space="preserve"> at N=128. □</w:t>
      </w:r>
    </w:p>
    <w:p>
      <w:pPr>
        <w:spacing w:after="120" w:before="0" w:line="276"/>
        <w:jc w:val="both"/>
      </w:pPr>
      <w:r>
        <w:rPr>
          <w:rFonts w:ascii="Times New Roman" w:cs="Times New Roman" w:eastAsia="Times New Roman" w:hAnsi="Times New Roman"/>
          <w:b/>
          <w:bCs/>
          <w:i w:val="false"/>
          <w:iCs w:val="false"/>
          <w:sz w:val="24"/>
          <w:szCs w:val="24"/>
        </w:rPr>
        <w:t xml:space="preserve">Theorem 4 (Twisted Convolution). </w:t>
      </w:r>
      <w:r>
        <w:rPr>
          <w:rFonts w:ascii="Times New Roman" w:cs="Times New Roman" w:eastAsia="Times New Roman" w:hAnsi="Times New Roman"/>
          <w:b w:val="false"/>
          <w:bCs w:val="false"/>
          <w:i w:val="false"/>
          <w:iCs w:val="false"/>
          <w:sz w:val="24"/>
          <w:szCs w:val="24"/>
        </w:rPr>
        <w:t xml:space="preserve">Ũ(x ★</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 h) = (Ũx) ⊙ (Ũh), where ★</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 denotes convolution twisted by the φ-basis structure. This enables algebraic operations directly on frequency-domain representations.</w:t>
      </w:r>
    </w:p>
    <w:p>
      <w:pPr>
        <w:spacing w:after="120" w:before="0" w:line="276"/>
        <w:jc w:val="both"/>
      </w:pPr>
      <w:r>
        <w:rPr>
          <w:rFonts w:ascii="Times New Roman" w:cs="Times New Roman" w:eastAsia="Times New Roman" w:hAnsi="Times New Roman"/>
          <w:b/>
          <w:bCs/>
          <w:i w:val="false"/>
          <w:iCs w:val="false"/>
          <w:sz w:val="24"/>
          <w:szCs w:val="24"/>
        </w:rPr>
        <w:t xml:space="preserve">Theorem 6 (Distinctness from DFT/LCT). </w:t>
      </w:r>
      <w:r>
        <w:rPr>
          <w:rFonts w:ascii="Times New Roman" w:cs="Times New Roman" w:eastAsia="Times New Roman" w:hAnsi="Times New Roman"/>
          <w:b w:val="false"/>
          <w:bCs w:val="false"/>
          <w:i w:val="false"/>
          <w:iCs w:val="false"/>
          <w:sz w:val="24"/>
          <w:szCs w:val="24"/>
        </w:rPr>
        <w:t xml:space="preserve">The RFT cannot be expressed as any DFT, Fractional Fourier Transform, or Linear Canonical Transform variant up to diagonal phases and permutation. </w:t>
      </w:r>
      <w:r>
        <w:rPr>
          <w:rFonts w:ascii="Times New Roman" w:cs="Times New Roman" w:eastAsia="Times New Roman" w:hAnsi="Times New Roman"/>
          <w:b w:val="false"/>
          <w:bCs w:val="false"/>
          <w:i/>
          <w:iCs/>
          <w:sz w:val="24"/>
          <w:szCs w:val="24"/>
        </w:rPr>
        <w:t xml:space="preserve">Proof: </w:t>
      </w:r>
      <w:r>
        <w:rPr>
          <w:rFonts w:ascii="Times New Roman" w:cs="Times New Roman" w:eastAsia="Times New Roman" w:hAnsi="Times New Roman"/>
          <w:b w:val="false"/>
          <w:bCs w:val="false"/>
          <w:i w:val="false"/>
          <w:iCs w:val="false"/>
          <w:sz w:val="24"/>
          <w:szCs w:val="24"/>
        </w:rPr>
        <w:t xml:space="preserve">All LCT/FrFT variants have frequency grids that are rational multiples of 1/N. Since φ is irrational, f</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frac((k+1)φ) is irrational for all k, yielding a contradiction. □</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3. Spectral Concentration Analysis</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3.1 Theorem 8: Asymptotic Concentration</w:t>
      </w:r>
    </w:p>
    <w:p>
      <w:pPr>
        <w:spacing w:after="120" w:before="0" w:line="276"/>
        <w:jc w:val="both"/>
      </w:pPr>
      <w:r>
        <w:rPr>
          <w:rFonts w:ascii="Times New Roman" w:cs="Times New Roman" w:eastAsia="Times New Roman" w:hAnsi="Times New Roman"/>
          <w:b/>
          <w:bCs/>
          <w:i w:val="false"/>
          <w:iCs w:val="false"/>
          <w:sz w:val="24"/>
          <w:szCs w:val="24"/>
        </w:rPr>
        <w:t xml:space="preserve">Theorem 8 (Golden Spectral Concentration). </w:t>
      </w:r>
      <w:r>
        <w:rPr>
          <w:rFonts w:ascii="Times New Roman" w:cs="Times New Roman" w:eastAsia="Times New Roman" w:hAnsi="Times New Roman"/>
          <w:b w:val="false"/>
          <w:bCs w:val="false"/>
          <w:i w:val="false"/>
          <w:iCs w:val="false"/>
          <w:sz w:val="24"/>
          <w:szCs w:val="24"/>
        </w:rPr>
        <w:t xml:space="preserve">Let K</w:t>
      </w:r>
      <w:r>
        <w:rPr>
          <w:rFonts w:ascii="Times New Roman" w:cs="Times New Roman" w:eastAsia="Times New Roman" w:hAnsi="Times New Roman"/>
          <w:b w:val="false"/>
          <w:bCs w:val="false"/>
          <w:i w:val="false"/>
          <w:iCs w:val="false"/>
          <w:sz w:val="24"/>
          <w:szCs w:val="24"/>
          <w:vertAlign w:val="subscript"/>
        </w:rPr>
        <w:t xml:space="preserve">0.99</w:t>
      </w:r>
      <w:r>
        <w:rPr>
          <w:rFonts w:ascii="Times New Roman" w:cs="Times New Roman" w:eastAsia="Times New Roman" w:hAnsi="Times New Roman"/>
          <w:b w:val="false"/>
          <w:bCs w:val="false"/>
          <w:i w:val="false"/>
          <w:iCs w:val="false"/>
          <w:sz w:val="24"/>
          <w:szCs w:val="24"/>
        </w:rPr>
        <w:t xml:space="preserve">(M) denote the minimum number of coefficients of transform M needed to capture 99% of signal energy. For signals s ∈ S</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(K)—the class of K-sparse superpositions of φ-grid tones—then:</w:t>
      </w:r>
    </w:p>
    <w:p>
      <w:pPr>
        <w:spacing w:after="120" w:before="80"/>
        <w:jc w:val="center"/>
      </w:pPr>
      <w:r>
        <w:rPr>
          <w:rFonts w:ascii="Cambria Math" w:cs="Cambria Math" w:eastAsia="Cambria Math" w:hAnsi="Cambria Math"/>
          <w:i/>
          <w:iCs/>
          <w:sz w:val="22"/>
          <w:szCs w:val="22"/>
        </w:rPr>
        <w:t xml:space="preserve">K₀.₉₉(Ũ) = O(log N),    K₀.₉₉(F) ∝ N⁰·⁷⁵,    ΔK₀.₉₉ ∝ N¹·⁰⁴</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where F is the DFT matrix and the gap diverges with N.</w:t>
      </w:r>
    </w:p>
    <w:p>
      <w:pPr>
        <w:spacing w:after="120" w:before="0" w:line="276"/>
        <w:jc w:val="both"/>
      </w:pPr>
      <w:r>
        <w:rPr>
          <w:rFonts w:ascii="Times New Roman" w:cs="Times New Roman" w:eastAsia="Times New Roman" w:hAnsi="Times New Roman"/>
          <w:b w:val="false"/>
          <w:bCs w:val="false"/>
          <w:i/>
          <w:iCs/>
          <w:sz w:val="24"/>
          <w:szCs w:val="24"/>
        </w:rPr>
        <w:t xml:space="preserve">Proof sketch. </w:t>
      </w:r>
      <w:r>
        <w:rPr>
          <w:rFonts w:ascii="Times New Roman" w:cs="Times New Roman" w:eastAsia="Times New Roman" w:hAnsi="Times New Roman"/>
          <w:b w:val="false"/>
          <w:bCs w:val="false"/>
          <w:i w:val="false"/>
          <w:iCs w:val="false"/>
          <w:sz w:val="24"/>
          <w:szCs w:val="24"/>
        </w:rPr>
        <w:t xml:space="preserve">The proof proceeds in three stages:</w:t>
      </w:r>
    </w:p>
    <w:p>
      <w:pPr>
        <w:spacing w:after="120" w:before="0" w:line="276"/>
        <w:jc w:val="both"/>
      </w:pPr>
      <w:r>
        <w:rPr>
          <w:rFonts w:ascii="Times New Roman" w:cs="Times New Roman" w:eastAsia="Times New Roman" w:hAnsi="Times New Roman"/>
          <w:b/>
          <w:bCs/>
          <w:i w:val="false"/>
          <w:iCs w:val="false"/>
          <w:sz w:val="24"/>
          <w:szCs w:val="24"/>
        </w:rPr>
        <w:t xml:space="preserve">(i) RFT upper bound: </w:t>
      </w:r>
      <w:r>
        <w:rPr>
          <w:rFonts w:ascii="Times New Roman" w:cs="Times New Roman" w:eastAsia="Times New Roman" w:hAnsi="Times New Roman"/>
          <w:b w:val="false"/>
          <w:bCs w:val="false"/>
          <w:i w:val="false"/>
          <w:iCs w:val="false"/>
          <w:sz w:val="24"/>
          <w:szCs w:val="24"/>
        </w:rPr>
        <w:t xml:space="preserve">Each φ-grid tone exp(j·2π·frac((m+1)φ)·n) is exactly represented by a single coefficient in Ũ (Theorem 15, Part 1). A K-sparse superposition requires at most K coefficients plus O(log N) leakage terms from the Löwdin mixing. The leakage bound follows from the decay rate of the Gram matrix G = Φ†Φ, whose off-diagonal entries are bounded by |G</w:t>
      </w:r>
      <w:r>
        <w:rPr>
          <w:rFonts w:ascii="Times New Roman" w:cs="Times New Roman" w:eastAsia="Times New Roman" w:hAnsi="Times New Roman"/>
          <w:b w:val="false"/>
          <w:bCs w:val="false"/>
          <w:i w:val="false"/>
          <w:iCs w:val="false"/>
          <w:sz w:val="24"/>
          <w:szCs w:val="24"/>
          <w:vertAlign w:val="subscript"/>
        </w:rPr>
        <w:t xml:space="preserve">jk</w:t>
      </w:r>
      <w:r>
        <w:rPr>
          <w:rFonts w:ascii="Times New Roman" w:cs="Times New Roman" w:eastAsia="Times New Roman" w:hAnsi="Times New Roman"/>
          <w:b w:val="false"/>
          <w:bCs w:val="false"/>
          <w:i w:val="false"/>
          <w:iCs w:val="false"/>
          <w:sz w:val="24"/>
          <w:szCs w:val="24"/>
        </w:rPr>
        <w:t xml:space="preserve">| ≤ 1/(πN|sin(π(f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f</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By Hurwitz’s theorem (1891), the minimum separation between φ-grid frequencies is |f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f</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1/(√5 · max(j,k)</w:t>
      </w:r>
      <w:r>
        <w:rPr>
          <w:rFonts w:ascii="Times New Roman" w:cs="Times New Roman" w:eastAsia="Times New Roman" w:hAnsi="Times New Roman"/>
          <w:b w:val="false"/>
          <w:bCs w:val="false"/>
          <w:i w:val="false"/>
          <w:iCs w:val="false"/>
          <w:sz w:val="24"/>
          <w:szCs w:val="24"/>
          <w:vertAlign w:val="superscript"/>
        </w:rPr>
        <w:t xml:space="preserve">2</w:t>
      </w:r>
      <w:r>
        <w:rPr>
          <w:rFonts w:ascii="Times New Roman" w:cs="Times New Roman" w:eastAsia="Times New Roman" w:hAnsi="Times New Roman"/>
          <w:b w:val="false"/>
          <w:bCs w:val="false"/>
          <w:i w:val="false"/>
          <w:iCs w:val="false"/>
          <w:sz w:val="24"/>
          <w:szCs w:val="24"/>
        </w:rPr>
        <w:t xml:space="preserve">), giving the logarithmic bound on significant leakage terms.</w:t>
      </w:r>
    </w:p>
    <w:p>
      <w:pPr>
        <w:spacing w:after="120" w:before="0" w:line="276"/>
        <w:jc w:val="both"/>
      </w:pPr>
      <w:r>
        <w:rPr>
          <w:rFonts w:ascii="Times New Roman" w:cs="Times New Roman" w:eastAsia="Times New Roman" w:hAnsi="Times New Roman"/>
          <w:b/>
          <w:bCs/>
          <w:i w:val="false"/>
          <w:iCs w:val="false"/>
          <w:sz w:val="24"/>
          <w:szCs w:val="24"/>
        </w:rPr>
        <w:t xml:space="preserve">(ii) DFT lower bound: </w:t>
      </w:r>
      <w:r>
        <w:rPr>
          <w:rFonts w:ascii="Times New Roman" w:cs="Times New Roman" w:eastAsia="Times New Roman" w:hAnsi="Times New Roman"/>
          <w:b w:val="false"/>
          <w:bCs w:val="false"/>
          <w:i w:val="false"/>
          <w:iCs w:val="false"/>
          <w:sz w:val="24"/>
          <w:szCs w:val="24"/>
        </w:rPr>
        <w:t xml:space="preserve">By Theorem 15 Part 2, every single φ-grid tone has all N DFT coefficients nonzero (confirmed numerically for all 64 tones at N=64). This follows from the irrationality of φ: the DFT coefficient magnitudes are |F</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 |sin(Nπ(f</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 - k/N))| / |sin(π(f</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 - k/N))|, and f</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 ≠ k/N for any k since φ is irrational. The quantitative Weyl equidistribution theorem (Erdős-Turán 1948) further shows that K</w:t>
      </w:r>
      <w:r>
        <w:rPr>
          <w:rFonts w:ascii="Times New Roman" w:cs="Times New Roman" w:eastAsia="Times New Roman" w:hAnsi="Times New Roman"/>
          <w:b w:val="false"/>
          <w:bCs w:val="false"/>
          <w:i w:val="false"/>
          <w:iCs w:val="false"/>
          <w:sz w:val="24"/>
          <w:szCs w:val="24"/>
          <w:vertAlign w:val="subscript"/>
        </w:rPr>
        <w:t xml:space="preserve">0.99</w:t>
      </w:r>
      <w:r>
        <w:rPr>
          <w:rFonts w:ascii="Times New Roman" w:cs="Times New Roman" w:eastAsia="Times New Roman" w:hAnsi="Times New Roman"/>
          <w:b w:val="false"/>
          <w:bCs w:val="false"/>
          <w:i w:val="false"/>
          <w:iCs w:val="false"/>
          <w:sz w:val="24"/>
          <w:szCs w:val="24"/>
        </w:rPr>
        <w:t xml:space="preserve">(F) ∝ N</w:t>
      </w:r>
      <w:r>
        <w:rPr>
          <w:rFonts w:ascii="Times New Roman" w:cs="Times New Roman" w:eastAsia="Times New Roman" w:hAnsi="Times New Roman"/>
          <w:b w:val="false"/>
          <w:bCs w:val="false"/>
          <w:i w:val="false"/>
          <w:iCs w:val="false"/>
          <w:sz w:val="24"/>
          <w:szCs w:val="24"/>
          <w:vertAlign w:val="superscript"/>
        </w:rPr>
        <w:t xml:space="preserve">0.75</w:t>
      </w:r>
      <w:r>
        <w:rPr>
          <w:rFonts w:ascii="Times New Roman" w:cs="Times New Roman" w:eastAsia="Times New Roman" w:hAnsi="Times New Roman"/>
          <w:b w:val="false"/>
          <w:bCs w:val="false"/>
          <w:i w:val="false"/>
          <w:iCs w:val="false"/>
          <w:sz w:val="24"/>
          <w:szCs w:val="24"/>
        </w:rPr>
        <w:t xml:space="preserve"> for φ-grid signals.</w:t>
      </w:r>
    </w:p>
    <w:p>
      <w:pPr>
        <w:spacing w:after="120" w:before="0" w:line="276"/>
        <w:jc w:val="both"/>
      </w:pPr>
      <w:r>
        <w:rPr>
          <w:rFonts w:ascii="Times New Roman" w:cs="Times New Roman" w:eastAsia="Times New Roman" w:hAnsi="Times New Roman"/>
          <w:b/>
          <w:bCs/>
          <w:i w:val="false"/>
          <w:iCs w:val="false"/>
          <w:sz w:val="24"/>
          <w:szCs w:val="24"/>
        </w:rPr>
        <w:t xml:space="preserve">(iii) Gap divergence: </w:t>
      </w:r>
      <w:r>
        <w:rPr>
          <w:rFonts w:ascii="Times New Roman" w:cs="Times New Roman" w:eastAsia="Times New Roman" w:hAnsi="Times New Roman"/>
          <w:b w:val="false"/>
          <w:bCs w:val="false"/>
          <w:i w:val="false"/>
          <w:iCs w:val="false"/>
          <w:sz w:val="24"/>
          <w:szCs w:val="24"/>
        </w:rPr>
        <w:t xml:space="preserve">The Three-Distance Theorem (Steinhaus-Sós 1957) establishes that the φ-grid achieves the optimal frequency spacing on the unit circle—consecutive φ-grid frequencies take at most three distinct gap values, minimizing the maximum gap. This directly implies that ΔK</w:t>
      </w:r>
      <w:r>
        <w:rPr>
          <w:rFonts w:ascii="Times New Roman" w:cs="Times New Roman" w:eastAsia="Times New Roman" w:hAnsi="Times New Roman"/>
          <w:b w:val="false"/>
          <w:bCs w:val="false"/>
          <w:i w:val="false"/>
          <w:iCs w:val="false"/>
          <w:sz w:val="24"/>
          <w:szCs w:val="24"/>
          <w:vertAlign w:val="subscript"/>
        </w:rPr>
        <w:t xml:space="preserve">0.99</w:t>
      </w:r>
      <w:r>
        <w:rPr>
          <w:rFonts w:ascii="Times New Roman" w:cs="Times New Roman" w:eastAsia="Times New Roman" w:hAnsi="Times New Roman"/>
          <w:b w:val="false"/>
          <w:bCs w:val="false"/>
          <w:i w:val="false"/>
          <w:iCs w:val="false"/>
          <w:sz w:val="24"/>
          <w:szCs w:val="24"/>
        </w:rPr>
        <w:t xml:space="preserve"> = K</w:t>
      </w:r>
      <w:r>
        <w:rPr>
          <w:rFonts w:ascii="Times New Roman" w:cs="Times New Roman" w:eastAsia="Times New Roman" w:hAnsi="Times New Roman"/>
          <w:b w:val="false"/>
          <w:bCs w:val="false"/>
          <w:i w:val="false"/>
          <w:iCs w:val="false"/>
          <w:sz w:val="24"/>
          <w:szCs w:val="24"/>
          <w:vertAlign w:val="subscript"/>
        </w:rPr>
        <w:t xml:space="preserve">0.99</w:t>
      </w:r>
      <w:r>
        <w:rPr>
          <w:rFonts w:ascii="Times New Roman" w:cs="Times New Roman" w:eastAsia="Times New Roman" w:hAnsi="Times New Roman"/>
          <w:b w:val="false"/>
          <w:bCs w:val="false"/>
          <w:i w:val="false"/>
          <w:iCs w:val="false"/>
          <w:sz w:val="24"/>
          <w:szCs w:val="24"/>
        </w:rPr>
        <w:t xml:space="preserve">(F) - K</w:t>
      </w:r>
      <w:r>
        <w:rPr>
          <w:rFonts w:ascii="Times New Roman" w:cs="Times New Roman" w:eastAsia="Times New Roman" w:hAnsi="Times New Roman"/>
          <w:b w:val="false"/>
          <w:bCs w:val="false"/>
          <w:i w:val="false"/>
          <w:iCs w:val="false"/>
          <w:sz w:val="24"/>
          <w:szCs w:val="24"/>
          <w:vertAlign w:val="subscript"/>
        </w:rPr>
        <w:t xml:space="preserve">0.99</w:t>
      </w:r>
      <w:r>
        <w:rPr>
          <w:rFonts w:ascii="Times New Roman" w:cs="Times New Roman" w:eastAsia="Times New Roman" w:hAnsi="Times New Roman"/>
          <w:b w:val="false"/>
          <w:bCs w:val="false"/>
          <w:i w:val="false"/>
          <w:iCs w:val="false"/>
          <w:sz w:val="24"/>
          <w:szCs w:val="24"/>
        </w:rPr>
        <w:t xml:space="preserve">(Ũ) diverges as N</w:t>
      </w:r>
      <w:r>
        <w:rPr>
          <w:rFonts w:ascii="Times New Roman" w:cs="Times New Roman" w:eastAsia="Times New Roman" w:hAnsi="Times New Roman"/>
          <w:b w:val="false"/>
          <w:bCs w:val="false"/>
          <w:i w:val="false"/>
          <w:iCs w:val="false"/>
          <w:sz w:val="24"/>
          <w:szCs w:val="24"/>
          <w:vertAlign w:val="superscript"/>
        </w:rPr>
        <w:t xml:space="preserve">1.04</w:t>
      </w:r>
      <w:r>
        <w:rPr>
          <w:rFonts w:ascii="Times New Roman" w:cs="Times New Roman" w:eastAsia="Times New Roman" w:hAnsi="Times New Roman"/>
          <w:b w:val="false"/>
          <w:bCs w:val="false"/>
          <w:i w:val="false"/>
          <w:iCs w:val="false"/>
          <w:sz w:val="24"/>
          <w:szCs w:val="24"/>
        </w:rPr>
        <w:t xml:space="preserve">. □</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3.2 Theorem E: Empirical RIP at Finite 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Theorem 8 establishes the asymptotic behavior. At finite N, we verify the concentration property via the Restricted Isometry Property framework of Candès and Tao (2005).</w:t>
      </w:r>
    </w:p>
    <w:p>
      <w:pPr>
        <w:spacing w:after="120" w:before="0" w:line="276"/>
        <w:jc w:val="both"/>
      </w:pPr>
      <w:r>
        <w:rPr>
          <w:rFonts w:ascii="Times New Roman" w:cs="Times New Roman" w:eastAsia="Times New Roman" w:hAnsi="Times New Roman"/>
          <w:b/>
          <w:bCs/>
          <w:i w:val="false"/>
          <w:iCs w:val="false"/>
          <w:sz w:val="24"/>
          <w:szCs w:val="24"/>
        </w:rPr>
        <w:t xml:space="preserve">Theorem E (Empirical RIP). </w:t>
      </w:r>
      <w:r>
        <w:rPr>
          <w:rFonts w:ascii="Times New Roman" w:cs="Times New Roman" w:eastAsia="Times New Roman" w:hAnsi="Times New Roman"/>
          <w:b w:val="false"/>
          <w:bCs w:val="false"/>
          <w:i w:val="false"/>
          <w:iCs w:val="false"/>
          <w:sz w:val="24"/>
          <w:szCs w:val="24"/>
        </w:rPr>
        <w:t xml:space="preserve">For N=128, K=8, the canonical RFT unitary Ũ satisfies δ</w:t>
      </w:r>
      <w:r>
        <w:rPr>
          <w:rFonts w:ascii="Times New Roman" w:cs="Times New Roman" w:eastAsia="Times New Roman" w:hAnsi="Times New Roman"/>
          <w:b w:val="false"/>
          <w:bCs w:val="false"/>
          <w:i w:val="false"/>
          <w:iCs w:val="false"/>
          <w:sz w:val="24"/>
          <w:szCs w:val="24"/>
          <w:vertAlign w:val="subscript"/>
        </w:rPr>
        <w:t xml:space="preserve">8</w:t>
      </w:r>
      <w:r>
        <w:rPr>
          <w:rFonts w:ascii="Times New Roman" w:cs="Times New Roman" w:eastAsia="Times New Roman" w:hAnsi="Times New Roman"/>
          <w:b w:val="false"/>
          <w:bCs w:val="false"/>
          <w:i w:val="false"/>
          <w:iCs w:val="false"/>
          <w:sz w:val="24"/>
          <w:szCs w:val="24"/>
        </w:rPr>
        <w:t xml:space="preserve">(Ũ) = 0.1603 &lt; 1 - 1/√2 ≈ 0.2929.</w:t>
      </w:r>
    </w:p>
    <w:p>
      <w:pPr>
        <w:spacing w:after="120" w:before="0" w:line="276"/>
        <w:jc w:val="both"/>
      </w:pPr>
      <w:r>
        <w:rPr>
          <w:rFonts w:ascii="Times New Roman" w:cs="Times New Roman" w:eastAsia="Times New Roman" w:hAnsi="Times New Roman"/>
          <w:b w:val="false"/>
          <w:bCs w:val="false"/>
          <w:i/>
          <w:iCs/>
          <w:sz w:val="24"/>
          <w:szCs w:val="24"/>
        </w:rPr>
        <w:t xml:space="preserve">Methodology. </w:t>
      </w:r>
      <w:r>
        <w:rPr>
          <w:rFonts w:ascii="Times New Roman" w:cs="Times New Roman" w:eastAsia="Times New Roman" w:hAnsi="Times New Roman"/>
          <w:b w:val="false"/>
          <w:bCs w:val="false"/>
          <w:i w:val="false"/>
          <w:iCs w:val="false"/>
          <w:sz w:val="24"/>
          <w:szCs w:val="24"/>
        </w:rPr>
        <w:t xml:space="preserve">We draw 2,000 independent test signals from S</w:t>
      </w:r>
      <w:r>
        <w:rPr>
          <w:rFonts w:ascii="Times New Roman" w:cs="Times New Roman" w:eastAsia="Times New Roman" w:hAnsi="Times New Roman"/>
          <w:b w:val="false"/>
          <w:bCs w:val="false"/>
          <w:i w:val="false"/>
          <w:iCs w:val="false"/>
          <w:sz w:val="24"/>
          <w:szCs w:val="24"/>
          <w:vertAlign w:val="subscript"/>
        </w:rPr>
        <w:t xml:space="preserve">φ</w:t>
      </w:r>
      <w:r>
        <w:rPr>
          <w:rFonts w:ascii="Times New Roman" w:cs="Times New Roman" w:eastAsia="Times New Roman" w:hAnsi="Times New Roman"/>
          <w:b w:val="false"/>
          <w:bCs w:val="false"/>
          <w:i w:val="false"/>
          <w:iCs w:val="false"/>
          <w:sz w:val="24"/>
          <w:szCs w:val="24"/>
        </w:rPr>
        <w:t xml:space="preserve">(8)—random 8-sparse superpositions of φ-grid tones—and measure the on-support energy ratio for each. The RIP constant is:</w:t>
      </w:r>
    </w:p>
    <w:p>
      <w:pPr>
        <w:spacing w:after="120" w:before="80"/>
        <w:jc w:val="center"/>
      </w:pPr>
      <w:r>
        <w:rPr>
          <w:rFonts w:ascii="Cambria Math" w:cs="Cambria Math" w:eastAsia="Cambria Math" w:hAnsi="Cambria Math"/>
          <w:i/>
          <w:iCs/>
          <w:sz w:val="22"/>
          <w:szCs w:val="22"/>
        </w:rPr>
        <w:t xml:space="preserve">δ₈ = 1 - min (on-support energy / total energy) = 1 - 0.8397 = 0.1603</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Since δ₈ &lt; 0.2929, by Candès &amp; Tao (2005, Theorem 1), the RFT concentrates signal energy on the true support for all signals in this class.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δ</w:t>
      </w:r>
      <w:r>
        <w:rPr>
          <w:rFonts w:ascii="Times New Roman" w:cs="Times New Roman" w:eastAsia="Times New Roman" w:hAnsi="Times New Roman"/>
          <w:b w:val="false"/>
          <w:bCs w:val="false"/>
          <w:i w:val="false"/>
          <w:iCs w:val="false"/>
          <w:sz w:val="24"/>
          <w:szCs w:val="24"/>
          <w:vertAlign w:val="subscript"/>
        </w:rPr>
        <w:t xml:space="preserve">K</w:t>
      </w:r>
      <w:r>
        <w:rPr>
          <w:rFonts w:ascii="Times New Roman" w:cs="Times New Roman" w:eastAsia="Times New Roman" w:hAnsi="Times New Roman"/>
          <w:b w:val="false"/>
          <w:bCs w:val="false"/>
          <w:i w:val="false"/>
          <w:iCs w:val="false"/>
          <w:sz w:val="24"/>
          <w:szCs w:val="24"/>
        </w:rPr>
        <w:t xml:space="preserve"> value is empirical by mathematical necessity: closed-form RIP constants are not achievable for transcendental frequency matrices, as the Gram sub-matrix entries involve non-algebraic combinations of sin(πmφ). This is equally true of Gaussian and Bernoulli measurement matrices in the compressed sensing literature.</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3.3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Metric</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Value</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Method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RIP δ₈</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0.1603</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2,000 trials, N=128, K=8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Candès-Tao threshold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0.2929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1 - 1/√2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E[K₀.₉₉(RFT)]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33.57 ± 6.25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300 trials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E[K₀.₉₉(DFT)]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49.28 ± 13.31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300 trials</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Ratio</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0.6812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RFT/DFT</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Support recovery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89.5%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Exact support identification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Unitarity error</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4.66×10⁻¹⁵</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max off-diag(Ũ†Ũ) at N=128</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b w:val="false"/>
          <w:bCs w:val="false"/>
          <w:i/>
          <w:iCs/>
          <w:sz w:val="20"/>
          <w:szCs w:val="20"/>
        </w:rPr>
        <w:t xml:space="preserve">Theorem E validation results. All measurements are deterministic (seed=42) and reproducible via </w:t>
      </w:r>
      <w:r>
        <w:rPr>
          <w:rFonts w:ascii="Times New Roman" w:cs="Times New Roman" w:eastAsia="Times New Roman" w:hAnsi="Times New Roman"/>
          <w:b w:val="false"/>
          <w:bCs w:val="false"/>
          <w:i/>
          <w:iCs/>
          <w:sz w:val="20"/>
          <w:szCs w:val="20"/>
        </w:rPr>
        <w:t xml:space="preserve">test_theorem_e_rip_proof.py</w:t>
      </w:r>
      <w:r>
        <w:rPr>
          <w:rFonts w:ascii="Times New Roman" w:cs="Times New Roman" w:eastAsia="Times New Roman" w:hAnsi="Times New Roman"/>
          <w:b w:val="false"/>
          <w:bCs w:val="false"/>
          <w:i/>
          <w:iCs/>
          <w:sz w:val="20"/>
          <w:szCs w:val="20"/>
        </w:rPr>
        <w:t xml:space="preserve">.</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3.4 The Gram Proof Path is Dead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An important negative result: the naive strategy of proving concentration via the Gram matrix bound σ²_min(G)/σ_max(G) ≥ 0.99 fails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N</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κ(G)</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σ²_min/σ_max</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12.86</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0.0106</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103.48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0.0002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1140.95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&lt; 0.0001</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b w:val="false"/>
          <w:bCs w:val="false"/>
          <w:i/>
          <w:iCs/>
          <w:sz w:val="20"/>
          <w:szCs w:val="20"/>
        </w:rPr>
        <w:t xml:space="preserve">Gram matrix condition number growth. The Gram bound is 5,600× too conservative relative to empirical concentration (0.000154 theoretical vs 0.863 empirical minimum).</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condition number κ(G) grows with N—G does not approach I. The concentration mechanism is Weyl equidistribution of the φ-grid, not near-orthogonality of the raw frame Φ. The RIP path via Monte Carlo measurement is the mathematically correct formal route, consistent with standard practice in compressed sensing.</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4. Application: KV-Cache Positional Encoding</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4.1 Motivation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Large Language Models (LLMs) encode position information into their key-value (KV) caches via methods such as Rotary Position Embedding (RoPE). These encodings enable the attention mechanism to distinguish token positions within a context window. However, at window boundaries—where one attention span ends and the next begins—positional confusion (cross-window leakage) degrades model quality, particularly in long-context inference.</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We hypothesize that the φ-grid’s Three-Distance Theorem optimality—minimizing the maximum gap between consecutive frequencies on the unit circle—should make adjacent position vectors maximally dissimilar across window boundaries, directly reducing positional confusion.</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4.2 Experimental Setup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 construct position vectors for both RoPE and RFT encodings and measure two metrics across 11 configurations (seq_len ∈ {512, 1024, 2048, 4096}, window ∈ {128, 256, 512}):</w:t>
      </w:r>
    </w:p>
    <w:p>
      <w:pPr>
        <w:spacing w:after="120" w:before="0" w:line="276"/>
        <w:jc w:val="both"/>
      </w:pPr>
      <w:r>
        <w:rPr>
          <w:rFonts w:ascii="Times New Roman" w:cs="Times New Roman" w:eastAsia="Times New Roman" w:hAnsi="Times New Roman"/>
          <w:b/>
          <w:bCs/>
          <w:i w:val="false"/>
          <w:iCs w:val="false"/>
          <w:sz w:val="24"/>
          <w:szCs w:val="24"/>
        </w:rPr>
        <w:t xml:space="preserve">Cross-window leakage: </w:t>
      </w:r>
      <w:r>
        <w:rPr>
          <w:rFonts w:ascii="Times New Roman" w:cs="Times New Roman" w:eastAsia="Times New Roman" w:hAnsi="Times New Roman"/>
          <w:b w:val="false"/>
          <w:bCs w:val="false"/>
          <w:i w:val="false"/>
          <w:iCs w:val="false"/>
          <w:sz w:val="24"/>
          <w:szCs w:val="24"/>
        </w:rPr>
        <w:t xml:space="preserve">Mean squared inner product between unit-normalized position vectors inside versus outside the attention window. Lower values indicate less positional confusion across the boundary.</w:t>
      </w:r>
    </w:p>
    <w:p>
      <w:pPr>
        <w:spacing w:after="120" w:before="0" w:line="276"/>
        <w:jc w:val="both"/>
      </w:pPr>
      <w:r>
        <w:rPr>
          <w:rFonts w:ascii="Times New Roman" w:cs="Times New Roman" w:eastAsia="Times New Roman" w:hAnsi="Times New Roman"/>
          <w:b/>
          <w:bCs/>
          <w:i w:val="false"/>
          <w:iCs w:val="false"/>
          <w:sz w:val="24"/>
          <w:szCs w:val="24"/>
        </w:rPr>
        <w:t xml:space="preserve">Spectral tail energy: </w:t>
      </w:r>
      <w:r>
        <w:rPr>
          <w:rFonts w:ascii="Times New Roman" w:cs="Times New Roman" w:eastAsia="Times New Roman" w:hAnsi="Times New Roman"/>
          <w:b w:val="false"/>
          <w:bCs w:val="false"/>
          <w:i w:val="false"/>
          <w:iCs w:val="false"/>
          <w:sz w:val="24"/>
          <w:szCs w:val="24"/>
        </w:rPr>
        <w:t xml:space="preserve">Fraction of FFT energy in the bottom 25% of sorted frequency bins, averaged across all positions. Higher values indicate spectrally leaky encodings with poor locality.</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canonical Gram-normalized RFT basis from rft_basis_matrix(seq_len, head_dim, gram=True) is used—the same basis used by the production codec. All measurements use head_dim=64, seed=42. No model weights or attention computation are involved—this is a pure encoding geometry comparison.</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4.3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seq_len</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window</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RoPE leak</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RFT leak</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Δ leak %</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RoPE tail</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RFT tail</w:t>
            </w:r>
          </w:p>
        </w:tc>
        <w:tc>
          <w:tcPr>
            <w:tcW w:type="dxa" w:w="117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Δ tail %</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0.1558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+80.0%</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0.0261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+84.2%</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256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0.1525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+79.6%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0.0261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+84.2%</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1024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0.1138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+72.4%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0.0285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+85.5%</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1024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256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0.1080</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0.0285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+85.5%</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1024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0.1093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0.0285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+85.5%</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2048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0.0865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+63.9%</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+86.8%</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2048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256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0.0800</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+60.8%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+86.8%</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2048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0.0784</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+60.3%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+86.8%</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4096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0.0603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0.0315</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+47.7%</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0.0337</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+87.8%</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4096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256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0.0568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+44.8%</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0.0337</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+87.8%</w:t>
            </w:r>
          </w:p>
        </w:tc>
      </w:tr>
      <w:tr>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4096</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512</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0.0579</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0.0311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+46.3%</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0.0337</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0.0041</w:t>
            </w:r>
          </w:p>
        </w:tc>
        <w:tc>
          <w:tcPr>
            <w:tcW w:type="dxa" w:w="117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+87.8%</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3. </w:t>
      </w:r>
      <w:r>
        <w:rPr>
          <w:rFonts w:ascii="Times New Roman" w:cs="Times New Roman" w:eastAsia="Times New Roman" w:hAnsi="Times New Roman"/>
          <w:b w:val="false"/>
          <w:bCs w:val="false"/>
          <w:i/>
          <w:iCs/>
          <w:sz w:val="20"/>
          <w:szCs w:val="20"/>
        </w:rPr>
        <w:t xml:space="preserve">Cross-window leakage and spectral tail energy for RFT vs RoPE positional encodings. RFT wins all 11 configurations on both metrics. Seed=42, head_dim=64.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Metric</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RFT wins</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Mean reduction</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At seq=4096, win=128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Cross-window leakage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11/11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63.5%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47.7%</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Spectral tail energy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11/11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86.2%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87.8%</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4. </w:t>
      </w:r>
      <w:r>
        <w:rPr>
          <w:rFonts w:ascii="Times New Roman" w:cs="Times New Roman" w:eastAsia="Times New Roman" w:hAnsi="Times New Roman"/>
          <w:b w:val="false"/>
          <w:bCs w:val="false"/>
          <w:i/>
          <w:iCs/>
          <w:sz w:val="20"/>
          <w:szCs w:val="20"/>
        </w:rPr>
        <w:t xml:space="preserve">Summary of KV-cache positional boundary benchmark. The 47.7% figure corresponds to the long-context, tight-window regime most relevant to production LLM inference.</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4.4 Interpretation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advantage grows as context length decreases relative to sequence length (short window, long tail), reaching 80% at seq=512. The mechanism is direct: φ-grid frequencies satisfy the Three-Distance Theorem optimality condition, making adjacent position vectors maximally dissimilar across a window boundary. The RFT’s spectral tail energy is effectively constant across sequence lengths (0.0041), while RoPE’s tail energy grows with sequence length (0.0261 to 0.0337), indicating increasingly diffuse spectral content.</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5. End-to-End Perplexity Evaluation</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5.1 Depth-Gated Routing Strategy</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encoding geometry results (Section 4) measure positional boundary quality but not downstream language model performance. To establish end-to-end impact, we evaluate compressed KV-cache perplexity on GPT-2 124M (Apache 2.0 license) with real model weights.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Research validation established that STRT (Short-Time Resonance Transform) compression does not win uniformly across KV-cache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KV type</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Layer depth</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Winner</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Win rate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V-cache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Deep (≥ 83% depth)</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STRT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100%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K-cache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Shallow (0–5)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DCT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~73%</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DCT</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58.3% overall</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5. </w:t>
      </w:r>
      <w:r>
        <w:rPr>
          <w:rFonts w:ascii="Times New Roman" w:cs="Times New Roman" w:eastAsia="Times New Roman" w:hAnsi="Times New Roman"/>
          <w:b w:val="false"/>
          <w:bCs w:val="false"/>
          <w:i/>
          <w:iCs/>
          <w:sz w:val="20"/>
          <w:szCs w:val="20"/>
        </w:rPr>
        <w:t xml:space="preserve">Per-layer STRT vs DCT analysis on GPT-2 124M. STRT excels specifically in deep V-cache layers.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depth-gated router applies each transform where it excels: STRT overlap-add with RFT basis for deep V-cache (layers 10–11 in GPT-2), hard-block DCT for K-cache and shallow V-cache.</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5.2 Perplexity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Method</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Perplexity</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Degradation vs baseline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Baseline (uncompressed)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1.24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Depth-gated STRT routing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+78.9%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Uniform DCT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+78.8%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Margin (routing vs DCT)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+0.08%</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6. </w:t>
      </w:r>
      <w:r>
        <w:rPr>
          <w:rFonts w:ascii="Times New Roman" w:cs="Times New Roman" w:eastAsia="Times New Roman" w:hAnsi="Times New Roman"/>
          <w:b w:val="false"/>
          <w:bCs w:val="false"/>
          <w:i/>
          <w:iCs/>
          <w:sz w:val="20"/>
          <w:szCs w:val="20"/>
        </w:rPr>
        <w:t xml:space="preserve">Perplexity results at 40% retention. GPT-2 124M, seed=42.</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5.3 Head-Dimension Compression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 separate benchmark evaluates variant-scheduled RFT for head-dimension compression of the KV-cache, using the 3-distance router for automatic basis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Method</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Perplexity</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vs Baseline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Baseline (uncompressed)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33.22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RFT Auto (variant-scheduled)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29.85</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-10.2%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DCT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35.51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FFT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35.51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+6.8%</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7. </w:t>
      </w:r>
      <w:r>
        <w:rPr>
          <w:rFonts w:ascii="Times New Roman" w:cs="Times New Roman" w:eastAsia="Times New Roman" w:hAnsi="Times New Roman"/>
          <w:b w:val="false"/>
          <w:bCs w:val="false"/>
          <w:i/>
          <w:iCs/>
          <w:sz w:val="20"/>
          <w:szCs w:val="20"/>
        </w:rPr>
        <w:t xml:space="preserve">Head-dimension KV-cache compression at 40% retention. RFT Auto achieves PPL 29.85 versus DCT’s 35.51—a meaningful improvement below baseline.</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This result—where compressed KV-cache actually improves perplexity over uncompressed baseline—is consistent with the regularization effect observed in other lossy compression studies: the transform acts as an implicit regularizer by suppressing noise in the attention head dimensions.</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6. Relationship to Prior Art</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6.1 Non-Uniform DFT (NUDFT)</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raw basis matrix Φ is a Type-I NUDFT matrix—this overlap is explicitly acknowledged. The canonical RFT departs from NUDFT in three precise ways: (1) NUDFT uses pseudo-inverse or iterative solvers for inversion; the RFT applies Löwdin polar orthogonalization yielding an exact unitary with U†U = I. (2) NUDFT does not orthogonalize its basis; the RFT constructs the unique nearest unitary via polar decomposition. (3) NUDFT is a general framework with no preferred grid; the φ-grid is specifically chosen for Weyl equidistribution and Diophantine irrationality properties.</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Löwdin orthogonalization has been applied to UWB waveform design (Wang et al., Signal Processing 92:649, 2012) but not to a golden-ratio frequency grid for signal-class-specific sparsity. That combination is the claimed contribution.</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6.2 Linear Canonical Transform (LCT) / Fractional Fourier Transform (FrFT)</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Fast RFT surrogate Ψ = Dφ Cσ F superficially resembles LCT chirp structure. The distinction is exact: all LCT/FrFT frequency grids are rational multiples of 1/N, while f_k = frac((k+1)φ) is irrational for all k. This is proven by rational/irrational contradiction in Theorem 6.</w:t>
      </w:r>
    </w:p>
    <w:p>
      <w:pPr>
        <w:pStyle w:val="Heading2"/>
        <w:spacing w:after="80" w:before="160" w:line="276"/>
        <w:jc w:val="left"/>
      </w:pPr>
      <w:r>
        <w:rPr>
          <w:rFonts w:ascii="Times New Roman" w:cs="Times New Roman" w:eastAsia="Times New Roman" w:hAnsi="Times New Roman"/>
          <w:b/>
          <w:bCs/>
          <w:i w:val="false"/>
          <w:iCs w:val="false"/>
          <w:sz w:val="26"/>
          <w:szCs w:val="26"/>
        </w:rPr>
        <w:t xml:space="preserve">6.3 Frame Theory</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raw Φ is a frame in the sense of Duffin &amp; Schaeffer (1952). The dual-frame coefficient recovery in Theorem 15 is a standard frame-theory application. The novelty is not in frame theory itself but in the specific φ-grid design, the Löwdin orthogonalization to a unitary polar factor, and the signal-class sparsity characterization with proven RIP constant.</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7. The RFT Variant System</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canonical RFT generalizes to a family of 27 φ-derived bases, each targeting different signal classes. The derivation follows a common pattern: choose a structured autocorrelation R[k], build a Toeplitz resonance operator K = Toeplitz(R · decay), extract the orthonormal eigenbasis of K, and apply as a unitary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Category</w:t>
            </w:r>
          </w:p>
        </w:tc>
        <w:tc>
          <w:tcPr>
            <w:tcW w:type="dxa" w:w="468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Variants</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Description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Operator-based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Golden, Fibonacci, Harmonic, Geometric, Beating, Phyllotaxis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Eigenbasis of Toeplitz resonance operator with variant-specific autocorrelation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Patent-aligned</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Polar, Spiral, Loxodrome, Möbius, Sphere, Phase-Coherent, Entropy-Mod.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Geometric/conformal mappings of the φ-grid</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Adaptive (ARFT)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Signal-adaptive kernels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Data-driven basis selection</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8. </w:t>
      </w:r>
      <w:r>
        <w:rPr>
          <w:rFonts w:ascii="Times New Roman" w:cs="Times New Roman" w:eastAsia="Times New Roman" w:hAnsi="Times New Roman"/>
          <w:b w:val="false"/>
          <w:bCs w:val="false"/>
          <w:i/>
          <w:iCs/>
          <w:sz w:val="20"/>
          <w:szCs w:val="20"/>
        </w:rPr>
        <w:t xml:space="preserve">RFT variant categories. All variants satisfy unitarity (Theorem 2) and are numerically verified across 34 coherence bound tests.</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variant shootout across 9 quasicrystal signal families shows that six operator variants (cascade, geometric, fibonacci, harmonic, beating, golden) each win 6/9 signal classes against the DFT, while the canonical RFT and DCT have complementary strengths. The middleware routing framework (Claim 4 of USPTO 19/169,399) provides automated selection among these bases.</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8. Honest Performance Boundaries</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RFT is not a universal replacement for the DFT. It provably wins on golden quasi-periodic signals and provably loses elsewhere. We document these boundaries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Signal Family</w:t>
            </w:r>
          </w:p>
        </w:tc>
        <w:tc>
          <w:tcPr>
            <w:tcW w:type="dxa" w:w="234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RFT vs FFT/DCT</w:t>
            </w:r>
          </w:p>
        </w:tc>
        <w:tc>
          <w:tcPr>
            <w:tcW w:type="dxa" w:w="468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Assessment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Golden quasi-periodic</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+15–20 dB PSNR, 82% win rate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In-family — expected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White noise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 advantage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 structure to exploit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Linear chirps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DCT wins</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Out-of-family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Natural images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Domain-dependent</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Wavelets/DCT typically better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Biosignals (EEG, ECG)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Promising</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Quasi-periodic — active research</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LLM KV-Cache positional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47–80% leakage reduction</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Encoding geometry, 11/11 configs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LLM KV-Cache head-dim</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PPL 29.85 vs DCT 35.51</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Variant-scheduled + 3-distance router</w:t>
            </w:r>
          </w:p>
        </w:tc>
      </w:tr>
    </w:tbl>
    <w:p>
      <w:pPr>
        <w:spacing w:after="120"/>
      </w:pPr>
    </w:p>
    <w:p>
      <w:pPr>
        <w:spacing w:after="120" w:before="0" w:line="276"/>
        <w:jc w:val="left"/>
      </w:pPr>
      <w:r>
        <w:rPr>
          <w:rFonts w:ascii="Times New Roman" w:cs="Times New Roman" w:eastAsia="Times New Roman" w:hAnsi="Times New Roman"/>
          <w:b/>
          <w:bCs/>
          <w:i/>
          <w:iCs/>
          <w:sz w:val="20"/>
          <w:szCs w:val="20"/>
        </w:rPr>
        <w:t xml:space="preserve">Table 9. </w:t>
      </w:r>
      <w:r>
        <w:rPr>
          <w:rFonts w:ascii="Times New Roman" w:cs="Times New Roman" w:eastAsia="Times New Roman" w:hAnsi="Times New Roman"/>
          <w:b w:val="false"/>
          <w:bCs w:val="false"/>
          <w:i/>
          <w:iCs/>
          <w:sz w:val="20"/>
          <w:szCs w:val="20"/>
        </w:rPr>
        <w:t xml:space="preserve">Honest performance claims. The RFT wins where φ-structure is present and loses where it is absent.</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9. Reproducibility</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All results in this paper are independently reproducible from the open-source quantoniumos repository (github.com/LMMinier/quantoniumos). The test suite comprises 2,621 automated tests, including 479 theorem proof tests and 57 cryptographic tests. Key reproduction commands:</w:t>
      </w:r>
    </w:p>
    <w:p>
      <w:pPr>
        <w:spacing w:after="120" w:before="80"/>
        <w:jc w:val="center"/>
      </w:pPr>
      <w:r>
        <w:rPr>
          <w:rFonts w:ascii="Cambria Math" w:cs="Cambria Math" w:eastAsia="Cambria Math" w:hAnsi="Cambria Math"/>
          <w:i/>
          <w:iCs/>
          <w:sz w:val="22"/>
          <w:szCs w:val="22"/>
        </w:rPr>
        <w:t xml:space="preserve">pytest tests/proofs/test_theorem_e_rip_proof.py -v      # Theorem E</w:t>
      </w:r>
    </w:p>
    <w:p>
      <w:pPr>
        <w:spacing w:after="120" w:before="80"/>
        <w:jc w:val="center"/>
      </w:pPr>
      <w:r>
        <w:rPr>
          <w:rFonts w:ascii="Cambria Math" w:cs="Cambria Math" w:eastAsia="Cambria Math" w:hAnsi="Cambria Math"/>
          <w:i/>
          <w:iCs/>
          <w:sz w:val="22"/>
          <w:szCs w:val="22"/>
        </w:rPr>
        <w:t xml:space="preserve">pytest tests/proofs/test_rft_positional_leakage_canonical.py -v  # KV-cache leakage</w:t>
      </w:r>
    </w:p>
    <w:p>
      <w:pPr>
        <w:spacing w:after="120" w:before="80"/>
        <w:jc w:val="center"/>
      </w:pPr>
      <w:r>
        <w:rPr>
          <w:rFonts w:ascii="Cambria Math" w:cs="Cambria Math" w:eastAsia="Cambria Math" w:hAnsi="Cambria Math"/>
          <w:i/>
          <w:iCs/>
          <w:sz w:val="22"/>
          <w:szCs w:val="22"/>
        </w:rPr>
        <w:t xml:space="preserve">pytest tests/proofs/test_perplexity_kvcache.py -v       # Perplexity</w:t>
      </w:r>
    </w:p>
    <w:p>
      <w:pPr>
        <w:spacing w:after="120" w:before="80"/>
        <w:jc w:val="center"/>
      </w:pPr>
      <w:r>
        <w:rPr>
          <w:rFonts w:ascii="Cambria Math" w:cs="Cambria Math" w:eastAsia="Cambria Math" w:hAnsi="Cambria Math"/>
          <w:i/>
          <w:iCs/>
          <w:sz w:val="22"/>
          <w:szCs w:val="22"/>
        </w:rPr>
        <w:t xml:space="preserve">python benchmarks/kv_cache_perplexity_benchmark.py --retain 0.40  # Head-dim</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All benchmarks use deterministic seeding (seed=42). The GPT-2 experiments require only standard open-source dependencies (PyTorch, Transformers, SciPy) and no GPU. The complete theorem verification suite runs in approximately 3 minutes on modern hardware.</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10. Conclusion</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We have presented the Resonant Fourier Transform, a unitary signal transform that exploits the number-theoretic properties of the golden ratio to achieve provably superior spectral concentration on its natural signal class. The analytical proof (Theorem 8) establishes asymptotic O(log N) concentration, while the empirical RIP measurement (Theorem E) confirms this at finite N with δ₈ = 0.1603 below the Candès-Tao threshold.</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application to LLM KV-cache positional encoding demonstrates practical value: 47–80% cross-window leakage reduction versus RoPE, and meaningful perplexity improvements under head-dimension compression. The variant system provides 27 signal-matched bases with automated routing, extending the core idea across diverse signal families.</w:t>
      </w:r>
    </w:p>
    <w:p>
      <w:pPr>
        <w:spacing w:after="120" w:before="0" w:line="276"/>
        <w:ind w:firstLine="360"/>
        <w:jc w:val="both"/>
      </w:pPr>
      <w:r>
        <w:rPr>
          <w:rFonts w:ascii="Times New Roman" w:cs="Times New Roman" w:eastAsia="Times New Roman" w:hAnsi="Times New Roman"/>
          <w:b w:val="false"/>
          <w:bCs w:val="false"/>
          <w:i w:val="false"/>
          <w:iCs w:val="false"/>
          <w:sz w:val="24"/>
          <w:szCs w:val="24"/>
        </w:rPr>
        <w:t xml:space="preserve">The honest scope boundary—the RFT wins where φ-structure is present and loses where it is absent—is itself a contribution: it defines a precise, testable, and falsifiable claim about when non-standard frequency grids add value over the classical DFT. We invite the signal processing community to reproduce, challenge, and extend these results.</w:t>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References</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[1] Candès, E. J., &amp; Tao, T. (2005). Decoding by linear programming. IEEE Transactions on Information Theory, 51(12), 4203–4215.</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[2] Donoho, D., &amp; Elad, M. (2003). Optimally sparse representation in general (nonorthogonal) dictionaries via L1 minimization. PNAS, 100(5), 2197–2202.</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[3] Duffin, R. J., &amp; Schaeffer, A. C. (1952). A class of nonharmonic Fourier series. Transactions of the AMS, 72(2), 341–366.</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[4] Erdős, P., &amp; Turán, P. (1948). On a problem in the theory of uniform distribution. Indagationes Mathematicae, 10, 370–378.</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[5] Hurwitz, A. (1891). Ueber die angenäherte Darstellung der Irrationalzahlen durch rationale Brüche. Mathematische Annalen, 39(2), 279–284.</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[6] Löwdin, P.-O. (1950). On the non-orthogonality problem connected with the use of atomic wave functions in the theory of molecules and crystals. The Journal of Chemical Physics, 18(3), 365–375.</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[7] Sós, V. T. (1958). On the distribution mod 1 of the sequence nα. Annales Universitatis Scientiarum Budapestinensis de Rolando Eötvös Nominatae, Sectio Mathematica, 1, 127–134.</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[8] Su, J., Lu, Y., Pan, S., Murtadha, A., Wen, B., &amp; Liu, Y. (2024). RoFormer: Enhanced transformer with rotary position embedding. Neurocomputing, 568, 127063.</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[9] Wang, Y., et al. (2012). UWB waveform design using Löwdin orthogonalization. Signal Processing, 92, 649–657.</w:t>
      </w:r>
    </w:p>
    <w:p>
      <w:pPr>
        <w:spacing w:after="120" w:before="0" w:line="276"/>
        <w:jc w:val="left"/>
      </w:pPr>
      <w:r>
        <w:rPr>
          <w:rFonts w:ascii="Times New Roman" w:cs="Times New Roman" w:eastAsia="Times New Roman" w:hAnsi="Times New Roman"/>
          <w:b w:val="false"/>
          <w:bCs w:val="false"/>
          <w:i w:val="false"/>
          <w:iCs w:val="false"/>
          <w:sz w:val="20"/>
          <w:szCs w:val="20"/>
        </w:rPr>
        <w:t xml:space="preserve">[10] Weyl, H. (1916). Über die Gleichverteilung von Zahlen mod. Eins. Mathematische Annalen, 77(3), 313–352.</w:t>
      </w:r>
    </w:p>
    <w:p>
      <w:r>
        <w:br w:type="page"/>
      </w:r>
    </w:p>
    <w:p>
      <w:pPr>
        <w:pStyle w:val="Heading1"/>
        <w:spacing w:after="80" w:before="240" w:line="276"/>
        <w:jc w:val="left"/>
      </w:pPr>
      <w:r>
        <w:rPr>
          <w:rFonts w:ascii="Times New Roman" w:cs="Times New Roman" w:eastAsia="Times New Roman" w:hAnsi="Times New Roman"/>
          <w:b/>
          <w:bCs/>
          <w:i w:val="false"/>
          <w:iCs w:val="false"/>
          <w:sz w:val="28"/>
          <w:szCs w:val="28"/>
        </w:rPr>
        <w:t xml:space="preserve">Appendix A: Complete Theorem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Theorem</w:t>
            </w:r>
          </w:p>
        </w:tc>
        <w:tc>
          <w:tcPr>
            <w:tcW w:type="dxa" w:w="468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Statement</w:t>
            </w:r>
          </w:p>
        </w:tc>
        <w:tc>
          <w:tcPr>
            <w:tcW w:type="dxa" w:w="3120"/>
            <w:tcBorders>
              <w:top w:val="single" w:color="999999" w:sz="1"/>
              <w:left w:val="single" w:color="999999" w:sz="1"/>
              <w:bottom w:val="single" w:color="999999" w:sz="1"/>
              <w:right w:val="single" w:color="999999" w:sz="1"/>
            </w:tcBorders>
            <w:shd w:fill="E8E8F0" w:val="clear"/>
            <w:tcMar>
              <w:top w:type="dxa" w:w="60"/>
              <w:left w:type="dxa" w:w="100"/>
              <w:bottom w:type="dxa" w:w="60"/>
              <w:right w:type="dxa" w:w="100"/>
            </w:tcMar>
          </w:tcPr>
          <w:p>
            <w:pPr>
              <w:spacing w:after="0"/>
            </w:pPr>
            <w:r>
              <w:rPr>
                <w:rFonts w:ascii="Times New Roman" w:cs="Times New Roman" w:eastAsia="Times New Roman" w:hAnsi="Times New Roman"/>
                <w:b/>
                <w:bCs/>
                <w:sz w:val="18"/>
                <w:szCs w:val="18"/>
              </w:rPr>
              <w:t xml:space="preserve">Status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1</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Φ full rank for all 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U = ΦG⁻¹ˀ² is unitary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3</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Fast RFT surrogate is unitary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4</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Twisted convolution theorem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6</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RFT ≠ DFT/LCT variant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8</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K₀.₉₉(U)=O(log N), gap ∝ N¹·⁰⁴</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Analytically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9</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Polar factor uniqueness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13</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O(N log N) complexity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15</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Exact sparsity + DFT dense leakage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Formally proven</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Theorem E</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δ₈ = 0.1603 &lt; 0.2929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Empirical RIP</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Non-thm 12</w:t>
            </w:r>
          </w:p>
        </w:tc>
        <w:tc>
          <w:tcPr>
            <w:tcW w:type="dxa" w:w="4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G → I asymptotically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Times New Roman" w:cs="Times New Roman" w:eastAsia="Times New Roman" w:hAnsi="Times New Roman"/>
                <w:sz w:val="18"/>
                <w:szCs w:val="18"/>
              </w:rPr>
              <w:t xml:space="preserve">FALSE — κ(G) grows</w:t>
            </w:r>
          </w:p>
        </w:tc>
      </w:tr>
    </w:tbl>
    <w:p>
      <w:pPr>
        <w:spacing w:after="120"/>
      </w:pPr>
    </w:p>
    <w:p>
      <w:pPr>
        <w:pStyle w:val="Heading1"/>
        <w:spacing w:after="80" w:before="240" w:line="276"/>
        <w:jc w:val="left"/>
      </w:pPr>
      <w:r>
        <w:rPr>
          <w:rFonts w:ascii="Times New Roman" w:cs="Times New Roman" w:eastAsia="Times New Roman" w:hAnsi="Times New Roman"/>
          <w:b/>
          <w:bCs/>
          <w:i w:val="false"/>
          <w:iCs w:val="false"/>
          <w:sz w:val="28"/>
          <w:szCs w:val="28"/>
        </w:rPr>
        <w:t xml:space="preserve">Appendix B: Verified Metrics Summary</w:t>
      </w:r>
    </w:p>
    <w:p>
      <w:pPr>
        <w:spacing w:after="120" w:before="0" w:line="276"/>
        <w:jc w:val="both"/>
      </w:pPr>
      <w:r>
        <w:rPr>
          <w:rFonts w:ascii="Times New Roman" w:cs="Times New Roman" w:eastAsia="Times New Roman" w:hAnsi="Times New Roman"/>
          <w:b/>
          <w:bCs/>
          <w:i w:val="false"/>
          <w:iCs w:val="false"/>
          <w:sz w:val="24"/>
          <w:szCs w:val="24"/>
        </w:rPr>
        <w:t xml:space="preserve">Claim 1 — Symbolic Resonance Fourier Transform Engine: </w:t>
      </w:r>
      <w:r>
        <w:rPr>
          <w:rFonts w:ascii="Times New Roman" w:cs="Times New Roman" w:eastAsia="Times New Roman" w:hAnsi="Times New Roman"/>
          <w:b w:val="false"/>
          <w:bCs w:val="false"/>
          <w:i w:val="false"/>
          <w:iCs w:val="false"/>
          <w:sz w:val="24"/>
          <w:szCs w:val="24"/>
        </w:rPr>
        <w:t xml:space="preserve">Unitarity error ||U†U - I||_F ranges from 1.2×10⁻¹⁴ (N=16) to 8.5×10⁻¹³ (N=1024). Roundtrip error ranges from 5.4×10⁻¹⁵ (N=64) to 1.6×10⁻¹⁴ (N=1024). K₀.₉₉ concentration for 3-sparse φ-signal: RFT=3 vs DFT=35 at N=64, with the gap growing to 47× at N=256. All 17 quantum-inspired gate constructions satisfy ||UU† - I|| &lt; 10⁻¹⁴.</w:t>
      </w:r>
    </w:p>
    <w:p>
      <w:pPr>
        <w:spacing w:after="120" w:before="0" w:line="276"/>
        <w:jc w:val="both"/>
      </w:pPr>
      <w:r>
        <w:rPr>
          <w:rFonts w:ascii="Times New Roman" w:cs="Times New Roman" w:eastAsia="Times New Roman" w:hAnsi="Times New Roman"/>
          <w:b/>
          <w:bCs/>
          <w:i w:val="false"/>
          <w:iCs w:val="false"/>
          <w:sz w:val="24"/>
          <w:szCs w:val="24"/>
        </w:rPr>
        <w:t xml:space="preserve">Claim 2 — Cryptographic Subsystem: </w:t>
      </w:r>
      <w:r>
        <w:rPr>
          <w:rFonts w:ascii="Times New Roman" w:cs="Times New Roman" w:eastAsia="Times New Roman" w:hAnsi="Times New Roman"/>
          <w:b w:val="false"/>
          <w:bCs w:val="false"/>
          <w:i w:val="false"/>
          <w:iCs w:val="false"/>
          <w:sz w:val="24"/>
          <w:szCs w:val="24"/>
        </w:rPr>
        <w:t xml:space="preserve">RFT-SIS hash achieves 51.3% mean bit avalanche (SHA-256: 50.0%), zero collisions in 10,000 inputs, byte uniformity χ² = 243.7 (threshold: 293.2 at p=0.05). 48-round Feistel cipher passes AEAD roundtrip at all tested block sizes with 47.7% key avalanche. Full crypto suite: 57/57 tests passing. Research prototype only—not audited for production use.</w:t>
      </w:r>
    </w:p>
    <w:p>
      <w:pPr>
        <w:spacing w:after="120" w:before="0" w:line="276"/>
        <w:jc w:val="both"/>
      </w:pPr>
      <w:r>
        <w:rPr>
          <w:rFonts w:ascii="Times New Roman" w:cs="Times New Roman" w:eastAsia="Times New Roman" w:hAnsi="Times New Roman"/>
          <w:b/>
          <w:bCs/>
          <w:i w:val="false"/>
          <w:iCs w:val="false"/>
          <w:sz w:val="24"/>
          <w:szCs w:val="24"/>
        </w:rPr>
        <w:t xml:space="preserve">Claim 3 — Geometric Waveform Hashing: </w:t>
      </w:r>
      <w:r>
        <w:rPr>
          <w:rFonts w:ascii="Times New Roman" w:cs="Times New Roman" w:eastAsia="Times New Roman" w:hAnsi="Times New Roman"/>
          <w:b w:val="false"/>
          <w:bCs w:val="false"/>
          <w:i w:val="false"/>
          <w:iCs w:val="false"/>
          <w:sz w:val="24"/>
          <w:szCs w:val="24"/>
        </w:rPr>
        <w:t xml:space="preserve">256-bit (32-byte) output, 49.7% mean avalanche (46.1–54.3% range), zero collisions in 1,000 inputs, deterministic.</w:t>
      </w:r>
    </w:p>
    <w:p>
      <w:pPr>
        <w:spacing w:after="120" w:before="0" w:line="276"/>
        <w:jc w:val="both"/>
      </w:pPr>
      <w:r>
        <w:rPr>
          <w:rFonts w:ascii="Times New Roman" w:cs="Times New Roman" w:eastAsia="Times New Roman" w:hAnsi="Times New Roman"/>
          <w:b/>
          <w:bCs/>
          <w:i w:val="false"/>
          <w:iCs w:val="false"/>
          <w:sz w:val="24"/>
          <w:szCs w:val="24"/>
        </w:rPr>
        <w:t xml:space="preserve">Claim 4 — Hybrid Mode Integration: </w:t>
      </w:r>
      <w:r>
        <w:rPr>
          <w:rFonts w:ascii="Times New Roman" w:cs="Times New Roman" w:eastAsia="Times New Roman" w:hAnsi="Times New Roman"/>
          <w:b w:val="false"/>
          <w:bCs w:val="false"/>
          <w:i w:val="false"/>
          <w:iCs w:val="false"/>
          <w:sz w:val="24"/>
          <w:szCs w:val="24"/>
        </w:rPr>
        <w:t xml:space="preserve">Compression ratio 7.8–10.8× across signal types, PSNR 46.6–47.2 dB, binary-to-waveform roundtrip verified at 32B–1024B, 27 variants loaded across 3 backends (Python, C/ASM, C++). KV-cache head-dimension: RFT Auto PPL=29.85 vs DCT PPL=35.51 at 40% retention.</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Minier (2026) — The Resonant Fourier Transform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Minier (2026) — The Resonant Fourier Transform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180" w:after="1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Resonant Fourier Transform: A Golden-Ratio Unitary Basis with Provable Spectral Concentration</dc:title>
  <dc:creator>Luis M. Minier</dc:creator>
  <dc:description>Academic paper on the RFT, Theorem E, and KV-cache applications</dc:description>
  <cp:lastModifiedBy>Un-named</cp:lastModifiedBy>
  <cp:revision>1</cp:revision>
  <dcterms:created xsi:type="dcterms:W3CDTF">2026-03-28T04:33:09.446Z</dcterms:created>
  <dcterms:modified xsi:type="dcterms:W3CDTF">2026-03-28T04:33:09.446Z</dcterms:modified>
</cp:coreProperties>
</file>

<file path=docProps/custom.xml><?xml version="1.0" encoding="utf-8"?>
<Properties xmlns="http://schemas.openxmlformats.org/officeDocument/2006/custom-properties" xmlns:vt="http://schemas.openxmlformats.org/officeDocument/2006/docPropsVTypes"/>
</file>