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0611F1">
      <w:pPr>
        <w:jc w:val="left"/>
      </w:pPr>
      <w:bookmarkStart w:id="0" w:name="_GoBack"/>
      <w:bookmarkEnd w:id="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62A8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noWrap w:val="0"/>
            <w:vAlign w:val="center"/>
          </w:tcPr>
          <w:p w14:paraId="42A85925">
            <w:pPr>
              <w:jc w:val="center"/>
              <w:rPr>
                <w:rFonts w:hint="eastAsia"/>
              </w:rPr>
            </w:pPr>
            <w:r>
              <w:t>队伍编号</w:t>
            </w:r>
          </w:p>
        </w:tc>
        <w:tc>
          <w:tcPr>
            <w:tcW w:w="2217" w:type="dxa"/>
            <w:noWrap w:val="0"/>
            <w:vAlign w:val="center"/>
          </w:tcPr>
          <w:p w14:paraId="3F4685BF">
            <w:pPr>
              <w:jc w:val="center"/>
              <w:rPr>
                <w:rFonts w:hint="eastAsia" w:eastAsia="宋体"/>
                <w:lang w:eastAsia="zh-CN"/>
              </w:rPr>
            </w:pPr>
            <w:r>
              <w:rPr>
                <w:rFonts w:ascii="Times New Roman" w:hAnsi="Times New Roman" w:eastAsia="宋体" w:cs="Times New Roman"/>
              </w:rPr>
              <w:t>MC</w:t>
            </w:r>
            <w:r>
              <w:rPr>
                <w:rFonts w:hint="eastAsia" w:ascii="Times New Roman" w:hAnsi="Times New Roman" w:eastAsia="宋体" w:cs="Times New Roman"/>
                <w:lang w:val="en-US" w:eastAsia="zh-CN"/>
              </w:rPr>
              <w:t>xxxxxxx</w:t>
            </w:r>
          </w:p>
        </w:tc>
      </w:tr>
      <w:tr w14:paraId="0F1E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noWrap w:val="0"/>
            <w:vAlign w:val="center"/>
          </w:tcPr>
          <w:p w14:paraId="4D39DFF6">
            <w:pPr>
              <w:jc w:val="center"/>
              <w:rPr>
                <w:rFonts w:hint="eastAsia"/>
              </w:rPr>
            </w:pPr>
            <w:r>
              <w:t>题号</w:t>
            </w:r>
          </w:p>
        </w:tc>
        <w:tc>
          <w:tcPr>
            <w:tcW w:w="2217" w:type="dxa"/>
            <w:noWrap w:val="0"/>
            <w:vAlign w:val="center"/>
          </w:tcPr>
          <w:p w14:paraId="4836978C">
            <w:pPr>
              <w:jc w:val="center"/>
            </w:pPr>
            <w:r>
              <w:t>（A/B/C/D</w:t>
            </w:r>
            <w:r>
              <w:rPr>
                <w:rFonts w:hint="eastAsia"/>
                <w:lang w:val="en-US" w:eastAsia="zh-CN"/>
              </w:rPr>
              <w:t>/E</w:t>
            </w:r>
            <w:r>
              <w:t>）</w:t>
            </w:r>
          </w:p>
        </w:tc>
      </w:tr>
    </w:tbl>
    <w:p w14:paraId="584D6B8A"/>
    <w:p w14:paraId="5188AB81">
      <w:pPr>
        <w:rPr>
          <w:rFonts w:hint="eastAsia" w:ascii="黑体" w:hAnsi="黑体" w:eastAsia="黑体" w:cs="黑体"/>
          <w:sz w:val="32"/>
          <w:szCs w:val="32"/>
          <w:lang w:val="en-US" w:eastAsia="zh-CN"/>
        </w:rPr>
      </w:pPr>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9525" r="3810" b="13335"/>
                <wp:wrapNone/>
                <wp:docPr id="4" name="直接连接符 4"/>
                <wp:cNvGraphicFramePr/>
                <a:graphic xmlns:a="http://schemas.openxmlformats.org/drawingml/2006/main">
                  <a:graphicData uri="http://schemas.microsoft.com/office/word/2010/wordprocessingShape">
                    <wps:wsp>
                      <wps:cNvCnPr/>
                      <wps:spPr>
                        <a:xfrm>
                          <a:off x="0" y="0"/>
                          <a:ext cx="522360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2.65pt;margin-top:7.75pt;height:0pt;width:411.3pt;z-index:251659264;mso-width-relative:page;mso-height-relative:page;" filled="f" stroked="t" coordsize="21600,21600" o:gfxdata="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0LQFX0wAA&#10;AAcBAAAPAAAAAAAAAAEAIAAAACIAAABkcnMvZG93bnJldi54bWxQSwECFAAUAAAACACHTuJA8f6m&#10;TOoBAAC9AwAADgAAAAAAAAABACAAAAAiAQAAZHJzL2Uyb0RvYy54bWxQSwUGAAAAAAYABgBZAQAA&#10;fgUAAAAA&#10;">
                <v:fill on="f" focussize="0,0"/>
                <v:stroke weight="1.5pt" color="#000000" joinstyle="round"/>
                <v:imagedata o:title=""/>
                <o:lock v:ext="edit" aspectratio="f"/>
              </v:line>
            </w:pict>
          </mc:Fallback>
        </mc:AlternateContent>
      </w:r>
    </w:p>
    <w:p w14:paraId="30F1600D">
      <w:pPr>
        <w:bidi w:val="0"/>
        <w:jc w:val="center"/>
        <w:rPr>
          <w:rFonts w:hint="eastAsia" w:ascii="黑体" w:hAnsi="黑体" w:eastAsia="黑体" w:cs="黑体"/>
          <w:b w:val="0"/>
          <w:bCs w:val="0"/>
          <w:sz w:val="28"/>
          <w:szCs w:val="24"/>
        </w:rPr>
      </w:pPr>
      <w:r>
        <w:rPr>
          <w:rFonts w:hint="eastAsia" w:ascii="黑体" w:hAnsi="黑体" w:eastAsia="黑体" w:cs="黑体"/>
          <w:b w:val="0"/>
          <w:bCs w:val="0"/>
          <w:sz w:val="32"/>
          <w:szCs w:val="32"/>
          <w:lang w:val="en-US" w:eastAsia="zh-CN"/>
        </w:rPr>
        <w:t>基于多场景、多目标货物运输装箱策略优化研究</w:t>
      </w:r>
    </w:p>
    <w:p w14:paraId="3FC1B511">
      <w:pPr>
        <w:jc w:val="center"/>
        <w:rPr>
          <w:rFonts w:hint="eastAsia" w:ascii="黑体" w:hAnsi="黑体" w:eastAsia="黑体" w:cs="黑体"/>
          <w:color w:val="000000"/>
          <w:sz w:val="28"/>
          <w:szCs w:val="28"/>
        </w:rPr>
      </w:pPr>
      <w:r>
        <w:rPr>
          <w:rFonts w:hint="eastAsia" w:ascii="黑体" w:hAnsi="黑体" w:eastAsia="黑体" w:cs="黑体"/>
          <w:color w:val="000000"/>
          <w:sz w:val="28"/>
          <w:szCs w:val="28"/>
        </w:rPr>
        <w:t>摘 要</w:t>
      </w:r>
    </w:p>
    <w:p w14:paraId="71D39EBD">
      <w:pPr>
        <w:ind w:firstLine="480" w:firstLineChars="200"/>
        <w:rPr>
          <w:rFonts w:hint="eastAsia" w:ascii="宋体" w:hAnsi="宋体" w:eastAsia="宋体" w:cs="宋体"/>
          <w:sz w:val="24"/>
          <w:szCs w:val="24"/>
          <w:lang w:eastAsia="zh-CN"/>
        </w:rPr>
      </w:pPr>
      <w:r>
        <w:rPr>
          <w:rFonts w:hint="default" w:ascii="Times New Roman" w:hAnsi="Times New Roman" w:eastAsia="宋体" w:cs="Times New Roman"/>
          <w:sz w:val="24"/>
          <w:szCs w:val="24"/>
          <w:lang w:eastAsia="zh-CN"/>
        </w:rPr>
        <w:t>本</w:t>
      </w:r>
      <w:r>
        <w:rPr>
          <w:rFonts w:hint="eastAsia" w:ascii="宋体" w:hAnsi="宋体" w:eastAsia="宋体" w:cs="宋体"/>
          <w:sz w:val="24"/>
          <w:szCs w:val="24"/>
          <w:lang w:eastAsia="zh-CN"/>
        </w:rPr>
        <w:t>文针对“多场景、多目标货物运输装箱策略优化”问题，以“十五五”规划中“降低全社会物流成本”的战略目标为背景，聚焦短途运输场景下货车箱体空间有限、货物尺寸多样、承重约束严格、摆放规则复杂（如易碎品不可堆叠、定向件方向固定、堆叠重心限制等）的实际约束，分别构建了单车满载率最大化、最少车辆数、多车型组合配送等数学模型，并设计了相应的启发式求解算法。通过重货与泡货的搭配装载，在满足尺寸、重量、堆叠、承重及稳定性等约束的前提下，实现了空间利用率与运输效率的双重优化，给出了具体可行的装箱方案。</w:t>
      </w:r>
    </w:p>
    <w:p w14:paraId="03CFC4EA">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对于问题一，本文首先根据附件一中给出的两种标准车型参数和五类货物数据，建立单车型三维装箱模型。在建模过程中，综合考虑了货物与车厢之间不得重叠、货物必须正交摆放、定向件姿态受限、易碎件不可被压放、底层承压不超过 500kg/平方米以及顶部预留 3cm 安全间隙等要求。以单车装载率最大为目标时，本文将体积利用率和载重利用率进行综合，构造单车满载率评价函数；当仅允许使用单一车型并要求运完全部货物时，则以车辆数量最少为优化目标。针对该问题，本文采用“遗传算法 + 三维启发式解码”的方法进行求解，通过对货物装载顺序进行编码优化，并结合候选放置点搜索策略，实现了满足复杂约束条件下的可行装箱。</w:t>
      </w:r>
    </w:p>
    <w:p w14:paraId="13A9D169">
      <w:pPr>
        <w:bidi w:val="0"/>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对于问题二，在同时可使用车型1与车型2的条件下，本文进一步建立多车型组合配送优化模型。分别从“总运输车辆最少”和“总运输成本最低”两个角度进行优化。由于两类车型在空间容量、额定载重以及单次运输成本方面存在明显差异，因此不同目标下的最优配送方案并不一致。为此，本文设计多车型遗传算法求解框架，在解码阶段动态判断货物对不同车型的适配情况，并根据优化目标选择更优的车辆组合方案。最终可得到在不同目标下的车辆配置结果、各车装载方案以及相应的空间利用率、载重利用率和总成本。</w:t>
      </w:r>
    </w:p>
    <w:p w14:paraId="77FBD7A3">
      <w:pPr>
        <w:bidi w:val="0"/>
        <w:ind w:firstLine="480" w:firstLineChars="20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对于问题三，本文在前两问结果的基础上，进一步形成面向物流企业管理者的技术报告，从模型结构、算法设计、程序实现和性能表现等方面进行总结，并对关键参数变化对装载率、车辆数和运输成本的影响进行了分析。研究表明：单纯追求空间利用率或载重利用率都难以获得均衡有效的运输方案；在多车型场景下，以车辆数最少为目标通常更偏向选择大车型，而以运输成本最低为目标则需要在车辆容量与单位成本之间进行权衡。总体来看，本文模型能够较好适应实际物流运输中的复杂装箱要求，具有一定的实用价值与推广意义。</w:t>
      </w:r>
    </w:p>
    <w:p w14:paraId="786316F5">
      <w:pPr>
        <w:bidi w:val="0"/>
        <w:ind w:firstLine="480" w:firstLineChars="200"/>
        <w:rPr>
          <w:rFonts w:hint="eastAsia" w:ascii="宋体" w:hAnsi="宋体" w:eastAsia="宋体" w:cs="宋体"/>
          <w:i w:val="0"/>
          <w:iCs w:val="0"/>
          <w:caps w:val="0"/>
          <w:spacing w:val="0"/>
          <w:sz w:val="24"/>
          <w:szCs w:val="24"/>
        </w:rPr>
      </w:pPr>
    </w:p>
    <w:p w14:paraId="0D8C37BF">
      <w:pPr>
        <w:bidi w:val="0"/>
        <w:ind w:firstLine="480" w:firstLineChars="200"/>
        <w:rPr>
          <w:rFonts w:hint="eastAsia" w:ascii="宋体" w:hAnsi="宋体" w:eastAsia="宋体" w:cs="宋体"/>
          <w:i w:val="0"/>
          <w:iCs w:val="0"/>
          <w:caps w:val="0"/>
          <w:spacing w:val="0"/>
          <w:sz w:val="24"/>
          <w:szCs w:val="24"/>
        </w:rPr>
      </w:pPr>
    </w:p>
    <w:p w14:paraId="6403FE67">
      <w:pPr>
        <w:bidi w:val="0"/>
        <w:ind w:firstLine="480" w:firstLineChars="200"/>
        <w:rPr>
          <w:rFonts w:hint="eastAsia" w:ascii="宋体" w:hAnsi="宋体" w:eastAsia="宋体" w:cs="宋体"/>
          <w:i w:val="0"/>
          <w:iCs w:val="0"/>
          <w:caps w:val="0"/>
          <w:spacing w:val="0"/>
          <w:sz w:val="24"/>
          <w:szCs w:val="24"/>
        </w:rPr>
      </w:pPr>
    </w:p>
    <w:p w14:paraId="246E75CD">
      <w:pPr>
        <w:bidi w:val="0"/>
        <w:ind w:firstLine="480" w:firstLineChars="200"/>
        <w:rPr>
          <w:rFonts w:hint="eastAsia" w:ascii="宋体" w:hAnsi="宋体" w:eastAsia="宋体" w:cs="宋体"/>
          <w:i w:val="0"/>
          <w:iCs w:val="0"/>
          <w:caps w:val="0"/>
          <w:spacing w:val="0"/>
          <w:sz w:val="24"/>
          <w:szCs w:val="24"/>
        </w:rPr>
      </w:pPr>
    </w:p>
    <w:p w14:paraId="0FCC6782">
      <w:pPr>
        <w:bidi w:val="0"/>
        <w:ind w:firstLine="480" w:firstLineChars="200"/>
        <w:rPr>
          <w:rFonts w:hint="eastAsia" w:ascii="宋体" w:hAnsi="宋体" w:eastAsia="宋体" w:cs="宋体"/>
          <w:i w:val="0"/>
          <w:iCs w:val="0"/>
          <w:caps w:val="0"/>
          <w:spacing w:val="0"/>
          <w:sz w:val="24"/>
          <w:szCs w:val="24"/>
          <w:lang w:eastAsia="zh-CN"/>
        </w:rPr>
      </w:pPr>
    </w:p>
    <w:p w14:paraId="58154CB5">
      <w:pPr>
        <w:bidi w:val="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关键词： 三维装箱；遗传算法；多车型组合配送；装载率优化；运输成本最小化</w:t>
      </w:r>
    </w:p>
    <w:p w14:paraId="11C9A49C">
      <w:pPr>
        <w:ind w:firstLine="480" w:firstLineChars="200"/>
        <w:rPr>
          <w:rFonts w:hint="eastAsia" w:ascii="宋体" w:hAnsi="宋体" w:eastAsia="宋体" w:cs="宋体"/>
          <w:sz w:val="24"/>
          <w:szCs w:val="24"/>
          <w:lang w:eastAsia="zh-CN"/>
        </w:rPr>
      </w:pPr>
    </w:p>
    <w:p w14:paraId="4C2C4672">
      <w:pPr>
        <w:rPr>
          <w:sz w:val="24"/>
          <w:szCs w:val="24"/>
        </w:rPr>
      </w:pPr>
    </w:p>
    <w:p w14:paraId="1FBF322F">
      <w:pPr>
        <w:rPr>
          <w:sz w:val="24"/>
          <w:szCs w:val="24"/>
        </w:rPr>
      </w:pPr>
    </w:p>
    <w:p w14:paraId="3CB1B80C">
      <w:pPr>
        <w:jc w:val="center"/>
        <w:rPr>
          <w:rFonts w:ascii="Times New Roman" w:hAnsi="Times New Roman"/>
          <w:sz w:val="28"/>
        </w:rPr>
      </w:pPr>
      <w:r>
        <w:rPr>
          <w:rFonts w:hint="eastAsia" w:ascii="Times New Roman" w:hAnsi="Times New Roman"/>
          <w:sz w:val="28"/>
        </w:rPr>
        <w:t>目录</w:t>
      </w:r>
    </w:p>
    <w:p w14:paraId="5F9F23DF">
      <w:pPr>
        <w:pStyle w:val="12"/>
        <w:tabs>
          <w:tab w:val="right" w:leader="dot" w:pos="9070"/>
        </w:tabs>
      </w:pPr>
      <w:r>
        <w:rPr>
          <w:rFonts w:hint="eastAsia" w:ascii="宋体" w:hAnsi="宋体" w:eastAsia="宋体" w:cs="宋体"/>
          <w:lang w:val="zh-CN"/>
        </w:rPr>
        <w:t xml:space="preserve">键入章级(第 </w:t>
      </w:r>
      <w:r>
        <w:rPr>
          <w:lang w:val="zh-CN"/>
        </w:rPr>
        <w:t>1 级)</w:t>
      </w:r>
      <w:r>
        <w:rPr>
          <w:lang w:val="zh-CN"/>
        </w:rPr>
        <w:tab/>
      </w:r>
      <w:r>
        <w:rPr>
          <w:lang w:val="zh-CN"/>
        </w:rPr>
        <w:t>1</w:t>
      </w:r>
    </w:p>
    <w:p w14:paraId="76FDC53D">
      <w:pPr>
        <w:pStyle w:val="15"/>
        <w:tabs>
          <w:tab w:val="right" w:leader="dot" w:pos="9070"/>
        </w:tabs>
      </w:pPr>
      <w:r>
        <w:rPr>
          <w:lang w:val="zh-CN"/>
        </w:rPr>
        <w:t>键入章级(第 2 级)</w:t>
      </w:r>
      <w:r>
        <w:rPr>
          <w:lang w:val="zh-CN"/>
        </w:rPr>
        <w:tab/>
      </w:r>
      <w:r>
        <w:rPr>
          <w:lang w:val="zh-CN"/>
        </w:rPr>
        <w:t>2</w:t>
      </w:r>
    </w:p>
    <w:p w14:paraId="13DF75FA">
      <w:pPr>
        <w:pStyle w:val="7"/>
        <w:tabs>
          <w:tab w:val="right" w:leader="dot" w:pos="9070"/>
        </w:tabs>
      </w:pPr>
      <w:r>
        <w:rPr>
          <w:lang w:val="zh-CN"/>
        </w:rPr>
        <w:t>键入章标题(第 3 级)</w:t>
      </w:r>
      <w:r>
        <w:rPr>
          <w:lang w:val="zh-CN"/>
        </w:rPr>
        <w:tab/>
      </w:r>
      <w:r>
        <w:rPr>
          <w:lang w:val="zh-CN"/>
        </w:rPr>
        <w:t>3</w:t>
      </w:r>
    </w:p>
    <w:p w14:paraId="002BE374">
      <w:pPr>
        <w:pStyle w:val="12"/>
        <w:tabs>
          <w:tab w:val="right" w:leader="dot" w:pos="9070"/>
        </w:tabs>
      </w:pPr>
      <w:r>
        <w:rPr>
          <w:lang w:val="zh-CN"/>
        </w:rPr>
        <w:t>键入章级(第 1 级)</w:t>
      </w:r>
      <w:r>
        <w:rPr>
          <w:lang w:val="zh-CN"/>
        </w:rPr>
        <w:tab/>
      </w:r>
      <w:r>
        <w:rPr>
          <w:lang w:val="zh-CN"/>
        </w:rPr>
        <w:t>4</w:t>
      </w:r>
    </w:p>
    <w:p w14:paraId="42908040">
      <w:pPr>
        <w:pStyle w:val="15"/>
        <w:tabs>
          <w:tab w:val="right" w:leader="dot" w:pos="9070"/>
        </w:tabs>
      </w:pPr>
      <w:r>
        <w:rPr>
          <w:lang w:val="zh-CN"/>
        </w:rPr>
        <w:t>键入章级(第 2 级)</w:t>
      </w:r>
      <w:r>
        <w:rPr>
          <w:lang w:val="zh-CN"/>
        </w:rPr>
        <w:tab/>
      </w:r>
      <w:r>
        <w:rPr>
          <w:lang w:val="zh-CN"/>
        </w:rPr>
        <w:t>5</w:t>
      </w:r>
    </w:p>
    <w:p w14:paraId="114BE5BD">
      <w:pPr>
        <w:pStyle w:val="7"/>
        <w:tabs>
          <w:tab w:val="right" w:leader="dot" w:pos="9070"/>
        </w:tabs>
      </w:pPr>
      <w:r>
        <w:rPr>
          <w:lang w:val="zh-CN"/>
        </w:rPr>
        <w:t>键入章标题(第 3 级)</w:t>
      </w:r>
      <w:r>
        <w:rPr>
          <w:lang w:val="zh-CN"/>
        </w:rPr>
        <w:tab/>
      </w:r>
      <w:r>
        <w:rPr>
          <w:lang w:val="zh-CN"/>
        </w:rPr>
        <w:t>6</w:t>
      </w:r>
    </w:p>
    <w:p w14:paraId="22994564"/>
    <w:p w14:paraId="2D931CC1"/>
    <w:p w14:paraId="25AED002"/>
    <w:p w14:paraId="274FE0E0"/>
    <w:p w14:paraId="38BCD400"/>
    <w:p w14:paraId="4AFF0373">
      <w:pPr>
        <w:sectPr>
          <w:headerReference r:id="rId3" w:type="default"/>
          <w:footerReference r:id="rId4" w:type="default"/>
          <w:pgSz w:w="11906" w:h="16838"/>
          <w:pgMar w:top="1134" w:right="1418" w:bottom="1134" w:left="1418" w:header="851" w:footer="992" w:gutter="0"/>
          <w:pgBorders>
            <w:top w:val="none" w:sz="0" w:space="0"/>
            <w:left w:val="none" w:sz="0" w:space="0"/>
            <w:bottom w:val="none" w:sz="0" w:space="0"/>
            <w:right w:val="none" w:sz="0" w:space="0"/>
          </w:pgBorders>
          <w:cols w:space="720" w:num="1"/>
          <w:docGrid w:type="lines" w:linePitch="312" w:charSpace="0"/>
        </w:sectPr>
      </w:pPr>
    </w:p>
    <w:p w14:paraId="2573A85B">
      <w:pPr>
        <w:numPr>
          <w:ilvl w:val="0"/>
          <w:numId w:val="1"/>
        </w:numPr>
        <w:bidi w:val="0"/>
        <w:jc w:val="center"/>
        <w:rPr>
          <w:rFonts w:hint="eastAsia" w:ascii="黑体" w:hAnsi="黑体" w:eastAsia="黑体" w:cs="黑体"/>
          <w:sz w:val="28"/>
          <w:szCs w:val="28"/>
        </w:rPr>
      </w:pPr>
      <w:r>
        <w:rPr>
          <w:rFonts w:hint="eastAsia" w:ascii="黑体" w:hAnsi="黑体" w:eastAsia="黑体" w:cs="黑体"/>
          <w:sz w:val="28"/>
          <w:szCs w:val="28"/>
        </w:rPr>
        <w:t>问题重述</w:t>
      </w:r>
    </w:p>
    <w:p w14:paraId="1A0B9DFC">
      <w:pPr>
        <w:numPr>
          <w:ilvl w:val="1"/>
          <w:numId w:val="2"/>
        </w:numPr>
        <w:bidi w:val="0"/>
        <w:rPr>
          <w:rFonts w:hint="eastAsia" w:ascii="黑体" w:hAnsi="黑体" w:eastAsia="黑体" w:cs="黑体"/>
          <w:sz w:val="24"/>
          <w:szCs w:val="24"/>
        </w:rPr>
      </w:pPr>
      <w:r>
        <w:rPr>
          <w:rFonts w:hint="eastAsia" w:ascii="黑体" w:hAnsi="黑体" w:eastAsia="黑体" w:cs="黑体"/>
          <w:sz w:val="24"/>
          <w:szCs w:val="24"/>
        </w:rPr>
        <w:t>问题背景</w:t>
      </w:r>
    </w:p>
    <w:p w14:paraId="20C5366E">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我国拥有全球规模最大、体系最完整的物流产业链，这是我国参与全球供应链竞争、降低全社会物流成本的核心战略优势。“十五五”规划建议明确强调“降低全社会物流成本”，这不仅是经济账，更是国家战略。现代物流与制造业中，装箱策略直接影响运输工具（车、船、箱）的装载率和中转效率，优化装箱方案是解决“最初一公里”和“最后一公里”衔接损耗、实现总体物流成本下降的微观基础。</w:t>
      </w:r>
    </w:p>
    <w:p w14:paraId="373DF4C4">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在实际运输配送场景中，货车箱体空间有限，货物尺寸多样、承重约束严格、摆放规则复杂（如易碎、倒置禁忌、堆叠限制、方向约束等）。如何在满足各类约束前提下，实现装箱空间利用率最大化、车辆运输次数最少、综合成本最低，是物流与制造业企业面临的核心决策问题。本题立足于真实物流场景，要求建立不同场景下的三维装箱优化模型，设计相应的求解算法，并对不同策略进行对比分析与成本测算，为企业提供可落地的货物运输装箱方案。</w:t>
      </w:r>
    </w:p>
    <w:p w14:paraId="76987770">
      <w:pPr>
        <w:bidi w:val="0"/>
        <w:rPr>
          <w:rFonts w:hint="eastAsia" w:ascii="黑体" w:hAnsi="黑体" w:eastAsia="黑体" w:cs="黑体"/>
          <w:sz w:val="24"/>
          <w:szCs w:val="24"/>
          <w:lang w:val="en-US" w:eastAsia="zh-CN"/>
        </w:rPr>
      </w:pPr>
      <w:r>
        <w:rPr>
          <w:rFonts w:hint="eastAsia" w:ascii="黑体" w:hAnsi="黑体" w:eastAsia="黑体" w:cs="黑体"/>
          <w:sz w:val="24"/>
          <w:szCs w:val="24"/>
        </w:rPr>
        <w:t>1.2 问题</w:t>
      </w:r>
      <w:r>
        <w:rPr>
          <w:rFonts w:hint="eastAsia" w:ascii="黑体" w:hAnsi="黑体" w:eastAsia="黑体" w:cs="黑体"/>
          <w:sz w:val="24"/>
          <w:szCs w:val="24"/>
          <w:lang w:val="en-US" w:eastAsia="zh-CN"/>
        </w:rPr>
        <w:t>重述</w:t>
      </w:r>
    </w:p>
    <w:p w14:paraId="0397FAF9">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本文需根据附件所提供的货车参数、货物信息及相关约束，建立数学模型并解决以下四个问题：</w:t>
      </w:r>
    </w:p>
    <w:p w14:paraId="4AE649BF">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针对问题一：短途单车型三维装箱策略优化模型</w:t>
      </w:r>
      <w:r>
        <w:rPr>
          <w:rFonts w:hint="eastAsia" w:ascii="宋体" w:hAnsi="宋体" w:eastAsia="宋体" w:cs="宋体"/>
          <w:sz w:val="24"/>
          <w:szCs w:val="24"/>
          <w:lang w:eastAsia="zh-CN"/>
        </w:rPr>
        <w:t>。</w:t>
      </w:r>
      <w:r>
        <w:rPr>
          <w:rFonts w:hint="eastAsia" w:ascii="宋体" w:hAnsi="宋体" w:eastAsia="宋体" w:cs="宋体"/>
          <w:sz w:val="24"/>
          <w:szCs w:val="24"/>
        </w:rPr>
        <w:t>物流公司为了利润最大化，通常采用搭配装载策略，即将“重货”（密度大、体积小）和“泡货”（密度小、体积大）搭配装载，力求同时达到集装箱的“满容”和“满载”，以最大程度摊薄单票货物的运费成本。本题要求分别以车型1、车型2为装载对象（尺寸见附件1），货物为附件1中的货物类型，假设不同货物的单位运输费用相同，考虑尺寸、重量、可否堆叠、放置方向等约束，建立相应的三维装箱策略模型，目标为单车满载率（空间利用率）最大化。另外，若考虑只有一种型号的车辆，目标为将附件1中的货物全部装完且所用车辆数量最少，在考虑尺寸、重量、堆叠、方向等约束的前提下，建立相应的数学模型。</w:t>
      </w:r>
      <w:r>
        <w:rPr>
          <w:rFonts w:hint="eastAsia" w:ascii="宋体" w:hAnsi="宋体" w:eastAsia="宋体" w:cs="宋体"/>
          <w:sz w:val="24"/>
          <w:szCs w:val="24"/>
          <w:lang w:val="en-US" w:eastAsia="zh-CN"/>
        </w:rPr>
        <w:t>同时</w:t>
      </w:r>
      <w:r>
        <w:rPr>
          <w:rFonts w:hint="eastAsia" w:ascii="宋体" w:hAnsi="宋体" w:eastAsia="宋体" w:cs="宋体"/>
          <w:sz w:val="24"/>
          <w:szCs w:val="24"/>
        </w:rPr>
        <w:t>设计合适的求解算法，并根据附件1中的数据，给出具体的装箱方案（包含每件货物的摆放坐标及姿态方向），并计算空间利用率和载重利用率。</w:t>
      </w:r>
    </w:p>
    <w:p w14:paraId="2366BC62">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针对问题二：短途多车型组合配送优化</w:t>
      </w:r>
      <w:r>
        <w:rPr>
          <w:rFonts w:hint="eastAsia" w:ascii="宋体" w:hAnsi="宋体" w:eastAsia="宋体" w:cs="宋体"/>
          <w:sz w:val="24"/>
          <w:szCs w:val="24"/>
          <w:lang w:eastAsia="zh-CN"/>
        </w:rPr>
        <w:t>。</w:t>
      </w:r>
      <w:r>
        <w:rPr>
          <w:rFonts w:hint="eastAsia" w:ascii="宋体" w:hAnsi="宋体" w:eastAsia="宋体" w:cs="宋体"/>
          <w:sz w:val="24"/>
          <w:szCs w:val="24"/>
        </w:rPr>
        <w:t>在可同时选用车型1和车型2的条件下，为了将附件1中的货物全部运完，需建立模型并求解以下两个问题：</w:t>
      </w:r>
      <w:r>
        <w:rPr>
          <w:rFonts w:hint="eastAsia" w:ascii="宋体" w:hAnsi="宋体" w:eastAsia="宋体" w:cs="宋体"/>
          <w:sz w:val="24"/>
          <w:szCs w:val="24"/>
          <w:lang w:val="en-US" w:eastAsia="zh-CN"/>
        </w:rPr>
        <w:t>一是</w:t>
      </w:r>
      <w:r>
        <w:rPr>
          <w:rFonts w:hint="eastAsia" w:ascii="宋体" w:hAnsi="宋体" w:eastAsia="宋体" w:cs="宋体"/>
          <w:sz w:val="24"/>
          <w:szCs w:val="24"/>
        </w:rPr>
        <w:t>以总运输车辆数量最少为目标，建立装箱策略优化模型并给出配送方案；</w:t>
      </w:r>
      <w:r>
        <w:rPr>
          <w:rFonts w:hint="eastAsia" w:ascii="宋体" w:hAnsi="宋体" w:eastAsia="宋体" w:cs="宋体"/>
          <w:sz w:val="24"/>
          <w:szCs w:val="24"/>
          <w:lang w:val="en-US" w:eastAsia="zh-CN"/>
        </w:rPr>
        <w:t>二是</w:t>
      </w:r>
      <w:r>
        <w:rPr>
          <w:rFonts w:hint="eastAsia" w:ascii="宋体" w:hAnsi="宋体" w:eastAsia="宋体" w:cs="宋体"/>
          <w:sz w:val="24"/>
          <w:szCs w:val="24"/>
        </w:rPr>
        <w:t>以总运输成本最低为目标，重新优化方案，对比两种目标下的结果差异。</w:t>
      </w:r>
    </w:p>
    <w:p w14:paraId="5A3EA2FE">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针对问题三：技术报告撰写与参数分析</w:t>
      </w:r>
      <w:r>
        <w:rPr>
          <w:rFonts w:hint="eastAsia" w:ascii="宋体" w:hAnsi="宋体" w:eastAsia="宋体" w:cs="宋体"/>
          <w:sz w:val="24"/>
          <w:szCs w:val="24"/>
          <w:lang w:eastAsia="zh-CN"/>
        </w:rPr>
        <w:t>。</w:t>
      </w:r>
      <w:r>
        <w:rPr>
          <w:rFonts w:hint="eastAsia" w:ascii="宋体" w:hAnsi="宋体" w:eastAsia="宋体" w:cs="宋体"/>
          <w:sz w:val="24"/>
          <w:szCs w:val="24"/>
        </w:rPr>
        <w:t>根据问题一和问题二的结论，撰写一份面向物流企业管理者的技术报告。报告需说明模型构建思路、求解算法、程序实现过程，并对模型与算法的性能进行分析。分别分析各个参数（如额定载重、运输成本、堆叠约束等）变化对装载率与运输成本的影响。</w:t>
      </w:r>
    </w:p>
    <w:p w14:paraId="326BB1E0">
      <w:pPr>
        <w:bidi w:val="0"/>
        <w:ind w:firstLine="480" w:firstLineChars="200"/>
        <w:rPr>
          <w:rFonts w:hint="eastAsia" w:ascii="宋体" w:hAnsi="宋体" w:eastAsia="宋体" w:cs="宋体"/>
          <w:sz w:val="24"/>
          <w:szCs w:val="24"/>
        </w:rPr>
      </w:pPr>
    </w:p>
    <w:p w14:paraId="12FF3C2C">
      <w:pPr>
        <w:numPr>
          <w:ilvl w:val="0"/>
          <w:numId w:val="1"/>
        </w:numPr>
        <w:bidi w:val="0"/>
        <w:ind w:left="0" w:leftChars="0" w:firstLine="0" w:firstLineChars="0"/>
        <w:jc w:val="center"/>
        <w:rPr>
          <w:rFonts w:hint="eastAsia" w:ascii="黑体" w:hAnsi="黑体" w:eastAsia="黑体" w:cs="黑体"/>
          <w:sz w:val="28"/>
          <w:szCs w:val="28"/>
        </w:rPr>
      </w:pPr>
      <w:r>
        <w:rPr>
          <w:rFonts w:hint="eastAsia" w:ascii="黑体" w:hAnsi="黑体" w:eastAsia="黑体" w:cs="黑体"/>
          <w:sz w:val="28"/>
          <w:szCs w:val="28"/>
        </w:rPr>
        <w:t>模型假设</w:t>
      </w:r>
    </w:p>
    <w:p w14:paraId="7FCE44D8">
      <w:pPr>
        <w:bidi w:val="0"/>
        <w:spacing w:line="240" w:lineRule="auto"/>
        <w:rPr>
          <w:sz w:val="24"/>
          <w:szCs w:val="24"/>
        </w:rPr>
      </w:pPr>
      <w:r>
        <w:rPr>
          <w:rFonts w:hint="default"/>
          <w:sz w:val="24"/>
          <w:szCs w:val="24"/>
        </w:rPr>
        <w:t>本文提出以下合理假设：</w:t>
      </w:r>
    </w:p>
    <w:p w14:paraId="333A735E">
      <w:pPr>
        <w:bidi w:val="0"/>
        <w:spacing w:line="240" w:lineRule="auto"/>
        <w:rPr>
          <w:sz w:val="24"/>
          <w:szCs w:val="24"/>
        </w:rPr>
      </w:pPr>
      <w:r>
        <w:rPr>
          <w:rFonts w:hint="default"/>
          <w:sz w:val="24"/>
          <w:szCs w:val="24"/>
        </w:rPr>
        <w:t>假设货物之间、货物与箱体之间不得重叠，且不考虑货物与箱体壁面的摩擦力影响；</w:t>
      </w:r>
    </w:p>
    <w:p w14:paraId="43357596">
      <w:pPr>
        <w:bidi w:val="0"/>
        <w:spacing w:line="240" w:lineRule="auto"/>
        <w:rPr>
          <w:sz w:val="24"/>
          <w:szCs w:val="24"/>
        </w:rPr>
      </w:pPr>
      <w:r>
        <w:rPr>
          <w:rFonts w:hint="default"/>
          <w:sz w:val="24"/>
          <w:szCs w:val="24"/>
        </w:rPr>
        <w:t>假设运输过程中车辆匀速行驶，不考虑急刹车、急转弯等对货物稳定性的影响；</w:t>
      </w:r>
    </w:p>
    <w:p w14:paraId="085D8369">
      <w:pPr>
        <w:bidi w:val="0"/>
        <w:spacing w:line="240" w:lineRule="auto"/>
        <w:rPr>
          <w:sz w:val="24"/>
          <w:szCs w:val="24"/>
        </w:rPr>
      </w:pPr>
      <w:r>
        <w:rPr>
          <w:rFonts w:hint="default"/>
          <w:sz w:val="24"/>
          <w:szCs w:val="24"/>
        </w:rPr>
        <w:t>假设不考虑不可抗力因素（如自然灾害、交通事故等）对运输过程的影响；</w:t>
      </w:r>
    </w:p>
    <w:p w14:paraId="3DF0E2A5">
      <w:pPr>
        <w:bidi w:val="0"/>
        <w:spacing w:line="240" w:lineRule="auto"/>
        <w:rPr>
          <w:sz w:val="24"/>
          <w:szCs w:val="24"/>
        </w:rPr>
      </w:pPr>
      <w:r>
        <w:rPr>
          <w:rFonts w:hint="default"/>
          <w:sz w:val="24"/>
          <w:szCs w:val="24"/>
        </w:rPr>
        <w:t>假设同种类型货物的尺寸、重量完全一致，不存在个体差异；</w:t>
      </w:r>
    </w:p>
    <w:p w14:paraId="72476542">
      <w:pPr>
        <w:bidi w:val="0"/>
        <w:spacing w:line="240" w:lineRule="auto"/>
        <w:rPr>
          <w:rFonts w:hint="default"/>
          <w:sz w:val="24"/>
          <w:szCs w:val="24"/>
        </w:rPr>
      </w:pPr>
      <w:r>
        <w:rPr>
          <w:rFonts w:hint="default"/>
          <w:sz w:val="24"/>
          <w:szCs w:val="24"/>
        </w:rPr>
        <w:t>假设货物在堆叠过程中，上层货物的重量均匀分布在下层货物的接触面上。</w:t>
      </w:r>
    </w:p>
    <w:p w14:paraId="74E50055">
      <w:pPr>
        <w:bidi w:val="0"/>
        <w:spacing w:line="240" w:lineRule="auto"/>
        <w:rPr>
          <w:rFonts w:hint="default"/>
          <w:sz w:val="24"/>
          <w:szCs w:val="24"/>
        </w:rPr>
      </w:pPr>
    </w:p>
    <w:p w14:paraId="66D09AB6">
      <w:pPr>
        <w:bidi w:val="0"/>
        <w:spacing w:line="240" w:lineRule="auto"/>
        <w:rPr>
          <w:rFonts w:hint="default"/>
          <w:sz w:val="24"/>
          <w:szCs w:val="24"/>
        </w:rPr>
      </w:pPr>
    </w:p>
    <w:p w14:paraId="22FB4EC2">
      <w:pPr>
        <w:numPr>
          <w:ilvl w:val="0"/>
          <w:numId w:val="1"/>
        </w:numPr>
        <w:bidi w:val="0"/>
        <w:spacing w:line="240" w:lineRule="auto"/>
        <w:ind w:left="0" w:leftChars="0" w:firstLine="0" w:firstLineChars="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符号说明</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70"/>
        <w:gridCol w:w="5716"/>
      </w:tblGrid>
      <w:tr w14:paraId="3260F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single" w:color="auto" w:sz="12" w:space="0"/>
              <w:left w:val="nil"/>
              <w:bottom w:val="single" w:color="auto" w:sz="8" w:space="0"/>
              <w:right w:val="nil"/>
            </w:tcBorders>
            <w:vAlign w:val="center"/>
          </w:tcPr>
          <w:p w14:paraId="22AD4C7E">
            <w:pPr>
              <w:keepNext w:val="0"/>
              <w:keepLines w:val="0"/>
              <w:widowControl/>
              <w:suppressLineNumbers w:val="0"/>
              <w:spacing w:line="300" w:lineRule="atLeast"/>
              <w:jc w:val="center"/>
              <w:rPr>
                <w:rFonts w:hint="eastAsia" w:ascii="宋体" w:hAnsi="宋体" w:eastAsia="宋体" w:cs="宋体"/>
                <w:kern w:val="2"/>
                <w:sz w:val="24"/>
                <w:szCs w:val="24"/>
                <w:lang w:val="en-US" w:bidi="ar-SA"/>
                <w:oMath/>
              </w:rPr>
            </w:pPr>
            <w:r>
              <w:rPr>
                <w:rFonts w:hint="eastAsia" w:ascii="宋体" w:hAnsi="宋体" w:eastAsia="宋体" w:cs="宋体"/>
                <w:i w:val="0"/>
                <w:iCs w:val="0"/>
                <w:caps w:val="0"/>
                <w:color w:val="0F1115"/>
                <w:spacing w:val="0"/>
                <w:kern w:val="0"/>
                <w:sz w:val="24"/>
                <w:szCs w:val="24"/>
                <w:lang w:val="en-US" w:eastAsia="zh-CN" w:bidi="ar"/>
              </w:rPr>
              <w:t>符号</w:t>
            </w:r>
          </w:p>
        </w:tc>
        <w:tc>
          <w:tcPr>
            <w:tcW w:w="5716" w:type="dxa"/>
            <w:tcBorders>
              <w:top w:val="single" w:color="auto" w:sz="12" w:space="0"/>
              <w:left w:val="nil"/>
              <w:bottom w:val="single" w:color="auto" w:sz="8" w:space="0"/>
              <w:right w:val="nil"/>
            </w:tcBorders>
            <w:vAlign w:val="center"/>
          </w:tcPr>
          <w:p w14:paraId="0E7D510E">
            <w:pPr>
              <w:keepNext w:val="0"/>
              <w:keepLines w:val="0"/>
              <w:widowControl/>
              <w:suppressLineNumbers w:val="0"/>
              <w:spacing w:line="300" w:lineRule="atLeast"/>
              <w:jc w:val="center"/>
              <w:rPr>
                <w:rFonts w:hint="eastAsia" w:ascii="宋体" w:hAnsi="宋体" w:eastAsia="宋体" w:cs="宋体"/>
                <w:sz w:val="24"/>
                <w:szCs w:val="24"/>
                <w:vertAlign w:val="baseline"/>
                <w:lang w:val="en-US" w:eastAsia="zh-CN"/>
              </w:rPr>
            </w:pPr>
            <w:r>
              <w:rPr>
                <w:rFonts w:hint="eastAsia" w:ascii="宋体" w:hAnsi="宋体" w:eastAsia="宋体" w:cs="宋体"/>
                <w:i w:val="0"/>
                <w:iCs w:val="0"/>
                <w:caps w:val="0"/>
                <w:color w:val="0F1115"/>
                <w:spacing w:val="0"/>
                <w:kern w:val="0"/>
                <w:sz w:val="24"/>
                <w:szCs w:val="24"/>
                <w:lang w:val="en-US" w:eastAsia="zh-CN" w:bidi="ar"/>
              </w:rPr>
              <w:t>含义</w:t>
            </w:r>
          </w:p>
        </w:tc>
      </w:tr>
      <w:tr w14:paraId="57290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single" w:color="auto" w:sz="8" w:space="0"/>
              <w:left w:val="nil"/>
              <w:bottom w:val="nil"/>
              <w:right w:val="nil"/>
            </w:tcBorders>
          </w:tcPr>
          <w:p w14:paraId="01F12C7B">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r>
                  <m:rPr>
                    <m:nor/>
                    <m:sty m:val="p"/>
                  </m:rPr>
                  <w:rPr>
                    <w:rFonts w:hint="default" w:ascii="Times New Roman" w:hAnsi="Times New Roman" w:cs="Times New Roman"/>
                    <w:b w:val="0"/>
                    <w:i w:val="0"/>
                    <w:kern w:val="2"/>
                    <w:sz w:val="24"/>
                    <w:szCs w:val="24"/>
                    <w:lang w:val="en-US" w:bidi="ar-SA"/>
                  </w:rPr>
                  <m:t>L, W, H</m:t>
                </m:r>
              </m:oMath>
            </m:oMathPara>
          </w:p>
        </w:tc>
        <w:tc>
          <w:tcPr>
            <w:tcW w:w="5716" w:type="dxa"/>
            <w:tcBorders>
              <w:top w:val="single" w:color="auto" w:sz="8" w:space="0"/>
              <w:left w:val="nil"/>
              <w:bottom w:val="nil"/>
              <w:right w:val="nil"/>
            </w:tcBorders>
          </w:tcPr>
          <w:p w14:paraId="1CE7F44E">
            <w:pPr>
              <w:numPr>
                <w:ilvl w:val="0"/>
                <w:numId w:val="0"/>
              </w:numPr>
              <w:bidi w:val="0"/>
              <w:spacing w:line="240" w:lineRule="auto"/>
              <w:jc w:val="center"/>
              <w:rPr>
                <w:rFonts w:hint="eastAsia" w:ascii="黑体" w:hAnsi="黑体" w:eastAsia="黑体" w:cs="黑体"/>
                <w:sz w:val="28"/>
                <w:szCs w:val="28"/>
                <w:vertAlign w:val="baseline"/>
                <w:lang w:val="en-US" w:eastAsia="zh-CN"/>
              </w:rPr>
            </w:pPr>
            <w:r>
              <w:rPr>
                <w:rFonts w:hint="eastAsia" w:ascii="宋体" w:hAnsi="宋体" w:eastAsia="宋体" w:cs="宋体"/>
                <w:i w:val="0"/>
                <w:iCs w:val="0"/>
                <w:caps w:val="0"/>
                <w:color w:val="0F1115"/>
                <w:spacing w:val="0"/>
                <w:sz w:val="24"/>
                <w:szCs w:val="24"/>
                <w:shd w:val="clear" w:fill="FFFFFF"/>
                <w:lang w:val="en-US" w:eastAsia="zh-CN"/>
              </w:rPr>
              <w:t xml:space="preserve"> </w:t>
            </w:r>
            <w:r>
              <w:rPr>
                <w:rFonts w:hint="eastAsia" w:ascii="宋体" w:hAnsi="宋体" w:eastAsia="宋体" w:cs="宋体"/>
                <w:i w:val="0"/>
                <w:iCs w:val="0"/>
                <w:caps w:val="0"/>
                <w:color w:val="0F1115"/>
                <w:spacing w:val="0"/>
                <w:sz w:val="24"/>
                <w:szCs w:val="24"/>
                <w:shd w:val="clear" w:fill="FFFFFF"/>
              </w:rPr>
              <w:t>车厢的长、宽、高（单位：cm）</w:t>
            </w:r>
          </w:p>
        </w:tc>
      </w:tr>
      <w:tr w14:paraId="371A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254635C6">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truck</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1CF9B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9024" w:type="dxa"/>
                  <w:shd w:val="clear" w:color="auto" w:fill="FFFFFF"/>
                  <w:tcMar>
                    <w:top w:w="120" w:type="dxa"/>
                    <w:left w:w="192" w:type="dxa"/>
                    <w:bottom w:w="120" w:type="dxa"/>
                    <w:right w:w="0" w:type="dxa"/>
                  </w:tcMar>
                  <w:vAlign w:val="center"/>
                </w:tcPr>
                <w:p w14:paraId="54FFE26C">
                  <w:pPr>
                    <w:keepNext w:val="0"/>
                    <w:keepLines w:val="0"/>
                    <w:widowControl/>
                    <w:suppressLineNumbers w:val="0"/>
                    <w:spacing w:line="300" w:lineRule="atLeast"/>
                    <w:ind w:firstLine="1680" w:firstLineChars="7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车厢容积（单位：cm³）</w:t>
                  </w:r>
                </w:p>
              </w:tc>
            </w:tr>
          </w:tbl>
          <w:p w14:paraId="456063E2">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7CEF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1017C890">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M</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max</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789F2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6FCEEDBC">
                  <w:pPr>
                    <w:keepNext w:val="0"/>
                    <w:keepLines w:val="0"/>
                    <w:widowControl/>
                    <w:suppressLineNumbers w:val="0"/>
                    <w:spacing w:line="300" w:lineRule="atLeast"/>
                    <w:ind w:firstLine="1680" w:firstLineChars="7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车厢额定载重（单位：kg）</w:t>
                  </w:r>
                </w:p>
              </w:tc>
            </w:tr>
          </w:tbl>
          <w:p w14:paraId="4487D5D7">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78BB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35E391C2">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sz w:val="21"/>
                      </w:rPr>
                    </m:ctrlPr>
                  </m:sSubPr>
                  <m:e>
                    <m:r>
                      <m:rPr/>
                      <w:rPr>
                        <w:rFonts w:hint="default" w:ascii="Cambria Math" w:hAnsi="Cambria Math"/>
                        <w:sz w:val="21"/>
                      </w:rPr>
                      <m:t>l</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w</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h</m:t>
                    </m:r>
                    <m:ctrlPr>
                      <w:rPr>
                        <w:rFonts w:ascii="Cambria Math" w:hAnsi="Cambria Math"/>
                        <w:sz w:val="21"/>
                      </w:rPr>
                    </m:ctrlPr>
                  </m:e>
                  <m:sub>
                    <m:r>
                      <m:rPr/>
                      <w:rPr>
                        <w:rFonts w:hint="default" w:ascii="Cambria Math" w:hAnsi="Cambria Math"/>
                        <w:sz w:val="21"/>
                      </w:rPr>
                      <m:t>i</m:t>
                    </m:r>
                    <m:ctrlPr>
                      <w:rPr>
                        <w:rFonts w:ascii="Cambria Math" w:hAnsi="Cambria Math"/>
                        <w:sz w:val="21"/>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0A7A3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0A73150F">
                  <w:pPr>
                    <w:keepNext w:val="0"/>
                    <w:keepLines w:val="0"/>
                    <w:widowControl/>
                    <w:suppressLineNumbers w:val="0"/>
                    <w:spacing w:line="300" w:lineRule="atLeast"/>
                    <w:ind w:firstLine="960" w:firstLineChars="4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第</w:t>
                  </w:r>
                  <m:oMath>
                    <m:r>
                      <m:rPr>
                        <m:nor/>
                      </m:rPr>
                      <w:rPr>
                        <w:rFonts w:hint="default" w:ascii="Times New Roman" w:hAnsi="Times New Roman" w:eastAsia="宋体" w:cs="Times New Roman"/>
                        <w:i/>
                        <w:sz w:val="24"/>
                      </w:rPr>
                      <m:t>i</m:t>
                    </m:r>
                  </m:oMath>
                  <w:r>
                    <w:rPr>
                      <w:rFonts w:hint="eastAsia" w:ascii="宋体" w:hAnsi="宋体" w:eastAsia="宋体" w:cs="宋体"/>
                      <w:i w:val="0"/>
                      <w:iCs w:val="0"/>
                      <w:caps w:val="0"/>
                      <w:color w:val="0F1115"/>
                      <w:spacing w:val="0"/>
                      <w:kern w:val="0"/>
                      <w:sz w:val="24"/>
                      <w:szCs w:val="24"/>
                      <w:lang w:val="en-US" w:eastAsia="zh-CN" w:bidi="ar"/>
                    </w:rPr>
                    <w:t>件货物的长、宽、高（单位：cm）</w:t>
                  </w:r>
                </w:p>
              </w:tc>
            </w:tr>
          </w:tbl>
          <w:p w14:paraId="413DAEB3">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74B8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1A370BD8">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v</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4E538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2B0C86C2">
                  <w:pPr>
                    <w:keepNext w:val="0"/>
                    <w:keepLines w:val="0"/>
                    <w:widowControl/>
                    <w:suppressLineNumbers w:val="0"/>
                    <w:spacing w:line="300" w:lineRule="atLeast"/>
                    <w:ind w:firstLine="1440" w:firstLineChars="6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第</w:t>
                  </w:r>
                  <m:oMath>
                    <m:r>
                      <m:rPr>
                        <m:nor/>
                      </m:rPr>
                      <w:rPr>
                        <w:rFonts w:hint="default" w:ascii="Times New Roman" w:hAnsi="Times New Roman" w:eastAsia="宋体" w:cs="Times New Roman"/>
                        <w:i/>
                        <w:sz w:val="24"/>
                      </w:rPr>
                      <m:t>i</m:t>
                    </m:r>
                  </m:oMath>
                  <w:r>
                    <w:rPr>
                      <w:rFonts w:hint="eastAsia" w:ascii="宋体" w:hAnsi="宋体" w:eastAsia="宋体" w:cs="宋体"/>
                      <w:i w:val="0"/>
                      <w:iCs w:val="0"/>
                      <w:caps w:val="0"/>
                      <w:color w:val="0F1115"/>
                      <w:spacing w:val="0"/>
                      <w:kern w:val="0"/>
                      <w:sz w:val="24"/>
                      <w:szCs w:val="24"/>
                      <w:lang w:val="en-US" w:eastAsia="zh-CN" w:bidi="ar"/>
                    </w:rPr>
                    <w:t>件货物的体积（单位：cm³）</w:t>
                  </w:r>
                </w:p>
              </w:tc>
            </w:tr>
          </w:tbl>
          <w:p w14:paraId="47DF73FA">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064B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60F7278B">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1"/>
                      </w:rPr>
                    </m:ctrlPr>
                  </m:sSubPr>
                  <m:e>
                    <m:r>
                      <m:rPr>
                        <m:nor/>
                      </m:rPr>
                      <w:rPr>
                        <w:rFonts w:hint="default" w:ascii="Times New Roman" w:hAnsi="Times New Roman" w:cs="Times New Roman"/>
                        <w:i/>
                        <w:sz w:val="21"/>
                      </w:rPr>
                      <m:t>m</m:t>
                    </m:r>
                    <m:ctrlPr>
                      <w:rPr>
                        <w:rFonts w:hint="default" w:ascii="Cambria Math" w:hAnsi="Cambria Math" w:cs="Times New Roman"/>
                        <w:sz w:val="21"/>
                      </w:rPr>
                    </m:ctrlPr>
                  </m:e>
                  <m:sub>
                    <m:r>
                      <m:rPr>
                        <m:nor/>
                      </m:rPr>
                      <w:rPr>
                        <w:rFonts w:hint="default" w:ascii="Times New Roman" w:hAnsi="Times New Roman" w:cs="Times New Roman"/>
                        <w:i/>
                        <w:sz w:val="21"/>
                      </w:rPr>
                      <m:t>i</m:t>
                    </m:r>
                    <m:ctrlPr>
                      <w:rPr>
                        <w:rFonts w:hint="default" w:ascii="Cambria Math" w:hAnsi="Cambria Math" w:cs="Times New Roman"/>
                        <w:sz w:val="21"/>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13C7D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3E5EE561">
                  <w:pPr>
                    <w:keepNext w:val="0"/>
                    <w:keepLines w:val="0"/>
                    <w:widowControl/>
                    <w:suppressLineNumbers w:val="0"/>
                    <w:spacing w:line="300" w:lineRule="atLeast"/>
                    <w:ind w:firstLine="1440" w:firstLineChars="6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第</w:t>
                  </w:r>
                  <m:oMath>
                    <m:r>
                      <m:rPr>
                        <m:nor/>
                      </m:rPr>
                      <w:rPr>
                        <w:rFonts w:hint="default" w:ascii="Times New Roman" w:hAnsi="Times New Roman" w:eastAsia="宋体" w:cs="Times New Roman"/>
                        <w:i/>
                        <w:sz w:val="24"/>
                      </w:rPr>
                      <m:t>i</m:t>
                    </m:r>
                  </m:oMath>
                  <w:r>
                    <w:rPr>
                      <w:rFonts w:hint="eastAsia" w:ascii="宋体" w:hAnsi="宋体" w:eastAsia="宋体" w:cs="宋体"/>
                      <w:i w:val="0"/>
                      <w:iCs w:val="0"/>
                      <w:caps w:val="0"/>
                      <w:color w:val="0F1115"/>
                      <w:spacing w:val="0"/>
                      <w:kern w:val="0"/>
                      <w:sz w:val="24"/>
                      <w:szCs w:val="24"/>
                      <w:lang w:val="en-US" w:eastAsia="zh-CN" w:bidi="ar"/>
                    </w:rPr>
                    <w:t>件货物的重量（单位：kg）</w:t>
                  </w:r>
                </w:p>
              </w:tc>
            </w:tr>
          </w:tbl>
          <w:p w14:paraId="5C055161">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3CC3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1F5EED66">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r>
                  <m:rPr>
                    <m:nor/>
                    <m:sty m:val="p"/>
                  </m:rPr>
                  <w:rPr>
                    <w:rFonts w:hint="default" w:ascii="Times New Roman" w:hAnsi="Times New Roman" w:cs="Times New Roman"/>
                    <w:b w:val="0"/>
                    <w:i w:val="0"/>
                    <w:kern w:val="2"/>
                    <w:sz w:val="24"/>
                    <w:szCs w:val="24"/>
                    <w:lang w:val="en-US" w:bidi="ar-SA"/>
                  </w:rPr>
                  <m:t>n</m:t>
                </m:r>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2ECD8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70CA2EDF">
                  <w:pPr>
                    <w:keepNext w:val="0"/>
                    <w:keepLines w:val="0"/>
                    <w:widowControl/>
                    <w:suppressLineNumbers w:val="0"/>
                    <w:spacing w:line="300" w:lineRule="atLeast"/>
                    <w:ind w:firstLine="2160" w:firstLineChars="9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货物总件数</w:t>
                  </w:r>
                </w:p>
              </w:tc>
            </w:tr>
          </w:tbl>
          <w:p w14:paraId="0AD6A60E">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20E60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70B76098">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y</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646FA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241244AE">
                  <w:pPr>
                    <w:keepNext w:val="0"/>
                    <w:keepLines w:val="0"/>
                    <w:widowControl/>
                    <w:suppressLineNumbers w:val="0"/>
                    <w:spacing w:line="300" w:lineRule="atLeast"/>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第</w:t>
                  </w:r>
                  <m:oMath>
                    <m:r>
                      <m:rPr>
                        <m:nor/>
                      </m:rPr>
                      <w:rPr>
                        <w:rFonts w:hint="default" w:ascii="Times New Roman" w:hAnsi="Times New Roman" w:eastAsia="宋体" w:cs="Times New Roman"/>
                        <w:i/>
                        <w:sz w:val="24"/>
                      </w:rPr>
                      <m:t>i</m:t>
                    </m:r>
                  </m:oMath>
                  <w:r>
                    <w:rPr>
                      <w:rFonts w:hint="eastAsia" w:ascii="宋体" w:hAnsi="宋体" w:eastAsia="宋体" w:cs="宋体"/>
                      <w:i w:val="0"/>
                      <w:iCs w:val="0"/>
                      <w:caps w:val="0"/>
                      <w:color w:val="0F1115"/>
                      <w:spacing w:val="0"/>
                      <w:kern w:val="0"/>
                      <w:sz w:val="24"/>
                      <w:szCs w:val="24"/>
                      <w:lang w:val="en-US" w:eastAsia="zh-CN" w:bidi="ar"/>
                    </w:rPr>
                    <w:t>件货物摆放位置的坐标（以车厢右后下角为原点）</w:t>
                  </w:r>
                </w:p>
              </w:tc>
            </w:tr>
          </w:tbl>
          <w:p w14:paraId="2154ECBD">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3B8C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327CA943">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η</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v</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0453E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07205522">
                  <w:pPr>
                    <w:keepNext w:val="0"/>
                    <w:keepLines w:val="0"/>
                    <w:widowControl/>
                    <w:suppressLineNumbers w:val="0"/>
                    <w:spacing w:line="300" w:lineRule="atLeast"/>
                    <w:ind w:firstLine="1680" w:firstLineChars="7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空间利用率，</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η</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ctrlPr>
                          <w:rPr>
                            <w:rFonts w:hint="default" w:ascii="Cambria Math" w:hAnsi="Cambria Math" w:eastAsia="宋体" w:cs="Times New Roman"/>
                            <w:i/>
                            <w:sz w:val="24"/>
                          </w:rPr>
                        </m:ctrlPr>
                      </m:num>
                      <m:den>
                        <m:r>
                          <m:rPr>
                            <m:nor/>
                          </m:rPr>
                          <w:rPr>
                            <w:rFonts w:hint="default" w:ascii="Times New Roman" w:hAnsi="Times New Roman" w:eastAsia="宋体" w:cs="Times New Roman"/>
                            <w:i/>
                            <w:sz w:val="24"/>
                          </w:rPr>
                          <m:t>L</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W</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H</m:t>
                        </m:r>
                        <m:ctrlPr>
                          <w:rPr>
                            <w:rFonts w:hint="default" w:ascii="Cambria Math" w:hAnsi="Cambria Math" w:eastAsia="宋体" w:cs="Times New Roman"/>
                            <w:i/>
                            <w:sz w:val="24"/>
                          </w:rPr>
                        </m:ctrlPr>
                      </m:den>
                    </m:f>
                  </m:oMath>
                </w:p>
              </w:tc>
            </w:tr>
          </w:tbl>
          <w:p w14:paraId="0D879317">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5385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02A48924">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η</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w</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p w14:paraId="31A6F3F7">
            <w:pPr>
              <w:numPr>
                <w:ilvl w:val="0"/>
                <w:numId w:val="0"/>
              </w:numPr>
              <w:bidi w:val="0"/>
              <w:spacing w:line="240" w:lineRule="auto"/>
              <w:ind w:firstLine="1680" w:firstLineChars="700"/>
              <w:jc w:val="both"/>
              <w:rPr>
                <w:rFonts w:hint="eastAsia" w:ascii="黑体" w:hAnsi="黑体" w:eastAsia="黑体" w:cs="黑体"/>
                <w:sz w:val="28"/>
                <w:szCs w:val="28"/>
                <w:vertAlign w:val="baseline"/>
                <w:lang w:val="en-US" w:eastAsia="zh-CN"/>
              </w:rPr>
            </w:pPr>
            <w:r>
              <w:rPr>
                <w:rFonts w:hint="eastAsia" w:ascii="宋体" w:hAnsi="宋体" w:eastAsia="宋体" w:cs="宋体"/>
                <w:i w:val="0"/>
                <w:iCs w:val="0"/>
                <w:caps w:val="0"/>
                <w:color w:val="0F1115"/>
                <w:spacing w:val="0"/>
                <w:sz w:val="24"/>
                <w:szCs w:val="24"/>
                <w:shd w:val="clear" w:fill="FFFFFF"/>
              </w:rPr>
              <w:t>载重利用率，</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η</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ctrlPr>
                    <w:rPr>
                      <w:rFonts w:hint="default" w:ascii="Cambria Math" w:hAnsi="Cambria Math" w:eastAsia="宋体" w:cs="Times New Roman"/>
                      <w:i/>
                      <w:sz w:val="24"/>
                    </w:rPr>
                  </m:ctrlPr>
                </m:num>
                <m:den>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oMath>
          </w:p>
        </w:tc>
      </w:tr>
      <w:tr w14:paraId="485F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5680E292">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ve</m:t>
                    </m:r>
                    <m:r>
                      <m:rPr>
                        <m:nor/>
                        <m:sty m:val="p"/>
                      </m:rPr>
                      <w:rPr>
                        <w:rFonts w:hint="default" w:ascii="Times New Roman" w:hAnsi="Times New Roman" w:cs="Times New Roman"/>
                        <w:b w:val="0"/>
                        <w:i w:val="0"/>
                        <w:sz w:val="24"/>
                        <w:szCs w:val="24"/>
                      </w:rPr>
                      <m:t>h</m:t>
                    </m:r>
                    <m:r>
                      <m:rPr>
                        <m:nor/>
                      </m:rPr>
                      <w:rPr>
                        <w:rFonts w:hint="default" w:ascii="Times New Roman" w:hAnsi="Times New Roman" w:cs="Times New Roman"/>
                        <w:i/>
                        <w:sz w:val="24"/>
                        <w:szCs w:val="24"/>
                      </w:rPr>
                      <m:t>icle</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55E59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2762544C">
                  <w:pPr>
                    <w:keepNext w:val="0"/>
                    <w:keepLines w:val="0"/>
                    <w:widowControl/>
                    <w:suppressLineNumbers w:val="0"/>
                    <w:spacing w:line="300" w:lineRule="atLeast"/>
                    <w:ind w:firstLine="1680" w:firstLineChars="7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使用的车辆总数</w:t>
                  </w:r>
                </w:p>
              </w:tc>
            </w:tr>
          </w:tbl>
          <w:p w14:paraId="70EA12C0">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2FB13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62B53F4F">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total</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3ABBA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024" w:type="dxa"/>
                  <w:shd w:val="clear" w:color="auto" w:fill="FFFFFF"/>
                  <w:tcMar>
                    <w:top w:w="120" w:type="dxa"/>
                    <w:left w:w="192" w:type="dxa"/>
                    <w:bottom w:w="120" w:type="dxa"/>
                    <w:right w:w="0" w:type="dxa"/>
                  </w:tcMar>
                  <w:vAlign w:val="center"/>
                </w:tcPr>
                <w:p w14:paraId="636F6870">
                  <w:pPr>
                    <w:keepNext w:val="0"/>
                    <w:keepLines w:val="0"/>
                    <w:widowControl/>
                    <w:suppressLineNumbers w:val="0"/>
                    <w:spacing w:line="300" w:lineRule="atLeast"/>
                    <w:ind w:firstLine="1680" w:firstLineChars="7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总运输成本（单位：元）</w:t>
                  </w:r>
                </w:p>
              </w:tc>
            </w:tr>
          </w:tbl>
          <w:p w14:paraId="51C18A56">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371F3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5DF63B8C">
            <w:pPr>
              <w:numPr>
                <w:ilvl w:val="0"/>
                <w:numId w:val="0"/>
              </w:numPr>
              <w:bidi w:val="0"/>
              <w:spacing w:line="240" w:lineRule="auto"/>
              <w:jc w:val="both"/>
              <w:rPr>
                <w:rFonts w:hint="eastAsia" w:ascii="黑体" w:hAnsi="黑体" w:eastAsia="黑体" w:cs="黑体"/>
                <w:sz w:val="28"/>
                <w:szCs w:val="28"/>
                <w:vertAlign w:val="baseline"/>
                <w:lang w:val="en-US" w:eastAsia="zh-CN"/>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b>
                </m:sSub>
              </m:oMath>
            </m:oMathPara>
          </w:p>
        </w:tc>
        <w:tc>
          <w:tcPr>
            <w:tcW w:w="5716" w:type="dxa"/>
            <w:tcBorders>
              <w:top w:val="nil"/>
              <w:left w:val="nil"/>
              <w:bottom w:val="nil"/>
              <w:right w:val="nil"/>
            </w:tcBorders>
          </w:tcPr>
          <w:tbl>
            <w:tblPr>
              <w:tblStyle w:val="19"/>
              <w:tblW w:w="9024" w:type="dxa"/>
              <w:tblInd w:w="-1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9024"/>
            </w:tblGrid>
            <w:tr w14:paraId="20C0F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9024" w:type="dxa"/>
                  <w:shd w:val="clear" w:color="auto" w:fill="FFFFFF"/>
                  <w:tcMar>
                    <w:top w:w="120" w:type="dxa"/>
                    <w:left w:w="192" w:type="dxa"/>
                    <w:bottom w:w="120" w:type="dxa"/>
                    <w:right w:w="0" w:type="dxa"/>
                  </w:tcMar>
                  <w:vAlign w:val="center"/>
                </w:tcPr>
                <w:p w14:paraId="5B099A1E">
                  <w:pPr>
                    <w:keepNext w:val="0"/>
                    <w:keepLines w:val="0"/>
                    <w:widowControl/>
                    <w:suppressLineNumbers w:val="0"/>
                    <w:spacing w:line="300" w:lineRule="atLeast"/>
                    <w:ind w:firstLine="1200" w:firstLineChars="500"/>
                    <w:jc w:val="both"/>
                    <w:rPr>
                      <w:rFonts w:ascii="Segoe UI" w:hAnsi="Segoe UI" w:eastAsia="Segoe UI" w:cs="Segoe UI"/>
                      <w:i w:val="0"/>
                      <w:iCs w:val="0"/>
                      <w:caps w:val="0"/>
                      <w:color w:val="0F1115"/>
                      <w:spacing w:val="0"/>
                      <w:sz w:val="18"/>
                      <w:szCs w:val="18"/>
                    </w:rPr>
                  </w:pPr>
                  <w:r>
                    <w:rPr>
                      <w:rFonts w:hint="eastAsia" w:ascii="宋体" w:hAnsi="宋体" w:eastAsia="宋体" w:cs="宋体"/>
                      <w:i w:val="0"/>
                      <w:iCs w:val="0"/>
                      <w:caps w:val="0"/>
                      <w:color w:val="0F1115"/>
                      <w:spacing w:val="0"/>
                      <w:kern w:val="0"/>
                      <w:sz w:val="24"/>
                      <w:szCs w:val="24"/>
                      <w:lang w:val="en-US" w:eastAsia="zh-CN" w:bidi="ar"/>
                    </w:rPr>
                    <w:t>车型1、车型2的单次运输成本</w:t>
                  </w:r>
                </w:p>
              </w:tc>
            </w:tr>
          </w:tbl>
          <w:p w14:paraId="3526C4CD">
            <w:pPr>
              <w:numPr>
                <w:ilvl w:val="0"/>
                <w:numId w:val="0"/>
              </w:numPr>
              <w:bidi w:val="0"/>
              <w:spacing w:line="240" w:lineRule="auto"/>
              <w:jc w:val="center"/>
              <w:rPr>
                <w:rFonts w:hint="eastAsia" w:ascii="黑体" w:hAnsi="黑体" w:eastAsia="黑体" w:cs="黑体"/>
                <w:sz w:val="28"/>
                <w:szCs w:val="28"/>
                <w:vertAlign w:val="baseline"/>
                <w:lang w:val="en-US" w:eastAsia="zh-CN"/>
              </w:rPr>
            </w:pPr>
          </w:p>
        </w:tc>
      </w:tr>
      <w:tr w14:paraId="4D0E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nil"/>
              <w:right w:val="nil"/>
            </w:tcBorders>
          </w:tcPr>
          <w:p w14:paraId="231693EB">
            <w:pPr>
              <w:numPr>
                <w:ilvl w:val="0"/>
                <w:numId w:val="0"/>
              </w:numPr>
              <w:bidi w:val="0"/>
              <w:spacing w:line="240" w:lineRule="auto"/>
              <w:jc w:val="center"/>
              <w:rPr>
                <w:rFonts w:hint="default" w:ascii="Cambria Math" w:hAnsi="Cambria Math" w:cs="Times New Roman"/>
                <w:sz w:val="24"/>
                <w:szCs w:val="24"/>
                <w:oMath/>
              </w:rPr>
            </w:pPr>
            <m:oMathPara>
              <m:oMath>
                <m:r>
                  <m:rPr>
                    <m:nor/>
                  </m:rPr>
                  <w:rPr>
                    <w:rFonts w:hint="default" w:ascii="Times New Roman" w:hAnsi="Times New Roman" w:cs="Times New Roman"/>
                    <w:i/>
                    <w:sz w:val="24"/>
                  </w:rPr>
                  <m:t>t</m:t>
                </m:r>
              </m:oMath>
            </m:oMathPara>
          </w:p>
        </w:tc>
        <w:tc>
          <w:tcPr>
            <w:tcW w:w="5716" w:type="dxa"/>
            <w:tcBorders>
              <w:top w:val="nil"/>
              <w:left w:val="nil"/>
              <w:bottom w:val="nil"/>
              <w:right w:val="nil"/>
            </w:tcBorders>
          </w:tcPr>
          <w:p w14:paraId="7192A080">
            <w:pPr>
              <w:numPr>
                <w:ilvl w:val="0"/>
                <w:numId w:val="0"/>
              </w:numPr>
              <w:bidi w:val="0"/>
              <w:spacing w:line="240" w:lineRule="auto"/>
              <w:jc w:val="center"/>
              <w:rPr>
                <w:rFonts w:hint="default" w:ascii="黑体" w:hAnsi="黑体" w:eastAsia="黑体" w:cs="黑体"/>
                <w:sz w:val="28"/>
                <w:szCs w:val="28"/>
                <w:vertAlign w:val="baseline"/>
                <w:lang w:val="en-US" w:eastAsia="zh-CN"/>
              </w:rPr>
            </w:pPr>
            <w:r>
              <w:rPr>
                <w:rFonts w:hint="eastAsia" w:ascii="宋体" w:hAnsi="宋体" w:eastAsia="宋体" w:cs="宋体"/>
                <w:sz w:val="24"/>
                <w:szCs w:val="24"/>
                <w:vertAlign w:val="baseline"/>
                <w:lang w:val="en-US" w:eastAsia="zh-CN"/>
              </w:rPr>
              <w:t>车型编号</w:t>
            </w:r>
          </w:p>
        </w:tc>
      </w:tr>
      <w:tr w14:paraId="484C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0" w:type="dxa"/>
            <w:tcBorders>
              <w:top w:val="nil"/>
              <w:left w:val="nil"/>
              <w:bottom w:val="single" w:color="auto" w:sz="12" w:space="0"/>
              <w:right w:val="nil"/>
            </w:tcBorders>
          </w:tcPr>
          <w:p w14:paraId="21382AA5">
            <w:pPr>
              <w:pStyle w:val="1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ind w:left="0" w:right="0" w:firstLine="0"/>
              <w:jc w:val="center"/>
              <w:rPr>
                <w:rFonts w:hint="default" w:ascii="Times New Roman" w:hAnsi="Times New Roman" w:cs="Times New Roman"/>
                <w:i/>
                <w:sz w:val="24"/>
                <w:oMath/>
              </w:rPr>
            </w:pPr>
            <m:oMathPara>
              <m:oMath>
                <m:r>
                  <m:rPr>
                    <m:nor/>
                  </m:rPr>
                  <w:rPr>
                    <w:rFonts w:hint="default" w:ascii="Times New Roman" w:hAnsi="Times New Roman" w:eastAsia="Consolas" w:cs="Times New Roman"/>
                    <w:i/>
                    <w:sz w:val="24"/>
                  </w:rPr>
                  <m:t>η</m:t>
                </m:r>
              </m:oMath>
            </m:oMathPara>
          </w:p>
        </w:tc>
        <w:tc>
          <w:tcPr>
            <w:tcW w:w="5716" w:type="dxa"/>
            <w:tcBorders>
              <w:top w:val="nil"/>
              <w:left w:val="nil"/>
              <w:bottom w:val="single" w:color="auto" w:sz="12" w:space="0"/>
              <w:right w:val="nil"/>
            </w:tcBorders>
          </w:tcPr>
          <w:p w14:paraId="4780E72B">
            <w:pPr>
              <w:numPr>
                <w:ilvl w:val="0"/>
                <w:numId w:val="0"/>
              </w:numPr>
              <w:bidi w:val="0"/>
              <w:spacing w:line="240" w:lineRule="auto"/>
              <w:jc w:val="center"/>
              <w:rPr>
                <w:rFonts w:hint="eastAsia" w:ascii="宋体" w:hAnsi="宋体" w:eastAsia="宋体" w:cs="宋体"/>
                <w:sz w:val="24"/>
                <w:szCs w:val="24"/>
                <w:vertAlign w:val="baseline"/>
                <w:lang w:val="en-US" w:eastAsia="zh-CN"/>
              </w:rPr>
            </w:pPr>
            <w:r>
              <w:rPr>
                <w:rFonts w:hint="eastAsia" w:ascii="宋体" w:hAnsi="宋体" w:eastAsia="宋体" w:cs="宋体"/>
                <w:i w:val="0"/>
                <w:iCs w:val="0"/>
                <w:caps w:val="0"/>
                <w:spacing w:val="0"/>
                <w:sz w:val="24"/>
                <w:szCs w:val="24"/>
              </w:rPr>
              <w:t>综合满载率</w:t>
            </w:r>
          </w:p>
        </w:tc>
      </w:tr>
    </w:tbl>
    <w:p w14:paraId="5305DC64">
      <w:pPr>
        <w:numPr>
          <w:ilvl w:val="0"/>
          <w:numId w:val="0"/>
        </w:numPr>
        <w:bidi w:val="0"/>
        <w:spacing w:line="240" w:lineRule="auto"/>
        <w:ind w:leftChars="0"/>
        <w:jc w:val="both"/>
        <w:rPr>
          <w:rFonts w:hint="eastAsia" w:ascii="黑体" w:hAnsi="黑体" w:eastAsia="黑体" w:cs="黑体"/>
          <w:sz w:val="28"/>
          <w:szCs w:val="28"/>
          <w:lang w:val="en-US" w:eastAsia="zh-CN"/>
        </w:rPr>
      </w:pPr>
    </w:p>
    <w:p w14:paraId="0A31C62F">
      <w:pPr>
        <w:bidi w:val="0"/>
        <w:jc w:val="center"/>
        <w:rPr>
          <w:rFonts w:hint="eastAsia" w:ascii="黑体" w:hAnsi="黑体" w:eastAsia="黑体" w:cs="黑体"/>
          <w:sz w:val="28"/>
          <w:szCs w:val="28"/>
        </w:rPr>
      </w:pPr>
      <w:r>
        <w:rPr>
          <w:rFonts w:hint="eastAsia" w:ascii="黑体" w:hAnsi="黑体" w:eastAsia="黑体" w:cs="黑体"/>
          <w:sz w:val="28"/>
          <w:szCs w:val="28"/>
        </w:rPr>
        <w:t>四、问题分析</w:t>
      </w:r>
    </w:p>
    <w:p w14:paraId="36A6D8DB">
      <w:pPr>
        <w:bidi w:val="0"/>
        <w:rPr>
          <w:rFonts w:hint="eastAsia" w:ascii="黑体" w:hAnsi="黑体" w:eastAsia="黑体" w:cs="黑体"/>
          <w:sz w:val="24"/>
          <w:szCs w:val="24"/>
        </w:rPr>
      </w:pPr>
      <w:r>
        <w:rPr>
          <w:rFonts w:hint="eastAsia" w:ascii="黑体" w:hAnsi="黑体" w:eastAsia="黑体" w:cs="黑体"/>
          <w:sz w:val="24"/>
          <w:szCs w:val="24"/>
        </w:rPr>
        <w:t>4.1 问题一</w:t>
      </w:r>
    </w:p>
    <w:p w14:paraId="21750CB1">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问题一是在单一车型条件下研究货物装载方案，主要包含两个</w:t>
      </w:r>
      <w:r>
        <w:rPr>
          <w:rFonts w:hint="eastAsia" w:ascii="宋体" w:hAnsi="宋体" w:eastAsia="宋体" w:cs="宋体"/>
          <w:sz w:val="24"/>
          <w:szCs w:val="24"/>
          <w:lang w:val="en-US" w:eastAsia="zh-CN"/>
        </w:rPr>
        <w:t>目</w:t>
      </w:r>
      <w:r>
        <w:rPr>
          <w:rFonts w:hint="eastAsia" w:ascii="宋体" w:hAnsi="宋体" w:eastAsia="宋体" w:cs="宋体"/>
          <w:sz w:val="24"/>
          <w:szCs w:val="24"/>
        </w:rPr>
        <w:t>标：一是提高单车综合满载率，二是完成全部运输任务时使车辆总数最少。对于第一个目标，题目要求尽量提高单辆车的装载效率。这里的“满载”不仅指车厢空间被充分利用，还指车辆载重能力得到尽可能利用。因此，本文分别用空间利用率和载重利用率来衡量装载效果，并进一步构造综合满载率作为评价指标。这样可以避免只追求体积装满而忽视载重，或者只追求重量接近上限而造成空间浪费的问题。在实际装载过程中，需要优先考虑尺寸较大、摆放方向受限或不宜堆叠的货物，再利用剩余空间安排其他货物，以提高单车整体装载质量。对于第二个目标，题目要求在同一种车型下完成全部货物运输，并使所用车辆数最少。此时问题重点已经从“单辆车装得多不多”转变为“全部货物怎样分配最紧凑”。也就是说，需要把所有货物合理分配到若干辆相同车辆中，使每辆车都满足尺寸和载重约束，同时使总车辆数尽可能小。</w:t>
      </w:r>
      <w:r>
        <w:rPr>
          <w:rFonts w:hint="eastAsia" w:ascii="宋体" w:hAnsi="宋体" w:eastAsia="宋体" w:cs="宋体"/>
          <w:sz w:val="24"/>
          <w:szCs w:val="24"/>
        </w:rPr>
        <w:br w:type="textWrapping"/>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个问题本质上是多车装箱问题。若每辆车的装载安排不合理，就可能出现局部空间浪费，从而导致后续需要增加车辆。因此，在求解时需要兼顾单车装载效果和整体分配效果。总的来看，问题一是全文建模的基础。只有先解决单车如何合理装载，才能进一步研究全部货物的整体运输安排。</w:t>
      </w:r>
    </w:p>
    <w:p w14:paraId="655D9D9C">
      <w:pPr>
        <w:bidi w:val="0"/>
        <w:rPr>
          <w:rFonts w:hint="default" w:ascii="黑体" w:hAnsi="黑体" w:eastAsia="黑体" w:cs="黑体"/>
          <w:sz w:val="24"/>
          <w:szCs w:val="24"/>
          <w:lang w:val="en-US" w:eastAsia="zh-CN"/>
        </w:rPr>
      </w:pPr>
    </w:p>
    <w:p w14:paraId="16DEA2E6">
      <w:pPr>
        <w:bidi w:val="0"/>
        <w:rPr>
          <w:rFonts w:hint="eastAsia" w:ascii="黑体" w:hAnsi="黑体" w:eastAsia="黑体" w:cs="黑体"/>
          <w:sz w:val="24"/>
          <w:szCs w:val="24"/>
        </w:rPr>
      </w:pPr>
      <w:r>
        <w:rPr>
          <w:rFonts w:hint="eastAsia" w:ascii="黑体" w:hAnsi="黑体" w:eastAsia="黑体" w:cs="黑体"/>
          <w:sz w:val="24"/>
          <w:szCs w:val="24"/>
        </w:rPr>
        <w:t>4.2 问题二</w:t>
      </w:r>
    </w:p>
    <w:p w14:paraId="035535F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二要求在可同时选用车型1和车型2的条件下，将附件1中的货物全部运完，并分别以总运输车辆数最少和总运输成本最低为目标进行优化。针对第一小问（车辆数最少）：该问题的核心是在两种车型之间进行合理分配，使得使用的车辆总数最小。由于车型2（容积更大）的单车运力更强，我们分析后认为应采用“大车优先”的贪婪策略，优先使用车型2装载体积较大的货物组合，剩余货物再用车型1装载。针对第二小问（成本最低）：车型1单次运输成本450元，车型2为700元。虽然车型2运力更强，但单趟成本也更高，因此车辆数最少并不等同于成本最低。我们分析后认为，需要在车辆数与运输成本之间寻找平衡点，通过建立成本最小化目标函数，对比两种目标下的结果差异，为企业提供决策依据。</w:t>
      </w:r>
    </w:p>
    <w:p w14:paraId="6DE0026C">
      <w:pPr>
        <w:bidi w:val="0"/>
        <w:rPr>
          <w:rFonts w:hint="eastAsia" w:ascii="黑体" w:hAnsi="黑体" w:eastAsia="黑体" w:cs="黑体"/>
          <w:sz w:val="24"/>
          <w:szCs w:val="24"/>
        </w:rPr>
      </w:pPr>
      <w:r>
        <w:rPr>
          <w:rFonts w:hint="eastAsia" w:ascii="黑体" w:hAnsi="黑体" w:eastAsia="黑体" w:cs="黑体"/>
          <w:sz w:val="24"/>
          <w:szCs w:val="24"/>
        </w:rPr>
        <w:t>4.3 问题三分析</w:t>
      </w:r>
    </w:p>
    <w:p w14:paraId="7D15542B">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三要求根据问题一和问题二的结论，撰写一份面向物流企业管理者的技术报告。报告需说明模型构建思路、求解算法、程序实现过程，并对模型与算法的性能进行分析。此外，还需分别分析各个参数变化对装载率与运输成本的影响。我们分析后认为，参数敏感性分析应重点关注以下几个方面</w:t>
      </w:r>
      <w:r>
        <w:rPr>
          <w:rFonts w:hint="eastAsia" w:ascii="宋体" w:hAnsi="宋体" w:eastAsia="宋体" w:cs="宋体"/>
          <w:sz w:val="24"/>
          <w:szCs w:val="24"/>
          <w:lang w:eastAsia="zh-CN"/>
        </w:rPr>
        <w:t>：</w:t>
      </w:r>
      <w:r>
        <w:rPr>
          <w:rFonts w:hint="eastAsia" w:ascii="宋体" w:hAnsi="宋体" w:eastAsia="宋体" w:cs="宋体"/>
          <w:sz w:val="24"/>
          <w:szCs w:val="24"/>
        </w:rPr>
        <w:t>额定载重变化对重货分配的影响；运输成本波动对车型选择的影响；堆叠约束放松对空间利用率的影响</w:t>
      </w:r>
      <w:r>
        <w:rPr>
          <w:rFonts w:hint="eastAsia" w:ascii="宋体" w:hAnsi="宋体" w:eastAsia="宋体" w:cs="宋体"/>
          <w:sz w:val="24"/>
          <w:szCs w:val="24"/>
          <w:lang w:eastAsia="zh-CN"/>
        </w:rPr>
        <w:t>；</w:t>
      </w:r>
      <w:r>
        <w:rPr>
          <w:rFonts w:hint="eastAsia" w:ascii="宋体" w:hAnsi="宋体" w:eastAsia="宋体" w:cs="宋体"/>
          <w:sz w:val="24"/>
          <w:szCs w:val="24"/>
        </w:rPr>
        <w:t>货物体积波动对装载方案的影响。基于附件2中的大规模验证数据集，我们还可以测试模型在不同数据规模下的通用性与求解稳定性。</w:t>
      </w:r>
    </w:p>
    <w:p w14:paraId="51144DAC">
      <w:pPr>
        <w:numPr>
          <w:ilvl w:val="0"/>
          <w:numId w:val="3"/>
        </w:numPr>
        <w:bidi w:val="0"/>
        <w:jc w:val="cente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问题一模型的建立与求解</w:t>
      </w:r>
    </w:p>
    <w:p w14:paraId="56E302A3">
      <w:pPr>
        <w:bidi w:val="0"/>
        <w:rPr>
          <w:rFonts w:hint="eastAsia" w:ascii="黑体" w:hAnsi="黑体" w:eastAsia="黑体" w:cs="黑体"/>
          <w:sz w:val="24"/>
          <w:szCs w:val="24"/>
          <w:lang w:val="en-US" w:eastAsia="zh-CN"/>
        </w:rPr>
      </w:pPr>
      <w:r>
        <w:rPr>
          <w:rFonts w:hint="eastAsia" w:ascii="黑体" w:hAnsi="黑体" w:eastAsia="黑体" w:cs="黑体"/>
          <w:sz w:val="24"/>
          <w:szCs w:val="24"/>
        </w:rPr>
        <w:t>5.1 问题描述与建模思路</w:t>
      </w:r>
    </w:p>
    <w:p w14:paraId="2ADE23E3">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问题一要求在单一车型条件下，对给定批次货物完成两类优化任务：其一是在单辆车装载场景下，使综合满载率尽可能高；其二是在完成全部货物运输任务的前提下，使所需车辆总数最少。结合附件1可知，本题中的装载问题不仅受车厢几何尺寸和车辆载重的限制，还受到货物类别差异、堆叠规则、承载能力和安全间隙等多种实际因素的共同影响，因此本质上属于带有复杂工程约束的三维装箱优化问题。</w:t>
      </w:r>
    </w:p>
    <w:p w14:paraId="04A8A0FD">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根据附件1，待装货物分为标准件、易碎件和定向件三类。三类货物均可视为刚性长方体，不可挤压、不可拆分，且装载时必须正交摆放，即货物棱边与车厢棱边保持平行。在此基础上，不同类别货物又具有不同的装载要求：标准件可任意方向摆放并允许堆叠；易碎件仅允许单层放置，且其底面必须完全贴合箱体底面或标准件顶面；定向件存在明确方向要求，只允许一种摆放姿态，虽然允许堆叠，但上层货物的重心不得超出下层货物的支撑投影范围。除此之外，下层货物所承受的单位面积压力不能超过 500kg/平方米，且顶层货物与车厢顶部之间必须预留不少于 3cm 的安全间隙。</w:t>
      </w:r>
    </w:p>
    <w:p w14:paraId="2489B79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由此可见，问题一中的“可行装载”必须同时满足空间可行、重量可行、类别可行和稳定性可行四个层面的要求。因此，本文将问题一划分为两个层次进行建模：单车装载层：研究在固定车型条件下，如何安排货物放置顺序、位置与姿态，使单辆车的综合满载率最大；多车分配层：研究在同一车型下，如何将全部货物分配至若干车辆，并使总车辆数最少。</w:t>
      </w:r>
    </w:p>
    <w:p w14:paraId="007F6B02">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这种分层建模思路能够较好地兼顾局部装载效果与整体运输效率，也为后续问题二的车型组合优化提供基础。</w:t>
      </w:r>
    </w:p>
    <w:p w14:paraId="33E52599">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 xml:space="preserve"> 约束条件分析与数学表达</w:t>
      </w:r>
    </w:p>
    <w:p w14:paraId="6E3D0C0D">
      <w:pPr>
        <w:bidi w:val="0"/>
        <w:ind w:firstLine="480" w:firstLineChars="200"/>
        <w:rPr>
          <w:rFonts w:hint="default"/>
          <w:sz w:val="24"/>
          <w:szCs w:val="24"/>
        </w:rPr>
      </w:pPr>
      <w:r>
        <w:rPr>
          <w:rFonts w:hint="default"/>
          <w:sz w:val="24"/>
          <w:szCs w:val="24"/>
        </w:rPr>
        <w:t>为了保证装载方案具有实际可执行性，本文依据附件1中的装载规则，构建如下约束条件。</w:t>
      </w:r>
    </w:p>
    <w:p w14:paraId="1501FE44">
      <w:pPr>
        <w:bidi w:val="0"/>
        <w:rPr>
          <w:rFonts w:hint="eastAsia" w:ascii="黑体" w:hAnsi="黑体" w:eastAsia="黑体" w:cs="黑体"/>
          <w:i w:val="0"/>
          <w:iCs w:val="0"/>
          <w:caps w:val="0"/>
          <w:spacing w:val="0"/>
          <w:sz w:val="24"/>
          <w:szCs w:val="24"/>
        </w:rPr>
      </w:pPr>
      <w:r>
        <w:rPr>
          <w:rFonts w:hint="eastAsia" w:ascii="黑体" w:hAnsi="黑体" w:eastAsia="黑体" w:cs="黑体"/>
          <w:i w:val="0"/>
          <w:iCs w:val="0"/>
          <w:caps w:val="0"/>
          <w:spacing w:val="0"/>
          <w:sz w:val="24"/>
          <w:szCs w:val="24"/>
        </w:rPr>
        <w:t>5.</w:t>
      </w:r>
      <w:r>
        <w:rPr>
          <w:rFonts w:hint="eastAsia" w:ascii="黑体" w:hAnsi="黑体" w:eastAsia="黑体" w:cs="黑体"/>
          <w:i w:val="0"/>
          <w:iCs w:val="0"/>
          <w:caps w:val="0"/>
          <w:spacing w:val="0"/>
          <w:sz w:val="24"/>
          <w:szCs w:val="24"/>
          <w:lang w:val="en-US" w:eastAsia="zh-CN"/>
        </w:rPr>
        <w:t>2</w:t>
      </w:r>
      <w:r>
        <w:rPr>
          <w:rFonts w:hint="eastAsia" w:ascii="黑体" w:hAnsi="黑体" w:eastAsia="黑体" w:cs="黑体"/>
          <w:i w:val="0"/>
          <w:iCs w:val="0"/>
          <w:caps w:val="0"/>
          <w:spacing w:val="0"/>
          <w:sz w:val="24"/>
          <w:szCs w:val="24"/>
        </w:rPr>
        <w:t>.1 边界约束</w:t>
      </w:r>
    </w:p>
    <w:p w14:paraId="70876CA3">
      <w:pPr>
        <w:bidi w:val="0"/>
        <w:ind w:firstLine="480" w:firstLineChars="200"/>
        <w:rPr>
          <w:rFonts w:hint="eastAsia"/>
          <w:sz w:val="24"/>
          <w:szCs w:val="24"/>
        </w:rPr>
      </w:pPr>
      <w:r>
        <w:rPr>
          <w:rFonts w:hint="eastAsia"/>
          <w:sz w:val="24"/>
          <w:szCs w:val="24"/>
        </w:rPr>
        <w:t>任意货物装入车厢后，均不得超出车厢边界。又由于题目要求顶层货物与车厢顶部之间至少保留 3cm 安全间隙，因此对任意货物 </w:t>
      </w:r>
      <m:oMath>
        <m:r>
          <m:rPr/>
          <w:rPr>
            <w:rFonts w:hint="default" w:ascii="Cambria Math"/>
            <w:sz w:val="24"/>
          </w:rPr>
          <m:t>i</m:t>
        </m:r>
      </m:oMath>
      <w:r>
        <w:rPr>
          <w:rFonts w:hint="eastAsia"/>
          <w:sz w:val="24"/>
          <w:szCs w:val="24"/>
        </w:rPr>
        <w:t>，必须满足：</w:t>
      </w:r>
    </w:p>
    <w:p w14:paraId="4D4A4644">
      <w:pPr>
        <w:bidi w:val="0"/>
        <w:ind w:firstLine="3600" w:firstLineChars="1500"/>
        <w:jc w:val="center"/>
        <w:rPr>
          <w:rFonts w:hint="eastAsia" w:hAnsi="Times New Roman" w:eastAsia="宋体" w:cs="Times New Roman"/>
          <w:i/>
          <w:sz w:val="24"/>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L</m:t>
          </m:r>
        </m:oMath>
      </m:oMathPara>
    </w:p>
    <w:p w14:paraId="27B90353">
      <w:pPr>
        <w:bidi w:val="0"/>
        <w:jc w:val="center"/>
        <w:rPr>
          <w:rFonts w:hint="default" w:hAnsi="Times New Roman"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W</m:t>
          </m:r>
        </m:oMath>
      </m:oMathPara>
    </w:p>
    <w:p w14:paraId="308D567D">
      <w:pPr>
        <w:bidi w:val="0"/>
        <w:jc w:val="center"/>
        <w:rPr>
          <w:rFonts w:hint="default" w:hAnsi="Times New Roman"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H</m:t>
          </m:r>
          <m:r>
            <m:rPr>
              <m:nor/>
              <m:sty m:val="p"/>
            </m:rPr>
            <w:rPr>
              <w:rFonts w:hint="default" w:ascii="Times New Roman" w:hAnsi="Times New Roman" w:eastAsia="宋体" w:cs="Times New Roman"/>
              <w:b w:val="0"/>
              <w:i w:val="0"/>
              <w:sz w:val="24"/>
            </w:rPr>
            <m:t>−3</m:t>
          </m:r>
        </m:oMath>
      </m:oMathPara>
    </w:p>
    <w:p w14:paraId="573A7E96">
      <w:pPr>
        <w:bidi w:val="0"/>
        <w:ind w:firstLine="480" w:firstLineChars="200"/>
        <w:jc w:val="left"/>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rPr>
        <w:t>同时有</w:t>
      </w:r>
    </w:p>
    <w:p w14:paraId="3CA79014">
      <w:pPr>
        <w:bidi w:val="0"/>
        <w:ind w:firstLine="480" w:firstLineChars="200"/>
        <w:jc w:val="center"/>
        <w:rPr>
          <w:rFonts w:hint="default" w:hAnsiTheme="majorEastAsia" w:eastAsiaTheme="majorEastAsia" w:cstheme="majorEastAsia"/>
          <w:i w:val="0"/>
          <w:iCs w:val="0"/>
          <w:caps w:val="0"/>
          <w:spacing w:val="0"/>
          <w:sz w:val="24"/>
          <w:szCs w:val="24"/>
          <w:lang w:val="en-US" w:eastAsia="zh-CN"/>
        </w:rPr>
      </w:pPr>
      <m:oMathPara>
        <m:oMath>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x</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≥0, </m:t>
          </m:r>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y</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≥0, </m:t>
          </m:r>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z</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≥0</m:t>
          </m:r>
        </m:oMath>
      </m:oMathPara>
    </w:p>
    <w:p w14:paraId="7CE63357">
      <w:pPr>
        <w:bidi w:val="0"/>
        <w:ind w:firstLine="480" w:firstLineChars="200"/>
        <w:jc w:val="center"/>
        <w:rPr>
          <w:rFonts w:hint="default" w:asciiTheme="majorEastAsia" w:hAnsiTheme="majorEastAsia" w:eastAsiaTheme="majorEastAsia" w:cstheme="majorEastAsia"/>
          <w:i w:val="0"/>
          <w:iCs w:val="0"/>
          <w:caps w:val="0"/>
          <w:spacing w:val="0"/>
          <w:sz w:val="24"/>
          <w:szCs w:val="24"/>
          <w:lang w:val="en-US" w:eastAsia="zh-CN"/>
          <w:oMath/>
        </w:rPr>
      </w:pPr>
    </w:p>
    <w:p w14:paraId="677FB1D0">
      <w:pPr>
        <w:bidi w:val="0"/>
        <w:jc w:val="center"/>
        <w:rPr>
          <w:rFonts w:hint="eastAsia"/>
          <w:sz w:val="24"/>
          <w:szCs w:val="24"/>
        </w:rPr>
      </w:pPr>
    </w:p>
    <w:p w14:paraId="7A6596F4">
      <w:pPr>
        <w:bidi w:val="0"/>
        <w:ind w:firstLine="480" w:firstLineChars="200"/>
        <w:rPr>
          <w:rFonts w:hint="eastAsia" w:asciiTheme="majorEastAsia" w:hAnsiTheme="majorEastAsia" w:eastAsiaTheme="majorEastAsia" w:cstheme="majorEastAsia"/>
          <w:i w:val="0"/>
          <w:iCs w:val="0"/>
          <w:caps w:val="0"/>
          <w:spacing w:val="0"/>
          <w:sz w:val="24"/>
          <w:szCs w:val="24"/>
        </w:rPr>
      </w:pPr>
      <w:r>
        <w:rPr>
          <w:rFonts w:hint="eastAsia" w:asciiTheme="majorEastAsia" w:hAnsiTheme="majorEastAsia" w:eastAsiaTheme="majorEastAsia" w:cstheme="majorEastAsia"/>
          <w:i w:val="0"/>
          <w:iCs w:val="0"/>
          <w:caps w:val="0"/>
          <w:spacing w:val="0"/>
          <w:sz w:val="24"/>
          <w:szCs w:val="24"/>
        </w:rPr>
        <w:t>该约束保证所有货物均处于车厢内部有效空间之内。</w:t>
      </w:r>
    </w:p>
    <w:p w14:paraId="683C7A51">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.2 不重叠约束</w:t>
      </w:r>
    </w:p>
    <w:p w14:paraId="10BAFF2A">
      <w:pPr>
        <w:bidi w:val="0"/>
        <w:ind w:firstLine="480" w:firstLineChars="200"/>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任意两件不同货物在车厢内不得占据同一空间。对于任意两件货物</w:t>
      </w:r>
      <m:oMath>
        <m:r>
          <m:rPr/>
          <w:rPr>
            <w:rFonts w:hint="default" w:cs="宋体"/>
            <w:caps w:val="0"/>
            <w:spacing w:val="0"/>
            <w:kern w:val="2"/>
            <w:sz w:val="24"/>
            <w:szCs w:val="24"/>
            <w:lang w:val="en-US" w:eastAsia="zh-CN" w:bidi="ar-SA"/>
          </w:rPr>
          <m:t>i</m:t>
        </m:r>
      </m:oMath>
      <w:r>
        <w:rPr>
          <w:rFonts w:hint="eastAsia" w:ascii="宋体" w:hAnsi="宋体" w:eastAsia="宋体" w:cs="宋体"/>
          <w:i w:val="0"/>
          <w:iCs w:val="0"/>
          <w:caps w:val="0"/>
          <w:spacing w:val="0"/>
          <w:sz w:val="24"/>
          <w:szCs w:val="24"/>
        </w:rPr>
        <w:t>和</w:t>
      </w:r>
      <m:oMath>
        <m:r>
          <m:rPr/>
          <w:rPr>
            <w:rFonts w:hint="default" w:cs="宋体"/>
            <w:caps w:val="0"/>
            <w:spacing w:val="0"/>
            <w:kern w:val="2"/>
            <w:sz w:val="24"/>
            <w:szCs w:val="24"/>
            <w:lang w:val="en-US" w:eastAsia="zh-CN" w:bidi="ar-SA"/>
          </w:rPr>
          <m:t>j</m:t>
        </m:r>
      </m:oMath>
      <w:r>
        <w:rPr>
          <w:rFonts w:hint="eastAsia" w:ascii="宋体" w:hAnsi="宋体" w:eastAsia="宋体" w:cs="宋体"/>
          <w:i w:val="0"/>
          <w:iCs w:val="0"/>
          <w:caps w:val="0"/>
          <w:spacing w:val="0"/>
          <w:sz w:val="24"/>
          <w:szCs w:val="24"/>
        </w:rPr>
        <w:t>，若其同时装入同一辆车，则必须至少在长、宽、高三个方向中的一个方向上分离。其逻辑含义可表示为：</w:t>
      </w:r>
    </w:p>
    <w:p w14:paraId="670AD67B">
      <w:pPr>
        <w:bidi w:val="0"/>
        <w:ind w:firstLine="480" w:firstLineChars="200"/>
        <w:jc w:val="center"/>
        <w:rPr>
          <w:rFonts w:hint="default" w:hAnsi="Cambria Math"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 或 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 或 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 或 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 或 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 或 </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z</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m:oMathPara>
    </w:p>
    <w:p w14:paraId="4BE6793F">
      <w:pPr>
        <w:bidi w:val="0"/>
        <w:ind w:firstLine="480" w:firstLineChars="200"/>
        <w:jc w:val="center"/>
        <w:rPr>
          <w:rFonts w:hint="default" w:hAnsi="Cambria Math" w:eastAsia="宋体" w:cs="Times New Roman"/>
          <w:i w:val="0"/>
          <w:sz w:val="24"/>
        </w:rPr>
      </w:pPr>
    </w:p>
    <w:p w14:paraId="70253978">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.3 载重约束</w:t>
      </w:r>
    </w:p>
    <w:p w14:paraId="0C8A3753">
      <w:pPr>
        <w:bidi w:val="0"/>
        <w:ind w:firstLine="480" w:firstLineChars="200"/>
        <w:jc w:val="left"/>
        <w:rPr>
          <w:rFonts w:hint="eastAsia" w:ascii="宋体" w:hAnsi="宋体" w:eastAsia="宋体" w:cs="宋体"/>
          <w:sz w:val="24"/>
          <w:szCs w:val="24"/>
          <w:lang w:val="en-US" w:eastAsia="zh-CN"/>
        </w:rPr>
      </w:pPr>
      <w:r>
        <w:rPr>
          <w:rFonts w:hint="eastAsia" w:ascii="宋体" w:hAnsi="宋体" w:eastAsia="宋体" w:cs="宋体"/>
          <w:i w:val="0"/>
          <w:iCs w:val="0"/>
          <w:caps w:val="0"/>
          <w:spacing w:val="0"/>
          <w:sz w:val="24"/>
          <w:szCs w:val="24"/>
        </w:rPr>
        <w:t>同一辆车中所有已装货物的总重量不得超过车辆额定载重。因此应满足：</w:t>
      </w:r>
    </w:p>
    <w:p w14:paraId="1E18D5F8">
      <w:pPr>
        <w:bidi w:val="0"/>
        <w:jc w:val="center"/>
        <w:rPr>
          <w:rFonts w:hint="default" w:hAnsi="Cambria Math" w:eastAsia="宋体" w:cs="Times New Roman"/>
          <w:i w:val="0"/>
          <w:sz w:val="24"/>
        </w:rPr>
      </w:pPr>
      <m:oMathPara>
        <m:oMath>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oMath>
      </m:oMathPara>
    </w:p>
    <w:p w14:paraId="6F6A62C9">
      <w:pPr>
        <w:bidi w:val="0"/>
        <w:ind w:firstLine="480" w:firstLineChars="20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该约束体现车辆承载能力的上限，是判断装载方案是否可行的必要条件。</w:t>
      </w:r>
    </w:p>
    <w:p w14:paraId="1FB0A07B">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.4 正交摆放约束</w:t>
      </w:r>
    </w:p>
    <w:p w14:paraId="0F8CFB4B">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根据附件1，所有货物均要求正交摆放，即货物棱边必须与车厢棱边平行。因此，模型中不考虑任意角度旋转，仅允许有限个离散姿态。其中：标准件可在满足尺寸条件下进行方向变换；易碎件可调整方向，但仍需满足单层放置要求；定向件仅允许一种固定姿态，其长宽高方向不可交换。该约束使问题从连续旋转装箱问题转化为离散姿态选择问题，更符合实际装车作业方式。</w:t>
      </w:r>
    </w:p>
    <w:p w14:paraId="1FC01CB5">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.5 标准件约束</w:t>
      </w:r>
    </w:p>
    <w:p w14:paraId="6121339A">
      <w:pPr>
        <w:bidi w:val="0"/>
        <w:ind w:firstLine="480" w:firstLineChars="200"/>
        <w:rPr>
          <w:rFonts w:hint="default"/>
        </w:rPr>
      </w:pPr>
      <w:r>
        <w:rPr>
          <w:rFonts w:hint="eastAsia" w:ascii="宋体" w:hAnsi="宋体" w:eastAsia="宋体" w:cs="宋体"/>
          <w:sz w:val="24"/>
          <w:szCs w:val="24"/>
        </w:rPr>
        <w:t>标准件为普通长方体纸箱，可任意方向摆放，且允许堆叠，因此其约束相对最弱。对标准件而言，只需满足边界、不重叠、载重和正交摆放等基本约束即可。在实际求解中，标准件通常可用于填充零散空间，提高整体空间利用率。</w:t>
      </w:r>
    </w:p>
    <w:p w14:paraId="652C3874">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.6 易碎件约束</w:t>
      </w:r>
    </w:p>
    <w:p w14:paraId="30CD3252">
      <w:pPr>
        <w:bidi w:val="0"/>
        <w:spacing w:line="240" w:lineRule="auto"/>
        <w:ind w:firstLine="480" w:firstLineChars="200"/>
        <w:rPr>
          <w:sz w:val="24"/>
          <w:szCs w:val="24"/>
        </w:rPr>
      </w:pPr>
      <w:r>
        <w:rPr>
          <w:rFonts w:hint="default"/>
          <w:sz w:val="24"/>
          <w:szCs w:val="24"/>
        </w:rPr>
        <w:t>附件1规定，易碎件仅允许单层放置，不可堆叠，且其底面必须完全贴合车厢底面或其他标准件顶面。因此，易碎件需满足以下条件：不可作为下层承载多层堆叠对象其底部必须有完整支撑面；不得放置在其他易碎件或定向件上方。</w:t>
      </w:r>
    </w:p>
    <w:p w14:paraId="5E70324C">
      <w:pPr>
        <w:bidi w:val="0"/>
        <w:spacing w:line="240" w:lineRule="auto"/>
        <w:ind w:firstLine="480" w:firstLineChars="200"/>
        <w:rPr>
          <w:rFonts w:hint="default" w:ascii="Geist Fallback" w:hAnsi="Geist Fallback" w:eastAsia="Geist Fallback" w:cs="Geist Fallback"/>
          <w:i w:val="0"/>
          <w:iCs w:val="0"/>
          <w:caps w:val="0"/>
          <w:spacing w:val="0"/>
          <w:sz w:val="24"/>
          <w:szCs w:val="24"/>
        </w:rPr>
      </w:pPr>
      <w:r>
        <w:rPr>
          <w:rFonts w:hint="default"/>
          <w:sz w:val="24"/>
          <w:szCs w:val="24"/>
        </w:rPr>
        <w:t>若第 </w:t>
      </w:r>
      <m:oMath>
        <m:r>
          <m:rPr/>
          <w:rPr>
            <w:rFonts w:hint="default" w:ascii="Cambria Math"/>
            <w:sz w:val="24"/>
          </w:rPr>
          <m:t>i</m:t>
        </m:r>
      </m:oMath>
      <w:r>
        <w:rPr>
          <w:rFonts w:hint="default"/>
          <w:sz w:val="24"/>
          <w:szCs w:val="24"/>
        </w:rPr>
        <w:t> 件货物为易碎件，则其放置必须满足底部支撑成立，即其底面要么位于车厢底板上，即</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z</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=0</m:t>
        </m:r>
      </m:oMath>
      <w:r>
        <w:rPr>
          <w:rFonts w:hint="default"/>
          <w:sz w:val="24"/>
          <w:szCs w:val="24"/>
        </w:rPr>
        <w:t>；要么恰好放置在某一标准件顶部，即存在标准件</w:t>
      </w:r>
      <m:oMath>
        <m:r>
          <m:rPr/>
          <w:rPr>
            <w:rFonts w:hint="default" w:ascii="Cambria Math"/>
            <w:sz w:val="24"/>
          </w:rPr>
          <m:t>j</m:t>
        </m:r>
      </m:oMath>
      <w:r>
        <w:rPr>
          <w:rFonts w:hint="default"/>
          <w:sz w:val="24"/>
          <w:szCs w:val="24"/>
        </w:rPr>
        <w:t>使得</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z</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j</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h</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j</m:t>
            </m:r>
            <m:ctrlPr>
              <w:rPr>
                <w:rFonts w:hint="default" w:ascii="Cambria Math" w:hAnsi="Cambria Math" w:cs="Times New Roman"/>
                <w:sz w:val="24"/>
                <w:szCs w:val="24"/>
              </w:rPr>
            </m:ctrlPr>
          </m:sub>
        </m:sSub>
      </m:oMath>
      <w:r>
        <w:rPr>
          <w:rFonts w:hint="eastAsia" w:hAnsi="Cambria Math" w:cs="Times New Roman"/>
          <w:i w:val="0"/>
          <w:sz w:val="24"/>
          <w:lang w:eastAsia="zh-CN"/>
        </w:rPr>
        <w:t>，</w:t>
      </w:r>
      <w:r>
        <w:rPr>
          <w:rFonts w:hint="default"/>
          <w:sz w:val="24"/>
          <w:szCs w:val="24"/>
        </w:rPr>
        <w:t>且易碎件底面在水平投影上被下方标准件完全支撑。这一约束体现了易碎货物在装载中的保护要求，防止其受压或悬空。</w:t>
      </w:r>
    </w:p>
    <w:p w14:paraId="1638A2A3">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.7 定向件约束</w:t>
      </w:r>
    </w:p>
    <w:p w14:paraId="439AABBA">
      <w:pPr>
        <w:bidi w:val="0"/>
        <w:ind w:firstLine="480" w:firstLineChars="200"/>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定向件具有明确方向要求，因此其姿态是固定的，不能像标准件那样任意交换长宽高。若第</w:t>
      </w:r>
      <m:oMath>
        <m:r>
          <m:rPr/>
          <w:rPr>
            <w:rFonts w:hint="default" w:eastAsiaTheme="majorEastAsia" w:cstheme="majorEastAsia"/>
            <w:kern w:val="2"/>
            <w:sz w:val="24"/>
            <w:szCs w:val="24"/>
            <w:lang w:val="en-US" w:eastAsia="zh-CN" w:bidi="ar-SA"/>
          </w:rPr>
          <m:t>i</m:t>
        </m:r>
      </m:oMath>
      <w:r>
        <w:rPr>
          <w:rFonts w:hint="eastAsia" w:asciiTheme="majorEastAsia" w:hAnsiTheme="majorEastAsia" w:eastAsiaTheme="majorEastAsia" w:cstheme="majorEastAsia"/>
          <w:sz w:val="24"/>
          <w:szCs w:val="24"/>
        </w:rPr>
        <w:t>件货物为定向件，则其实际装载尺寸必须与题目给定方向一致。同时，定向件允许堆叠，但上层货物重心不能超出下层货物底面的投影范围。设上层货物</w:t>
      </w:r>
      <m:oMath>
        <m:r>
          <m:rPr/>
          <w:rPr>
            <w:rFonts w:hint="default" w:eastAsiaTheme="majorEastAsia" w:cstheme="majorEastAsia"/>
            <w:kern w:val="2"/>
            <w:sz w:val="24"/>
            <w:szCs w:val="24"/>
            <w:lang w:val="en-US" w:eastAsia="zh-CN" w:bidi="ar-SA"/>
          </w:rPr>
          <m:t>i</m:t>
        </m:r>
      </m:oMath>
      <w:r>
        <w:rPr>
          <w:rFonts w:hint="eastAsia" w:asciiTheme="majorEastAsia" w:hAnsiTheme="majorEastAsia" w:eastAsiaTheme="majorEastAsia" w:cstheme="majorEastAsia"/>
          <w:sz w:val="24"/>
          <w:szCs w:val="24"/>
        </w:rPr>
        <w:t>的重心坐标为</w:t>
      </w:r>
    </w:p>
    <w:p w14:paraId="264E0F37">
      <w:pPr>
        <w:bidi w:val="0"/>
        <w:ind w:firstLine="480" w:firstLineChars="200"/>
        <w:jc w:val="center"/>
        <w:rPr>
          <w:rFonts w:hint="eastAsia" w:asciiTheme="majorEastAsia" w:hAnsiTheme="majorEastAsia" w:eastAsiaTheme="majorEastAsia" w:cstheme="majorEastAsia"/>
          <w:sz w:val="24"/>
          <w:szCs w:val="24"/>
        </w:rPr>
      </w:pPr>
      <m:oMathPara>
        <m:oMath>
          <m:d>
            <m:dPr>
              <m:ctrlPr>
                <w:rPr>
                  <w:rFonts w:hint="default" w:ascii="Cambria Math" w:hAnsi="Cambria Math" w:cs="Times New Roman" w:eastAsiaTheme="majorEastAsia"/>
                  <w:i/>
                  <w:sz w:val="24"/>
                </w:rPr>
              </m:ctrlPr>
            </m:dPr>
            <m:e>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x</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m:t>
              </m:r>
              <m:f>
                <m:fPr>
                  <m:ctrlPr>
                    <w:rPr>
                      <w:rFonts w:hint="default" w:ascii="Cambria Math" w:hAnsi="Cambria Math" w:cs="Times New Roman" w:eastAsiaTheme="majorEastAsia"/>
                      <w:i/>
                      <w:sz w:val="24"/>
                    </w:rPr>
                  </m:ctrlPr>
                </m:fPr>
                <m:num>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l</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ctrlPr>
                    <w:rPr>
                      <w:rFonts w:hint="default" w:ascii="Cambria Math" w:hAnsi="Cambria Math" w:cs="Times New Roman" w:eastAsiaTheme="majorEastAsia"/>
                      <w:sz w:val="24"/>
                    </w:rPr>
                  </m:ctrlPr>
                </m:num>
                <m:den>
                  <m:r>
                    <m:rPr>
                      <m:nor/>
                      <m:sty m:val="p"/>
                    </m:rPr>
                    <w:rPr>
                      <w:rFonts w:hint="default" w:ascii="Times New Roman" w:hAnsi="Times New Roman" w:cs="Times New Roman" w:eastAsiaTheme="majorEastAsia"/>
                      <w:b w:val="0"/>
                      <w:i w:val="0"/>
                      <w:sz w:val="24"/>
                    </w:rPr>
                    <m:t>2</m:t>
                  </m:r>
                  <m:ctrlPr>
                    <w:rPr>
                      <w:rFonts w:hint="default" w:ascii="Cambria Math" w:hAnsi="Cambria Math" w:cs="Times New Roman" w:eastAsiaTheme="majorEastAsia"/>
                      <w:sz w:val="24"/>
                    </w:rPr>
                  </m:ctrlPr>
                </m:den>
              </m:f>
              <m:r>
                <m:rPr>
                  <m:nor/>
                  <m:sty m:val="p"/>
                </m:rPr>
                <w:rPr>
                  <w:rFonts w:hint="default" w:ascii="Times New Roman" w:hAnsi="Times New Roman" w:cs="Times New Roman" w:eastAsiaTheme="majorEastAsia"/>
                  <w:b w:val="0"/>
                  <w:i w:val="0"/>
                  <w:sz w:val="24"/>
                </w:rPr>
                <m:t xml:space="preserve">, </m:t>
              </m:r>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y</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r>
                <m:rPr>
                  <m:nor/>
                  <m:sty m:val="p"/>
                </m:rPr>
                <w:rPr>
                  <w:rFonts w:hint="default" w:ascii="Times New Roman" w:hAnsi="Times New Roman" w:cs="Times New Roman" w:eastAsiaTheme="majorEastAsia"/>
                  <w:b w:val="0"/>
                  <w:i w:val="0"/>
                  <w:sz w:val="24"/>
                </w:rPr>
                <m:t>+</m:t>
              </m:r>
              <m:f>
                <m:fPr>
                  <m:ctrlPr>
                    <w:rPr>
                      <w:rFonts w:hint="default" w:ascii="Cambria Math" w:hAnsi="Cambria Math" w:cs="Times New Roman" w:eastAsiaTheme="majorEastAsia"/>
                      <w:i/>
                      <w:sz w:val="24"/>
                    </w:rPr>
                  </m:ctrlPr>
                </m:fPr>
                <m:num>
                  <m:sSub>
                    <m:sSubPr>
                      <m:ctrlPr>
                        <w:rPr>
                          <w:rFonts w:hint="default" w:ascii="Cambria Math" w:hAnsi="Cambria Math" w:cs="Times New Roman" w:eastAsiaTheme="majorEastAsia"/>
                          <w:sz w:val="24"/>
                        </w:rPr>
                      </m:ctrlPr>
                    </m:sSubPr>
                    <m:e>
                      <m:r>
                        <m:rPr>
                          <m:nor/>
                        </m:rPr>
                        <w:rPr>
                          <w:rFonts w:hint="default" w:ascii="Times New Roman" w:hAnsi="Times New Roman" w:cs="Times New Roman" w:eastAsiaTheme="majorEastAsia"/>
                          <w:i/>
                          <w:sz w:val="24"/>
                        </w:rPr>
                        <m:t>w</m:t>
                      </m:r>
                      <m:ctrlPr>
                        <w:rPr>
                          <w:rFonts w:hint="default" w:ascii="Cambria Math" w:hAnsi="Cambria Math" w:cs="Times New Roman" w:eastAsiaTheme="majorEastAsia"/>
                          <w:sz w:val="24"/>
                        </w:rPr>
                      </m:ctrlPr>
                    </m:e>
                    <m:sub>
                      <m:r>
                        <m:rPr>
                          <m:nor/>
                        </m:rPr>
                        <w:rPr>
                          <w:rFonts w:hint="default" w:ascii="Times New Roman" w:hAnsi="Times New Roman" w:cs="Times New Roman" w:eastAsiaTheme="majorEastAsia"/>
                          <w:i/>
                          <w:sz w:val="24"/>
                        </w:rPr>
                        <m:t>i</m:t>
                      </m:r>
                      <m:ctrlPr>
                        <w:rPr>
                          <w:rFonts w:hint="default" w:ascii="Cambria Math" w:hAnsi="Cambria Math" w:cs="Times New Roman" w:eastAsiaTheme="majorEastAsia"/>
                          <w:sz w:val="24"/>
                        </w:rPr>
                      </m:ctrlPr>
                    </m:sub>
                  </m:sSub>
                  <m:ctrlPr>
                    <w:rPr>
                      <w:rFonts w:hint="default" w:ascii="Cambria Math" w:hAnsi="Cambria Math" w:cs="Times New Roman" w:eastAsiaTheme="majorEastAsia"/>
                      <w:sz w:val="24"/>
                    </w:rPr>
                  </m:ctrlPr>
                </m:num>
                <m:den>
                  <m:r>
                    <m:rPr>
                      <m:nor/>
                      <m:sty m:val="p"/>
                    </m:rPr>
                    <w:rPr>
                      <w:rFonts w:hint="default" w:ascii="Times New Roman" w:hAnsi="Times New Roman" w:cs="Times New Roman" w:eastAsiaTheme="majorEastAsia"/>
                      <w:b w:val="0"/>
                      <w:i w:val="0"/>
                      <w:sz w:val="24"/>
                    </w:rPr>
                    <m:t>2</m:t>
                  </m:r>
                  <m:ctrlPr>
                    <w:rPr>
                      <w:rFonts w:hint="default" w:ascii="Cambria Math" w:hAnsi="Cambria Math" w:cs="Times New Roman" w:eastAsiaTheme="majorEastAsia"/>
                      <w:sz w:val="24"/>
                    </w:rPr>
                  </m:ctrlPr>
                </m:den>
              </m:f>
              <m:ctrlPr>
                <w:rPr>
                  <w:rFonts w:hint="default" w:ascii="Cambria Math" w:hAnsi="Cambria Math" w:cs="Times New Roman" w:eastAsiaTheme="majorEastAsia"/>
                  <w:i/>
                  <w:sz w:val="24"/>
                </w:rPr>
              </m:ctrlPr>
            </m:e>
          </m:d>
        </m:oMath>
      </m:oMathPara>
    </w:p>
    <w:p w14:paraId="1D6A452F">
      <w:pPr>
        <w:bidi w:val="0"/>
        <w:ind w:firstLine="480" w:firstLineChars="200"/>
        <w:jc w:val="center"/>
        <w:rPr>
          <w:rFonts w:hint="eastAsia" w:asciiTheme="majorEastAsia" w:hAnsiTheme="majorEastAsia" w:eastAsiaTheme="majorEastAsia" w:cstheme="majorEastAsia"/>
          <w:sz w:val="24"/>
          <w:szCs w:val="24"/>
        </w:rPr>
      </w:pPr>
    </w:p>
    <w:p w14:paraId="79D6F4D8">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若其放置在下层货物</w:t>
      </w:r>
      <m:oMath>
        <m:r>
          <m:rPr/>
          <w:rPr>
            <w:rFonts w:hint="default" w:cs="宋体"/>
            <w:kern w:val="2"/>
            <w:sz w:val="24"/>
            <w:szCs w:val="24"/>
            <w:lang w:val="en-US" w:eastAsia="zh-CN" w:bidi="ar-SA"/>
          </w:rPr>
          <m:t>j</m:t>
        </m:r>
      </m:oMath>
      <w:r>
        <w:rPr>
          <w:rFonts w:hint="eastAsia" w:ascii="宋体" w:hAnsi="宋体" w:eastAsia="宋体" w:cs="宋体"/>
          <w:sz w:val="24"/>
          <w:szCs w:val="24"/>
        </w:rPr>
        <w:t>上，则必须满足</w:t>
      </w:r>
    </w:p>
    <w:p w14:paraId="4F916EBD">
      <w:pPr>
        <w:bidi w:val="0"/>
        <w:jc w:val="center"/>
        <w:rPr>
          <w:rFonts w:hint="eastAsia" w:hAnsi="Cambria Math" w:eastAsia="宋体" w:cs="Times New Roman"/>
          <w:i w:val="0"/>
          <w:sz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l</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p w14:paraId="5E75DEA1">
      <w:pPr>
        <w:bidi w:val="0"/>
        <w:jc w:val="center"/>
        <w:rPr>
          <w:rFonts w:hint="eastAsia" w:ascii="宋体" w:hAnsi="宋体" w:eastAsia="宋体" w:cs="宋体"/>
          <w:sz w:val="24"/>
          <w:szCs w:val="24"/>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m:oMathPara>
    </w:p>
    <w:p w14:paraId="75C239B0">
      <w:pPr>
        <w:bidi w:val="0"/>
        <w:jc w:val="both"/>
        <w:rPr>
          <w:rFonts w:hint="eastAsia" w:ascii="宋体" w:hAnsi="宋体" w:eastAsia="宋体" w:cs="宋体"/>
          <w:sz w:val="24"/>
          <w:szCs w:val="24"/>
        </w:rPr>
      </w:pPr>
    </w:p>
    <w:p w14:paraId="7E21A1D6">
      <w:pPr>
        <w:bidi w:val="0"/>
        <w:ind w:firstLine="480" w:firstLineChars="200"/>
        <w:rPr>
          <w:rFonts w:hint="eastAsia"/>
          <w:sz w:val="24"/>
          <w:szCs w:val="24"/>
        </w:rPr>
      </w:pPr>
      <w:r>
        <w:rPr>
          <w:sz w:val="24"/>
          <w:szCs w:val="24"/>
        </w:rPr>
        <w:t>该约束保证上层货物的重心落在下层支撑面的投影范围之内，从而保证装载稳定性，避免出现偏载或翻倒风险。</w:t>
      </w:r>
    </w:p>
    <w:p w14:paraId="3E8DFBAC">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.8 承重约束</w:t>
      </w:r>
    </w:p>
    <w:p w14:paraId="7BE0405C">
      <w:pPr>
        <w:bidi w:val="0"/>
        <w:ind w:firstLine="480" w:firstLineChars="200"/>
        <w:rPr>
          <w:rFonts w:hint="default"/>
          <w:sz w:val="24"/>
          <w:szCs w:val="24"/>
        </w:rPr>
      </w:pPr>
      <w:r>
        <w:rPr>
          <w:rFonts w:hint="default"/>
          <w:sz w:val="24"/>
          <w:szCs w:val="24"/>
        </w:rPr>
        <w:t xml:space="preserve">根据附件1，下层货物承重上限为 </w:t>
      </w:r>
      <m:oMath>
        <m:r>
          <m:rPr>
            <m:nor/>
            <m:sty m:val="p"/>
          </m:rPr>
          <w:rPr>
            <w:rFonts w:hint="default" w:ascii="Times New Roman" w:hAnsi="Times New Roman" w:cs="Times New Roman"/>
            <w:b w:val="0"/>
            <w:i w:val="0"/>
            <w:sz w:val="24"/>
          </w:rPr>
          <m:t>500</m:t>
        </m:r>
        <m:r>
          <m:rPr>
            <m:nor/>
          </m:rPr>
          <w:rPr>
            <w:rFonts w:hint="default" w:ascii="Times New Roman" w:hAnsi="Times New Roman" w:cs="Times New Roman"/>
            <w:i/>
            <w:sz w:val="24"/>
          </w:rPr>
          <m:t>kg</m:t>
        </m:r>
      </m:oMath>
      <w:r>
        <w:rPr>
          <w:rFonts w:hint="default"/>
          <w:sz w:val="24"/>
          <w:szCs w:val="24"/>
        </w:rPr>
        <w:t>/平方米。因此，当某件货物上方放置其他货物时，传递到下层支撑面的单位面积载荷不能超过该阈值。设上层货物施加在下层支撑面上的总重量为</w:t>
      </w:r>
      <m:oMath>
        <m:r>
          <m:rPr>
            <m:nor/>
            <m:sty m:val="p"/>
          </m:rPr>
          <w:rPr>
            <w:rFonts w:hint="default" w:ascii="Times New Roman" w:hAnsi="Times New Roman" w:cs="Times New Roman"/>
            <w:b w:val="0"/>
            <w:i w:val="0"/>
            <w:sz w:val="24"/>
          </w:rPr>
          <m:t> </m:t>
        </m:r>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top</m:t>
            </m:r>
            <m:ctrlPr>
              <w:rPr>
                <w:rFonts w:hint="default" w:ascii="Cambria Math" w:hAnsi="Cambria Math" w:cs="Times New Roman"/>
                <w:sz w:val="24"/>
              </w:rPr>
            </m:ctrlPr>
          </m:sub>
        </m:sSub>
      </m:oMath>
      <w:r>
        <w:rPr>
          <w:rFonts w:hint="default"/>
          <w:sz w:val="24"/>
          <w:szCs w:val="24"/>
        </w:rPr>
        <w:t>，接触支撑面积为</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support</m:t>
            </m:r>
            <m:ctrlPr>
              <w:rPr>
                <w:rFonts w:hint="default" w:ascii="Cambria Math" w:hAnsi="Cambria Math" w:cs="Times New Roman"/>
                <w:sz w:val="24"/>
              </w:rPr>
            </m:ctrlPr>
          </m:sub>
        </m:sSub>
      </m:oMath>
      <w:r>
        <w:rPr>
          <w:rFonts w:hint="default"/>
          <w:sz w:val="24"/>
          <w:szCs w:val="24"/>
        </w:rPr>
        <w:t>，则必须满足：</w:t>
      </w:r>
    </w:p>
    <w:p w14:paraId="35B0681B">
      <w:pPr>
        <w:bidi w:val="0"/>
        <w:ind w:firstLine="480" w:firstLineChars="200"/>
        <w:jc w:val="center"/>
        <w:rPr>
          <w:rFonts w:hint="default"/>
          <w:sz w:val="24"/>
          <w:szCs w:val="24"/>
        </w:rPr>
      </w:pPr>
      <m:oMathPara>
        <m:oMath>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top</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S</m:t>
                  </m:r>
                  <m:ctrlPr>
                    <w:rPr>
                      <w:rFonts w:hint="default" w:ascii="Cambria Math" w:hAnsi="Cambria Math" w:cs="Times New Roman"/>
                      <w:sz w:val="24"/>
                    </w:rPr>
                  </m:ctrlPr>
                </m:e>
                <m:sub>
                  <m:r>
                    <m:rPr>
                      <m:nor/>
                    </m:rPr>
                    <w:rPr>
                      <w:rFonts w:hint="default" w:ascii="Times New Roman" w:hAnsi="Times New Roman" w:cs="Times New Roman"/>
                      <w:i/>
                      <w:sz w:val="24"/>
                    </w:rPr>
                    <m:t>support</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b w:val="0"/>
              <w:i w:val="0"/>
              <w:sz w:val="24"/>
            </w:rPr>
            <m:t>≤500</m:t>
          </m:r>
        </m:oMath>
      </m:oMathPara>
    </w:p>
    <w:p w14:paraId="73BD65C8">
      <w:pPr>
        <w:bidi w:val="0"/>
        <w:ind w:firstLine="480" w:firstLineChars="200"/>
        <w:jc w:val="center"/>
        <w:rPr>
          <w:rFonts w:hint="default"/>
          <w:sz w:val="24"/>
          <w:szCs w:val="24"/>
        </w:rPr>
      </w:pPr>
    </w:p>
    <w:p w14:paraId="194DA38E">
      <w:pPr>
        <w:bidi w:val="0"/>
        <w:spacing w:line="240" w:lineRule="auto"/>
        <w:ind w:firstLine="480" w:firstLineChars="200"/>
        <w:jc w:val="left"/>
        <w:rPr>
          <w:rFonts w:hint="eastAsia" w:ascii="宋体" w:hAnsi="宋体" w:eastAsia="宋体" w:cs="宋体"/>
          <w:sz w:val="24"/>
          <w:szCs w:val="24"/>
        </w:rPr>
      </w:pPr>
      <w:r>
        <w:rPr>
          <w:rFonts w:hint="eastAsia" w:ascii="宋体" w:hAnsi="宋体" w:eastAsia="宋体" w:cs="宋体"/>
          <w:i w:val="0"/>
          <w:iCs w:val="0"/>
          <w:caps w:val="0"/>
          <w:spacing w:val="0"/>
          <w:sz w:val="24"/>
          <w:szCs w:val="24"/>
        </w:rPr>
        <w:t xml:space="preserve">需要说明的是，由于题目中的尺寸单位为 </w:t>
      </w:r>
      <m:oMath>
        <m:r>
          <m:rPr>
            <m:nor/>
          </m:rPr>
          <w:rPr>
            <w:rFonts w:hint="default" w:ascii="Times New Roman" w:hAnsi="Times New Roman" w:eastAsia="宋体" w:cs="Times New Roman"/>
            <w:i/>
            <w:sz w:val="24"/>
          </w:rPr>
          <m:t>cm</m:t>
        </m:r>
      </m:oMath>
      <w:r>
        <w:rPr>
          <w:rFonts w:hint="eastAsia" w:ascii="宋体" w:hAnsi="宋体" w:eastAsia="宋体" w:cs="宋体"/>
          <w:i w:val="0"/>
          <w:iCs w:val="0"/>
          <w:caps w:val="0"/>
          <w:spacing w:val="0"/>
          <w:sz w:val="24"/>
          <w:szCs w:val="24"/>
        </w:rPr>
        <w:t>，因此若直接代入计算，应先将面积单位统一换算为平方米后再进行判断。该约束用于保证堆叠方案在受力上可行。</w:t>
      </w:r>
    </w:p>
    <w:p w14:paraId="246AD934">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2</w:t>
      </w:r>
      <w:r>
        <w:rPr>
          <w:rFonts w:hint="eastAsia" w:ascii="黑体" w:hAnsi="黑体" w:eastAsia="黑体" w:cs="黑体"/>
          <w:sz w:val="24"/>
          <w:szCs w:val="24"/>
        </w:rPr>
        <w:t>.9 全部货物必须被装载约束</w:t>
      </w:r>
    </w:p>
    <w:p w14:paraId="05DDDDBD">
      <w:pPr>
        <w:bidi w:val="0"/>
        <w:ind w:firstLine="480" w:firstLineChars="200"/>
        <w:rPr>
          <w:rFonts w:hint="default"/>
          <w:sz w:val="24"/>
          <w:szCs w:val="24"/>
        </w:rPr>
      </w:pPr>
      <w:r>
        <w:rPr>
          <w:rFonts w:hint="default"/>
          <w:sz w:val="24"/>
          <w:szCs w:val="24"/>
        </w:rPr>
        <w:t>在最少车辆数模型中，所有待运货物必须被完整运输，不允许遗漏、拆分或重复装载。也就是说，每件货物必须且只能被分配到一辆车中。该约束保证了运输任务的完整性。</w:t>
      </w:r>
    </w:p>
    <w:p w14:paraId="27859B67">
      <w:pPr>
        <w:bidi w:val="0"/>
        <w:jc w:val="left"/>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3</w:t>
      </w:r>
      <w:r>
        <w:rPr>
          <w:rFonts w:hint="eastAsia" w:ascii="黑体" w:hAnsi="黑体" w:eastAsia="黑体" w:cs="黑体"/>
          <w:sz w:val="24"/>
          <w:szCs w:val="24"/>
        </w:rPr>
        <w:t xml:space="preserve"> 目标函数建立</w:t>
      </w:r>
    </w:p>
    <w:p w14:paraId="425417B9">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3</w:t>
      </w:r>
      <w:r>
        <w:rPr>
          <w:rFonts w:hint="eastAsia" w:ascii="黑体" w:hAnsi="黑体" w:eastAsia="黑体" w:cs="黑体"/>
          <w:sz w:val="24"/>
          <w:szCs w:val="24"/>
        </w:rPr>
        <w:t>.1 单车综合满载率最大模型</w:t>
      </w:r>
    </w:p>
    <w:p w14:paraId="19C499F7">
      <w:pPr>
        <w:bidi w:val="0"/>
        <w:ind w:firstLine="480" w:firstLineChars="200"/>
        <w:rPr>
          <w:rFonts w:hint="default"/>
          <w:sz w:val="24"/>
          <w:szCs w:val="24"/>
        </w:rPr>
      </w:pPr>
      <w:r>
        <w:rPr>
          <w:rFonts w:hint="default"/>
          <w:sz w:val="24"/>
          <w:szCs w:val="24"/>
        </w:rPr>
        <w:t>对于固定车型，在满足上述各类约束的前提下，选择合适的货物组合、摆放姿态和空间位置，使单辆车的综合满载率最高。其目标函数写为：</w:t>
      </w:r>
    </w:p>
    <w:p w14:paraId="5D8FEF49">
      <w:pPr>
        <w:bidi w:val="0"/>
        <w:ind w:firstLine="480" w:firstLineChars="200"/>
        <w:jc w:val="center"/>
        <w:rPr>
          <w:rFonts w:hint="default" w:hAnsi="Cambria Math" w:cs="Times New Roman"/>
          <w:i w:val="0"/>
          <w:sz w:val="24"/>
        </w:rPr>
      </w:pPr>
      <m:oMathPara>
        <m:oMath>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fName>
            <m:e>
              <m:r>
                <m:rPr>
                  <m:nor/>
                </m:rPr>
                <w:rPr>
                  <w:rFonts w:hint="default" w:ascii="Times New Roman" w:hAnsi="Times New Roman" w:cs="Times New Roman"/>
                  <w:i/>
                  <w:sz w:val="24"/>
                </w:rPr>
                <m:t>η</m:t>
              </m:r>
              <m:ctrlPr>
                <w:rPr>
                  <w:rFonts w:hint="default" w:ascii="Cambria Math" w:hAnsi="Cambria Math" w:cs="Times New Roman"/>
                  <w:sz w:val="24"/>
                </w:rPr>
              </m:ctrlPr>
            </m:e>
          </m:func>
          <m:r>
            <m:rPr>
              <m:nor/>
              <m:sty m:val="p"/>
            </m:rPr>
            <w:rPr>
              <w:rFonts w:hint="default" w:ascii="Times New Roman" w:hAnsi="Times New Roman" w:cs="Times New Roman"/>
              <w:b w:val="0"/>
              <w:i w:val="0"/>
              <w:sz w:val="24"/>
            </w:rPr>
            <m:t>=</m:t>
          </m:r>
          <m:func>
            <m:funcPr>
              <m:ctrlPr>
                <w:rPr>
                  <w:rFonts w:hint="default" w:ascii="Cambria Math" w:hAnsi="Cambria Math" w:cs="Times New Roman"/>
                  <w:sz w:val="24"/>
                </w:rPr>
              </m:ctrlPr>
            </m:funcPr>
            <m:fName>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fName>
            <m:e>
              <m:f>
                <m:fPr>
                  <m:ctrlPr>
                    <w:rPr>
                      <w:rFonts w:hint="default" w:ascii="Cambria Math" w:hAnsi="Cambria Math" w:cs="Times New Roman"/>
                      <w:i/>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v</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ctrlPr>
                    <w:rPr>
                      <w:rFonts w:hint="default" w:ascii="Cambria Math" w:hAnsi="Cambria Math" w:cs="Times New Roman"/>
                      <w:sz w:val="24"/>
                    </w:rPr>
                  </m:ctrlPr>
                </m:num>
                <m:den>
                  <m:r>
                    <m:rPr>
                      <m:nor/>
                      <m:sty m:val="p"/>
                    </m:rPr>
                    <w:rPr>
                      <w:rFonts w:hint="default" w:ascii="Times New Roman" w:hAnsi="Times New Roman" w:cs="Times New Roman"/>
                      <w:b w:val="0"/>
                      <w:i w:val="0"/>
                      <w:sz w:val="24"/>
                    </w:rPr>
                    <m:t>2</m:t>
                  </m:r>
                  <m:ctrlPr>
                    <w:rPr>
                      <w:rFonts w:hint="default" w:ascii="Cambria Math" w:hAnsi="Cambria Math" w:cs="Times New Roman"/>
                      <w:sz w:val="24"/>
                    </w:rPr>
                  </m:ctrlPr>
                </m:den>
              </m:f>
              <m:ctrlPr>
                <w:rPr>
                  <w:rFonts w:hint="default" w:ascii="Cambria Math" w:hAnsi="Cambria Math" w:cs="Times New Roman"/>
                  <w:i/>
                  <w:sz w:val="24"/>
                </w:rPr>
              </m:ctrlPr>
            </m:e>
          </m:func>
        </m:oMath>
      </m:oMathPara>
    </w:p>
    <w:p w14:paraId="1E589293">
      <w:pPr>
        <w:bidi w:val="0"/>
        <w:ind w:firstLine="480" w:firstLineChars="200"/>
        <w:jc w:val="both"/>
        <w:rPr>
          <w:rFonts w:hint="eastAsia" w:hAnsi="Cambria Math" w:cs="Times New Roman"/>
          <w:i w:val="0"/>
          <w:sz w:val="24"/>
          <w:lang w:val="en-US" w:eastAsia="zh-CN"/>
        </w:rPr>
      </w:pPr>
      <w:r>
        <w:rPr>
          <w:rFonts w:hint="eastAsia" w:hAnsi="Cambria Math" w:cs="Times New Roman"/>
          <w:i w:val="0"/>
          <w:sz w:val="24"/>
          <w:lang w:val="en-US" w:eastAsia="zh-CN"/>
        </w:rPr>
        <w:t>其中</w:t>
      </w:r>
    </w:p>
    <w:p w14:paraId="22359C80">
      <w:pPr>
        <w:bidi w:val="0"/>
        <w:ind w:firstLine="480" w:firstLineChars="200"/>
        <w:jc w:val="center"/>
        <w:rPr>
          <w:rFonts w:hint="eastAsia" w:hAnsi="Cambria Math" w:cs="Times New Roman"/>
          <w:i w:val="0"/>
          <w:sz w:val="24"/>
          <w:lang w:eastAsia="zh-CN"/>
        </w:rPr>
      </w:pP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v</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nary>
              <m:naryPr>
                <m:chr m:val="∑"/>
                <m:limLoc m:val="undOvr"/>
                <m:ctrlPr>
                  <w:rPr>
                    <w:rFonts w:hint="default" w:ascii="Cambria Math" w:hAnsi="Cambria Math" w:cs="Times New Roman"/>
                    <w:i/>
                    <w:sz w:val="24"/>
                  </w:rPr>
                </m:ctrlPr>
              </m:naryPr>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rPr>
                  <w:rPr>
                    <w:rFonts w:hint="default" w:ascii="Times New Roman" w:hAnsi="Times New Roman" w:cs="Times New Roman"/>
                    <w:i/>
                    <w:sz w:val="24"/>
                  </w:rPr>
                  <m:t>n</m:t>
                </m:r>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i/>
                <w:sz w:val="24"/>
              </w:rPr>
            </m:ctrlPr>
          </m:num>
          <m:den>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W</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H</m:t>
            </m:r>
            <m:ctrlPr>
              <w:rPr>
                <w:rFonts w:hint="default" w:ascii="Cambria Math" w:hAnsi="Cambria Math" w:cs="Times New Roman"/>
                <w:i/>
                <w:sz w:val="24"/>
              </w:rPr>
            </m:ctrlPr>
          </m:den>
        </m:f>
      </m:oMath>
      <w:r>
        <w:rPr>
          <w:rFonts w:hint="eastAsia" w:hAnsi="Cambria Math" w:cs="Times New Roman"/>
          <w:i w:val="0"/>
          <w:sz w:val="24"/>
          <w:lang w:eastAsia="zh-CN"/>
        </w:rPr>
        <w:t>，</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w</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f>
          <m:fPr>
            <m:ctrlPr>
              <w:rPr>
                <w:rFonts w:hint="default" w:ascii="Cambria Math" w:hAnsi="Cambria Math" w:cs="Times New Roman"/>
                <w:i/>
                <w:sz w:val="24"/>
              </w:rPr>
            </m:ctrlPr>
          </m:fPr>
          <m:num>
            <m:nary>
              <m:naryPr>
                <m:chr m:val="∑"/>
                <m:limLoc m:val="undOvr"/>
                <m:ctrlPr>
                  <w:rPr>
                    <w:rFonts w:hint="default" w:ascii="Cambria Math" w:hAnsi="Cambria Math" w:cs="Times New Roman"/>
                    <w:i/>
                    <w:sz w:val="24"/>
                  </w:rPr>
                </m:ctrlPr>
              </m:naryPr>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rPr>
                  <w:rPr>
                    <w:rFonts w:hint="default" w:ascii="Times New Roman" w:hAnsi="Times New Roman" w:cs="Times New Roman"/>
                    <w:i/>
                    <w:sz w:val="24"/>
                  </w:rPr>
                  <m:t>n</m:t>
                </m:r>
                <m:ctrlPr>
                  <w:rPr>
                    <w:rFonts w:hint="default" w:ascii="Cambria Math" w:hAnsi="Cambria Math" w:cs="Times New Roman"/>
                    <w:sz w:val="24"/>
                  </w:rPr>
                </m:ctrlPr>
              </m:sup>
              <m:e>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ctrlPr>
                  <w:rPr>
                    <w:rFonts w:hint="default" w:ascii="Cambria Math" w:hAnsi="Cambria Math" w:cs="Times New Roman"/>
                    <w:sz w:val="24"/>
                  </w:rPr>
                </m:ctrlPr>
              </m:e>
            </m:nary>
            <m:ctrlPr>
              <w:rPr>
                <w:rFonts w:hint="default" w:ascii="Cambria Math" w:hAnsi="Cambria Math" w:cs="Times New Roman"/>
                <w:i/>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max</m:t>
                </m:r>
                <m:ctrlPr>
                  <w:rPr>
                    <w:rFonts w:hint="default" w:ascii="Cambria Math" w:hAnsi="Cambria Math" w:cs="Times New Roman"/>
                    <w:sz w:val="24"/>
                  </w:rPr>
                </m:ctrlPr>
              </m:sub>
            </m:sSub>
            <m:ctrlPr>
              <w:rPr>
                <w:rFonts w:hint="default" w:ascii="Cambria Math" w:hAnsi="Cambria Math" w:cs="Times New Roman"/>
                <w:sz w:val="24"/>
              </w:rPr>
            </m:ctrlPr>
          </m:den>
        </m:f>
      </m:oMath>
    </w:p>
    <w:p w14:paraId="61B9C9C3">
      <w:pPr>
        <w:pStyle w:val="1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480" w:firstLineChars="20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考虑到仅以空间利用率评价会忽略载重能力的使用情况，而仅以载重利用率评价又可能导致空间浪费，因此本文采用两者的等权平均构造综合满载率：</w:t>
      </w:r>
    </w:p>
    <w:p w14:paraId="45B24B40">
      <w:pPr>
        <w:pStyle w:val="1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480" w:firstLineChars="200"/>
        <w:jc w:val="center"/>
        <w:rPr>
          <w:rFonts w:hint="default" w:hAnsi="Cambria Math" w:eastAsia="宋体" w:cs="Times New Roman"/>
          <w:i w:val="0"/>
          <w:sz w:val="24"/>
        </w:rPr>
      </w:pPr>
      <m:oMathPara>
        <m:oMath>
          <m:r>
            <m:rPr>
              <m:nor/>
            </m:rPr>
            <w:rPr>
              <w:rFonts w:hint="default" w:ascii="Times New Roman" w:hAnsi="Times New Roman" w:eastAsia="宋体" w:cs="Times New Roman"/>
              <w:i/>
              <w:sz w:val="24"/>
            </w:rPr>
            <m:t>η</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η</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η</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w</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den>
          </m:f>
        </m:oMath>
      </m:oMathPara>
    </w:p>
    <w:p w14:paraId="6CD1E7FA">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3</w:t>
      </w:r>
      <w:r>
        <w:rPr>
          <w:rFonts w:hint="eastAsia" w:ascii="黑体" w:hAnsi="黑体" w:eastAsia="黑体" w:cs="黑体"/>
          <w:sz w:val="24"/>
          <w:szCs w:val="24"/>
        </w:rPr>
        <w:t>.2 最少车辆数模型</w:t>
      </w:r>
    </w:p>
    <w:p w14:paraId="565FEC55">
      <w:pPr>
        <w:bidi w:val="0"/>
        <w:ind w:firstLine="480" w:firstLineChars="200"/>
        <w:jc w:val="center"/>
        <w:rPr>
          <w:rFonts w:hint="eastAsia" w:ascii="宋体" w:hAnsi="宋体" w:eastAsia="宋体" w:cs="宋体"/>
          <w:sz w:val="24"/>
          <w:szCs w:val="24"/>
        </w:rPr>
      </w:pPr>
      <w:r>
        <w:rPr>
          <w:rFonts w:hint="eastAsia" w:ascii="宋体" w:hAnsi="宋体" w:eastAsia="宋体" w:cs="宋体"/>
          <w:sz w:val="24"/>
          <w:szCs w:val="24"/>
        </w:rPr>
        <w:t>对于固定车型，设完成全部货物运输所需车辆总数为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ve</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icle</m:t>
            </m:r>
            <m:ctrlPr>
              <w:rPr>
                <w:rFonts w:hint="default" w:ascii="Cambria Math" w:hAnsi="Cambria Math" w:eastAsia="宋体" w:cs="Times New Roman"/>
                <w:sz w:val="24"/>
              </w:rPr>
            </m:ctrlPr>
          </m:sub>
        </m:sSub>
      </m:oMath>
      <w:r>
        <w:rPr>
          <w:rFonts w:hint="eastAsia" w:ascii="宋体" w:hAnsi="宋体" w:eastAsia="宋体" w:cs="宋体"/>
          <w:sz w:val="24"/>
          <w:szCs w:val="24"/>
        </w:rPr>
        <w:t>，则第二个目标为：</w:t>
      </w:r>
      <m:oMath>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fName>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ve</m:t>
                </m:r>
                <m:r>
                  <m:rPr>
                    <m:nor/>
                    <m:sty m:val="p"/>
                  </m:rPr>
                  <w:rPr>
                    <w:rFonts w:hint="default" w:ascii="Times New Roman" w:hAnsi="Times New Roman" w:eastAsia="宋体" w:cs="Times New Roman"/>
                    <w:b w:val="0"/>
                    <w:i w:val="0"/>
                    <w:sz w:val="24"/>
                  </w:rPr>
                  <m:t>h</m:t>
                </m:r>
                <m:r>
                  <m:rPr>
                    <m:nor/>
                  </m:rPr>
                  <w:rPr>
                    <w:rFonts w:hint="default" w:ascii="Times New Roman" w:hAnsi="Times New Roman" w:eastAsia="宋体" w:cs="Times New Roman"/>
                    <w:i/>
                    <w:sz w:val="24"/>
                  </w:rPr>
                  <m:t>icle</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func>
      </m:oMath>
    </w:p>
    <w:p w14:paraId="619A9162">
      <w:pPr>
        <w:bidi w:val="0"/>
        <w:ind w:firstLine="480" w:firstLineChars="200"/>
        <w:rPr>
          <w:rFonts w:hint="eastAsia" w:ascii="宋体" w:hAnsi="宋体" w:eastAsia="宋体" w:cs="宋体"/>
          <w:sz w:val="24"/>
          <w:szCs w:val="24"/>
        </w:rPr>
      </w:pPr>
    </w:p>
    <w:p w14:paraId="2D745F56">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同时要求每辆车内部装载方案均满足边界、不重叠、载重、类别、承重和安全间隙等全部约束，并保证全部货物均被运输完成。该模型从整体运输组织角度出发，更关注车辆资源的节约。</w:t>
      </w:r>
    </w:p>
    <w:p w14:paraId="165762C1">
      <w:pPr>
        <w:bidi w:val="0"/>
        <w:ind w:firstLine="480" w:firstLineChars="200"/>
        <w:rPr>
          <w:rFonts w:hint="default" w:ascii="宋体" w:hAnsi="宋体" w:eastAsia="宋体" w:cs="宋体"/>
          <w:sz w:val="24"/>
          <w:szCs w:val="24"/>
        </w:rPr>
      </w:pPr>
    </w:p>
    <w:p w14:paraId="0161CCD8">
      <w:pPr>
        <w:bidi w:val="0"/>
        <w:rPr>
          <w:rFonts w:hint="eastAsia" w:ascii="黑体" w:hAnsi="黑体" w:eastAsia="黑体" w:cs="黑体"/>
          <w:sz w:val="24"/>
          <w:szCs w:val="24"/>
        </w:rPr>
      </w:pPr>
      <w:r>
        <w:rPr>
          <w:rFonts w:hint="eastAsia" w:ascii="黑体" w:hAnsi="黑体" w:eastAsia="黑体" w:cs="黑体"/>
          <w:sz w:val="24"/>
          <w:szCs w:val="24"/>
        </w:rPr>
        <w:t>5.</w:t>
      </w:r>
      <w:r>
        <w:rPr>
          <w:rFonts w:hint="eastAsia" w:ascii="黑体" w:hAnsi="黑体" w:eastAsia="黑体" w:cs="黑体"/>
          <w:sz w:val="24"/>
          <w:szCs w:val="24"/>
          <w:lang w:val="en-US" w:eastAsia="zh-CN"/>
        </w:rPr>
        <w:t>4</w:t>
      </w:r>
      <w:r>
        <w:rPr>
          <w:rFonts w:hint="eastAsia" w:ascii="黑体" w:hAnsi="黑体" w:eastAsia="黑体" w:cs="黑体"/>
          <w:sz w:val="24"/>
          <w:szCs w:val="24"/>
        </w:rPr>
        <w:t xml:space="preserve"> 求解方法设计</w:t>
      </w:r>
    </w:p>
    <w:p w14:paraId="3BC25451">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由于本题属于典型 NP 难问题，随着货物件数增加，可能的装载顺序、姿态组合和空间放置方式会呈指数级增长，难以通过穷举法在合理时间内求得全局最优解。因此，本文采用遗传算法结合启发式装载策略进行求解。</w:t>
      </w:r>
    </w:p>
    <w:p w14:paraId="12118DD9">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具体而言，先将货物编码为染色体序列，染色体中基因的位置表示货物的装载优先顺序。对每一个个体，按照其给定顺序依次尝试放置货物，并结合货物类型判断是否满足姿态限制、堆叠限制和支撑条件。在放置过程中，优先寻找满足约束的可行位置；若当前车辆无法继续装入，则在多车模型中开启下一辆车继续装载。</w:t>
      </w:r>
    </w:p>
    <w:p w14:paraId="32EF87D9">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对于单车综合满载率问题，以综合满载率</w:t>
      </w:r>
      <m:oMath>
        <m:r>
          <m:rPr>
            <m:nor/>
          </m:rPr>
          <w:rPr>
            <w:rFonts w:hint="default" w:ascii="Times New Roman" w:hAnsi="Times New Roman" w:eastAsia="宋体" w:cs="Times New Roman"/>
            <w:i/>
            <w:sz w:val="24"/>
          </w:rPr>
          <m:t>η</m:t>
        </m:r>
      </m:oMath>
      <w:r>
        <w:rPr>
          <w:rFonts w:hint="eastAsia" w:ascii="宋体" w:hAnsi="宋体" w:eastAsia="宋体" w:cs="宋体"/>
          <w:sz w:val="24"/>
          <w:szCs w:val="24"/>
        </w:rPr>
        <w:t>作为适应度函数；对于最少车辆数问题，以车辆数作为主目标，并结合装载利用率作为辅助评价。算法通过选择、交叉和变异不断更新种群，使个体质量逐步提升，最终得到较优装载方案。</w:t>
      </w:r>
    </w:p>
    <w:p w14:paraId="015ADDC4">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采用该方法的原因在于：一方面，遗传算法具有较强的全局搜索能力，适合处理离散组合优化问题；另一方面，结合启发式放置规则后，能够有效提高可行解生成效率，减少无效搜索。</w:t>
      </w:r>
    </w:p>
    <w:p w14:paraId="13F313CB">
      <w:pPr>
        <w:bidi w:val="0"/>
        <w:ind w:firstLine="480" w:firstLineChars="200"/>
        <w:rPr>
          <w:rFonts w:hint="eastAsia" w:ascii="宋体" w:hAnsi="宋体" w:eastAsia="宋体" w:cs="宋体"/>
          <w:sz w:val="24"/>
          <w:szCs w:val="24"/>
        </w:rPr>
      </w:pPr>
    </w:p>
    <w:p w14:paraId="75B6483A">
      <w:pPr>
        <w:bidi w:val="0"/>
        <w:rPr>
          <w:rFonts w:hint="eastAsia" w:ascii="黑体" w:hAnsi="黑体" w:eastAsia="黑体" w:cs="黑体"/>
          <w:sz w:val="24"/>
          <w:szCs w:val="24"/>
        </w:rPr>
      </w:pPr>
      <w:r>
        <w:rPr>
          <w:rFonts w:hint="eastAsia" w:ascii="黑体" w:hAnsi="黑体" w:eastAsia="黑体" w:cs="黑体"/>
          <w:sz w:val="24"/>
          <w:szCs w:val="24"/>
        </w:rPr>
        <w:t>5.6 求解结果与分析</w:t>
      </w:r>
    </w:p>
    <w:p w14:paraId="3AD07889">
      <w:pPr>
        <w:bidi w:val="0"/>
        <w:ind w:firstLine="480" w:firstLineChars="200"/>
        <w:rPr>
          <w:rFonts w:hint="default"/>
          <w:sz w:val="24"/>
          <w:szCs w:val="24"/>
        </w:rPr>
      </w:pPr>
      <w:r>
        <w:rPr>
          <w:rFonts w:hint="default"/>
          <w:sz w:val="24"/>
          <w:szCs w:val="24"/>
        </w:rPr>
        <w:t>根据模型求解结果，分别得到两种车型在“单车综合满载率最大”和“完成全部货物运输所需车辆数最少”两类目标下的优化结果。为便于比较分析，现将结果整理如下。</w:t>
      </w:r>
    </w:p>
    <w:p w14:paraId="4EEB5517">
      <w:pPr>
        <w:bidi w:val="0"/>
        <w:ind w:firstLine="480" w:firstLineChars="200"/>
        <w:rPr>
          <w:rFonts w:hint="default"/>
          <w:sz w:val="24"/>
          <w:szCs w:val="24"/>
        </w:rPr>
      </w:pPr>
    </w:p>
    <w:p w14:paraId="742C64DB">
      <w:pPr>
        <w:bidi w:val="0"/>
        <w:jc w:val="center"/>
        <w:rPr>
          <w:rFonts w:hint="default"/>
          <w:sz w:val="24"/>
          <w:szCs w:val="24"/>
        </w:rPr>
      </w:pPr>
      <w:r>
        <w:rPr>
          <w:rFonts w:hint="eastAsia" w:ascii="宋体" w:hAnsi="宋体" w:eastAsia="宋体" w:cs="宋体"/>
          <w:sz w:val="24"/>
          <w:szCs w:val="24"/>
        </w:rPr>
        <w:t>表1 单车综合满载率最大结果</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321"/>
        <w:gridCol w:w="2322"/>
        <w:gridCol w:w="2322"/>
      </w:tblGrid>
      <w:tr w14:paraId="54021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auto" w:sz="12" w:space="0"/>
              <w:left w:val="nil"/>
              <w:bottom w:val="single" w:color="auto" w:sz="8" w:space="0"/>
              <w:right w:val="nil"/>
            </w:tcBorders>
            <w:vAlign w:val="center"/>
          </w:tcPr>
          <w:p w14:paraId="28975570">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lang w:eastAsia="zh-CN"/>
              </w:rPr>
            </w:pPr>
            <w:r>
              <w:rPr>
                <w:rFonts w:hint="eastAsia" w:ascii="宋体" w:hAnsi="宋体" w:eastAsia="宋体" w:cs="宋体"/>
                <w:b w:val="0"/>
                <w:bCs w:val="0"/>
                <w:i w:val="0"/>
                <w:iCs w:val="0"/>
                <w:caps w:val="0"/>
                <w:spacing w:val="0"/>
                <w:kern w:val="0"/>
                <w:sz w:val="24"/>
                <w:szCs w:val="24"/>
                <w:lang w:val="en-US" w:eastAsia="zh-CN" w:bidi="ar"/>
              </w:rPr>
              <w:t>车型</w:t>
            </w:r>
          </w:p>
        </w:tc>
        <w:tc>
          <w:tcPr>
            <w:tcW w:w="2321" w:type="dxa"/>
            <w:tcBorders>
              <w:top w:val="single" w:color="auto" w:sz="12" w:space="0"/>
              <w:left w:val="nil"/>
              <w:bottom w:val="single" w:color="auto" w:sz="8" w:space="0"/>
              <w:right w:val="nil"/>
            </w:tcBorders>
            <w:vAlign w:val="center"/>
          </w:tcPr>
          <w:p w14:paraId="1B5468BE">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spacing w:val="0"/>
                <w:kern w:val="0"/>
                <w:sz w:val="24"/>
                <w:szCs w:val="24"/>
                <w:lang w:val="en-US" w:eastAsia="zh-CN" w:bidi="ar"/>
              </w:rPr>
              <w:t>综合满载率</w:t>
            </w:r>
          </w:p>
        </w:tc>
        <w:tc>
          <w:tcPr>
            <w:tcW w:w="2322" w:type="dxa"/>
            <w:tcBorders>
              <w:top w:val="single" w:color="auto" w:sz="12" w:space="0"/>
              <w:left w:val="nil"/>
              <w:bottom w:val="single" w:color="auto" w:sz="8" w:space="0"/>
              <w:right w:val="nil"/>
            </w:tcBorders>
            <w:vAlign w:val="center"/>
          </w:tcPr>
          <w:p w14:paraId="038E2B67">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spacing w:val="0"/>
                <w:kern w:val="0"/>
                <w:sz w:val="24"/>
                <w:szCs w:val="24"/>
                <w:lang w:val="en-US" w:eastAsia="zh-CN" w:bidi="ar"/>
              </w:rPr>
              <w:t>空间利用率/%</w:t>
            </w:r>
          </w:p>
        </w:tc>
        <w:tc>
          <w:tcPr>
            <w:tcW w:w="2322" w:type="dxa"/>
            <w:tcBorders>
              <w:top w:val="single" w:color="auto" w:sz="12" w:space="0"/>
              <w:left w:val="nil"/>
              <w:bottom w:val="single" w:color="auto" w:sz="8" w:space="0"/>
              <w:right w:val="nil"/>
            </w:tcBorders>
            <w:vAlign w:val="center"/>
          </w:tcPr>
          <w:p w14:paraId="2B1FEAA1">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sz w:val="24"/>
                <w:szCs w:val="24"/>
                <w:vertAlign w:val="baseline"/>
              </w:rPr>
            </w:pPr>
            <w:r>
              <w:rPr>
                <w:rFonts w:hint="eastAsia" w:ascii="宋体" w:hAnsi="宋体" w:eastAsia="宋体" w:cs="宋体"/>
                <w:b w:val="0"/>
                <w:bCs w:val="0"/>
                <w:i w:val="0"/>
                <w:iCs w:val="0"/>
                <w:caps w:val="0"/>
                <w:spacing w:val="0"/>
                <w:kern w:val="0"/>
                <w:sz w:val="24"/>
                <w:szCs w:val="24"/>
                <w:lang w:val="en-US" w:eastAsia="zh-CN" w:bidi="ar"/>
              </w:rPr>
              <w:t>载重利用率/%</w:t>
            </w:r>
          </w:p>
        </w:tc>
      </w:tr>
      <w:tr w14:paraId="6E4A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single" w:color="auto" w:sz="8" w:space="0"/>
              <w:left w:val="nil"/>
              <w:bottom w:val="nil"/>
              <w:right w:val="nil"/>
            </w:tcBorders>
            <w:vAlign w:val="center"/>
          </w:tcPr>
          <w:p w14:paraId="60075E30">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车型1</w:t>
            </w:r>
          </w:p>
        </w:tc>
        <w:tc>
          <w:tcPr>
            <w:tcW w:w="2321" w:type="dxa"/>
            <w:tcBorders>
              <w:top w:val="single" w:color="auto" w:sz="8" w:space="0"/>
              <w:left w:val="nil"/>
              <w:bottom w:val="nil"/>
              <w:right w:val="nil"/>
            </w:tcBorders>
            <w:vAlign w:val="center"/>
          </w:tcPr>
          <w:p w14:paraId="09DE3F9D">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63.87</w:t>
            </w:r>
          </w:p>
        </w:tc>
        <w:tc>
          <w:tcPr>
            <w:tcW w:w="2322" w:type="dxa"/>
            <w:tcBorders>
              <w:top w:val="single" w:color="auto" w:sz="8" w:space="0"/>
              <w:left w:val="nil"/>
              <w:bottom w:val="nil"/>
              <w:right w:val="nil"/>
            </w:tcBorders>
            <w:vAlign w:val="center"/>
          </w:tcPr>
          <w:p w14:paraId="4A122B2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85.99</w:t>
            </w:r>
          </w:p>
        </w:tc>
        <w:tc>
          <w:tcPr>
            <w:tcW w:w="2322" w:type="dxa"/>
            <w:tcBorders>
              <w:top w:val="single" w:color="auto" w:sz="8" w:space="0"/>
              <w:left w:val="nil"/>
              <w:bottom w:val="nil"/>
              <w:right w:val="nil"/>
            </w:tcBorders>
            <w:vAlign w:val="center"/>
          </w:tcPr>
          <w:p w14:paraId="00441A2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41.75</w:t>
            </w:r>
          </w:p>
        </w:tc>
      </w:tr>
      <w:tr w14:paraId="3766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1" w:type="dxa"/>
            <w:tcBorders>
              <w:top w:val="nil"/>
              <w:left w:val="nil"/>
              <w:bottom w:val="single" w:color="auto" w:sz="12" w:space="0"/>
              <w:right w:val="nil"/>
            </w:tcBorders>
            <w:vAlign w:val="center"/>
          </w:tcPr>
          <w:p w14:paraId="1CF14C09">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车型2</w:t>
            </w:r>
          </w:p>
        </w:tc>
        <w:tc>
          <w:tcPr>
            <w:tcW w:w="2321" w:type="dxa"/>
            <w:tcBorders>
              <w:top w:val="nil"/>
              <w:left w:val="nil"/>
              <w:bottom w:val="single" w:color="auto" w:sz="12" w:space="0"/>
              <w:right w:val="nil"/>
            </w:tcBorders>
            <w:vAlign w:val="center"/>
          </w:tcPr>
          <w:p w14:paraId="77270605">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54.81</w:t>
            </w:r>
          </w:p>
        </w:tc>
        <w:tc>
          <w:tcPr>
            <w:tcW w:w="2322" w:type="dxa"/>
            <w:tcBorders>
              <w:top w:val="nil"/>
              <w:left w:val="nil"/>
              <w:bottom w:val="single" w:color="auto" w:sz="12" w:space="0"/>
              <w:right w:val="nil"/>
            </w:tcBorders>
            <w:vAlign w:val="center"/>
          </w:tcPr>
          <w:p w14:paraId="4BB2B9F2">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68.66</w:t>
            </w:r>
          </w:p>
        </w:tc>
        <w:tc>
          <w:tcPr>
            <w:tcW w:w="2322" w:type="dxa"/>
            <w:tcBorders>
              <w:top w:val="nil"/>
              <w:left w:val="nil"/>
              <w:bottom w:val="single" w:color="auto" w:sz="12" w:space="0"/>
              <w:right w:val="nil"/>
            </w:tcBorders>
            <w:vAlign w:val="center"/>
          </w:tcPr>
          <w:p w14:paraId="29A64855">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sz w:val="24"/>
                <w:szCs w:val="24"/>
                <w:vertAlign w:val="baseline"/>
                <w:lang w:val="en-US"/>
              </w:rPr>
            </w:pPr>
            <w:r>
              <w:rPr>
                <w:rFonts w:hint="eastAsia" w:ascii="宋体" w:hAnsi="宋体" w:eastAsia="宋体" w:cs="宋体"/>
                <w:b w:val="0"/>
                <w:bCs w:val="0"/>
                <w:i w:val="0"/>
                <w:iCs w:val="0"/>
                <w:caps w:val="0"/>
                <w:spacing w:val="0"/>
                <w:kern w:val="0"/>
                <w:sz w:val="24"/>
                <w:szCs w:val="24"/>
                <w:lang w:val="en-US" w:eastAsia="zh-CN" w:bidi="ar"/>
              </w:rPr>
              <w:t>40.95</w:t>
            </w:r>
          </w:p>
        </w:tc>
      </w:tr>
    </w:tbl>
    <w:p w14:paraId="0939AB2A">
      <w:pPr>
        <w:bidi w:val="0"/>
        <w:jc w:val="left"/>
        <w:rPr>
          <w:rFonts w:hint="eastAsia" w:ascii="宋体" w:hAnsi="宋体" w:eastAsia="宋体" w:cs="宋体"/>
          <w:sz w:val="24"/>
          <w:szCs w:val="24"/>
        </w:rPr>
      </w:pPr>
    </w:p>
    <w:p w14:paraId="0312D735">
      <w:pPr>
        <w:bidi w:val="0"/>
        <w:ind w:firstLine="480" w:firstLineChars="200"/>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由表1可知，在单车综合满载率最大目标下，车型1的综合满载率为63.87%，明显高于车型2的54.81%。进一步分析可见，车型1的空间利用率达到85.99%，显著优于车型2的68.66%；而两种车型的载重利用率分别为41.75%和40.95%，差异相对较小。说明在本批货物条件下，车型1与货物尺寸结构的匹配程度更高，能够更有效地减少装载空隙，从而在单车装载场景下取得更好的装载效果。</w:t>
      </w:r>
    </w:p>
    <w:p w14:paraId="017A72EA">
      <w:pPr>
        <w:bidi w:val="0"/>
        <w:ind w:firstLine="480" w:firstLineChars="200"/>
        <w:rPr>
          <w:rFonts w:hint="eastAsia" w:ascii="宋体" w:hAnsi="宋体" w:eastAsia="宋体" w:cs="宋体"/>
          <w:i w:val="0"/>
          <w:iCs w:val="0"/>
          <w:caps w:val="0"/>
          <w:spacing w:val="0"/>
          <w:sz w:val="24"/>
          <w:szCs w:val="24"/>
        </w:rPr>
      </w:pPr>
    </w:p>
    <w:p w14:paraId="568F69FD">
      <w:pPr>
        <w:bidi w:val="0"/>
        <w:jc w:val="center"/>
        <w:rPr>
          <w:rFonts w:hint="eastAsia" w:ascii="宋体" w:hAnsi="宋体" w:eastAsia="宋体" w:cs="宋体"/>
          <w:i w:val="0"/>
          <w:iCs w:val="0"/>
          <w:caps w:val="0"/>
          <w:spacing w:val="0"/>
          <w:sz w:val="24"/>
          <w:szCs w:val="24"/>
        </w:rPr>
      </w:pPr>
      <w:r>
        <w:rPr>
          <w:rFonts w:hint="eastAsia" w:ascii="宋体" w:hAnsi="宋体" w:eastAsia="宋体" w:cs="宋体"/>
          <w:sz w:val="24"/>
          <w:szCs w:val="24"/>
        </w:rPr>
        <w:t>表2 完成全部运输任务时的最少车辆数结果</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gridCol w:w="4643"/>
      </w:tblGrid>
      <w:tr w14:paraId="11319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auto" w:sz="12" w:space="0"/>
              <w:left w:val="nil"/>
              <w:bottom w:val="single" w:color="auto" w:sz="8" w:space="0"/>
              <w:right w:val="nil"/>
            </w:tcBorders>
            <w:vAlign w:val="center"/>
          </w:tcPr>
          <w:p w14:paraId="5A034920">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w:t>
            </w:r>
          </w:p>
        </w:tc>
        <w:tc>
          <w:tcPr>
            <w:tcW w:w="4643" w:type="dxa"/>
            <w:tcBorders>
              <w:top w:val="single" w:color="auto" w:sz="12" w:space="0"/>
              <w:left w:val="nil"/>
              <w:bottom w:val="single" w:color="auto" w:sz="8" w:space="0"/>
              <w:right w:val="nil"/>
            </w:tcBorders>
            <w:vAlign w:val="center"/>
          </w:tcPr>
          <w:p w14:paraId="5EFF3338">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所需车辆数</w:t>
            </w:r>
          </w:p>
        </w:tc>
      </w:tr>
      <w:tr w14:paraId="4170D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single" w:color="auto" w:sz="8" w:space="0"/>
              <w:left w:val="nil"/>
              <w:bottom w:val="nil"/>
              <w:right w:val="nil"/>
            </w:tcBorders>
            <w:vAlign w:val="center"/>
          </w:tcPr>
          <w:p w14:paraId="14E8D1AB">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车型1</w:t>
            </w:r>
          </w:p>
        </w:tc>
        <w:tc>
          <w:tcPr>
            <w:tcW w:w="4643" w:type="dxa"/>
            <w:tcBorders>
              <w:top w:val="single" w:color="auto" w:sz="8" w:space="0"/>
              <w:left w:val="nil"/>
              <w:bottom w:val="nil"/>
              <w:right w:val="nil"/>
            </w:tcBorders>
            <w:vAlign w:val="center"/>
          </w:tcPr>
          <w:p w14:paraId="144AF56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3</w:t>
            </w:r>
          </w:p>
        </w:tc>
      </w:tr>
      <w:tr w14:paraId="7700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Borders>
              <w:top w:val="nil"/>
              <w:left w:val="nil"/>
              <w:bottom w:val="single" w:color="auto" w:sz="12" w:space="0"/>
              <w:right w:val="nil"/>
            </w:tcBorders>
            <w:vAlign w:val="center"/>
          </w:tcPr>
          <w:p w14:paraId="206B4B79">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车型2</w:t>
            </w:r>
          </w:p>
        </w:tc>
        <w:tc>
          <w:tcPr>
            <w:tcW w:w="4643" w:type="dxa"/>
            <w:tcBorders>
              <w:top w:val="nil"/>
              <w:left w:val="nil"/>
              <w:bottom w:val="single" w:color="auto" w:sz="12" w:space="0"/>
              <w:right w:val="nil"/>
            </w:tcBorders>
            <w:vAlign w:val="center"/>
          </w:tcPr>
          <w:p w14:paraId="57DEDD71">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w:t>
            </w:r>
          </w:p>
        </w:tc>
      </w:tr>
    </w:tbl>
    <w:p w14:paraId="6CEA3781">
      <w:pPr>
        <w:pStyle w:val="1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rPr>
      </w:pPr>
    </w:p>
    <w:p w14:paraId="52D86AAE">
      <w:pPr>
        <w:pStyle w:val="1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由表2可知，在完成全部货物运输任务的条件下，车型1需要3辆车，而车型2仅需2辆车。因此，若以减少车辆投入数量为主要目标，则车型2明显优于车型1。这说明虽然车型2在单车装载紧凑性方面不如车型1，但由于其车厢空间和载重能力更大，因此在整体运输组织中更具优势。</w:t>
      </w:r>
    </w:p>
    <w:p w14:paraId="325C429E">
      <w:pPr>
        <w:pStyle w:val="1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rPr>
      </w:pPr>
    </w:p>
    <w:p w14:paraId="156C3CA1">
      <w:pPr>
        <w:bidi w:val="0"/>
        <w:jc w:val="center"/>
        <w:rPr>
          <w:rFonts w:hint="eastAsia" w:ascii="宋体" w:hAnsi="宋体" w:eastAsia="宋体" w:cs="宋体"/>
          <w:i w:val="0"/>
          <w:iCs w:val="0"/>
          <w:caps w:val="0"/>
          <w:spacing w:val="0"/>
          <w:sz w:val="24"/>
          <w:szCs w:val="24"/>
        </w:rPr>
      </w:pPr>
      <w:r>
        <w:rPr>
          <w:rFonts w:hint="eastAsia" w:ascii="宋体" w:hAnsi="宋体" w:eastAsia="宋体" w:cs="宋体"/>
          <w:sz w:val="24"/>
          <w:szCs w:val="24"/>
        </w:rPr>
        <w:t>表3 车型1在最少车辆数方案下各车辆装载结果</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777B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95" w:type="dxa"/>
            <w:tcBorders>
              <w:top w:val="single" w:color="auto" w:sz="12" w:space="0"/>
              <w:left w:val="nil"/>
              <w:bottom w:val="single" w:color="auto" w:sz="8" w:space="0"/>
              <w:right w:val="nil"/>
            </w:tcBorders>
            <w:vAlign w:val="center"/>
          </w:tcPr>
          <w:p w14:paraId="7B46288D">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车辆编号</w:t>
            </w:r>
          </w:p>
        </w:tc>
        <w:tc>
          <w:tcPr>
            <w:tcW w:w="3095" w:type="dxa"/>
            <w:tcBorders>
              <w:top w:val="single" w:color="auto" w:sz="12" w:space="0"/>
              <w:left w:val="nil"/>
              <w:bottom w:val="single" w:color="auto" w:sz="8" w:space="0"/>
              <w:right w:val="nil"/>
            </w:tcBorders>
            <w:vAlign w:val="center"/>
          </w:tcPr>
          <w:p w14:paraId="771199BF">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空间利用率/%</w:t>
            </w:r>
          </w:p>
        </w:tc>
        <w:tc>
          <w:tcPr>
            <w:tcW w:w="3096" w:type="dxa"/>
            <w:tcBorders>
              <w:top w:val="single" w:color="auto" w:sz="12" w:space="0"/>
              <w:left w:val="nil"/>
              <w:bottom w:val="single" w:color="auto" w:sz="8" w:space="0"/>
              <w:right w:val="nil"/>
            </w:tcBorders>
            <w:vAlign w:val="center"/>
          </w:tcPr>
          <w:p w14:paraId="236AA455">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载重利用率/%</w:t>
            </w:r>
          </w:p>
        </w:tc>
      </w:tr>
      <w:tr w14:paraId="6B2E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8" w:space="0"/>
              <w:left w:val="nil"/>
              <w:bottom w:val="nil"/>
              <w:right w:val="nil"/>
            </w:tcBorders>
            <w:vAlign w:val="center"/>
          </w:tcPr>
          <w:p w14:paraId="4D19B9A0">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车辆1</w:t>
            </w:r>
          </w:p>
        </w:tc>
        <w:tc>
          <w:tcPr>
            <w:tcW w:w="3095" w:type="dxa"/>
            <w:tcBorders>
              <w:top w:val="single" w:color="auto" w:sz="8" w:space="0"/>
              <w:left w:val="nil"/>
              <w:bottom w:val="nil"/>
              <w:right w:val="nil"/>
            </w:tcBorders>
            <w:vAlign w:val="center"/>
          </w:tcPr>
          <w:p w14:paraId="6D522BB8">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76.81</w:t>
            </w:r>
          </w:p>
        </w:tc>
        <w:tc>
          <w:tcPr>
            <w:tcW w:w="3096" w:type="dxa"/>
            <w:tcBorders>
              <w:top w:val="single" w:color="auto" w:sz="8" w:space="0"/>
              <w:left w:val="nil"/>
              <w:bottom w:val="nil"/>
              <w:right w:val="nil"/>
            </w:tcBorders>
            <w:vAlign w:val="center"/>
          </w:tcPr>
          <w:p w14:paraId="0E5FA14B">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39.00</w:t>
            </w:r>
          </w:p>
        </w:tc>
      </w:tr>
      <w:tr w14:paraId="50CB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nil"/>
              <w:right w:val="nil"/>
            </w:tcBorders>
            <w:vAlign w:val="center"/>
          </w:tcPr>
          <w:p w14:paraId="3A249DBF">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车辆2</w:t>
            </w:r>
          </w:p>
        </w:tc>
        <w:tc>
          <w:tcPr>
            <w:tcW w:w="3095" w:type="dxa"/>
            <w:tcBorders>
              <w:top w:val="nil"/>
              <w:left w:val="nil"/>
              <w:bottom w:val="nil"/>
              <w:right w:val="nil"/>
            </w:tcBorders>
            <w:vAlign w:val="center"/>
          </w:tcPr>
          <w:p w14:paraId="7F2DFB3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65.20</w:t>
            </w:r>
          </w:p>
        </w:tc>
        <w:tc>
          <w:tcPr>
            <w:tcW w:w="3096" w:type="dxa"/>
            <w:tcBorders>
              <w:top w:val="nil"/>
              <w:left w:val="nil"/>
              <w:bottom w:val="nil"/>
              <w:right w:val="nil"/>
            </w:tcBorders>
            <w:vAlign w:val="center"/>
          </w:tcPr>
          <w:p w14:paraId="5636BEB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27.42</w:t>
            </w:r>
          </w:p>
        </w:tc>
      </w:tr>
      <w:tr w14:paraId="1789F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auto" w:sz="12" w:space="0"/>
              <w:right w:val="nil"/>
            </w:tcBorders>
            <w:vAlign w:val="center"/>
          </w:tcPr>
          <w:p w14:paraId="42708D7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车辆3</w:t>
            </w:r>
          </w:p>
        </w:tc>
        <w:tc>
          <w:tcPr>
            <w:tcW w:w="3095" w:type="dxa"/>
            <w:tcBorders>
              <w:top w:val="nil"/>
              <w:left w:val="nil"/>
              <w:bottom w:val="single" w:color="auto" w:sz="12" w:space="0"/>
              <w:right w:val="nil"/>
            </w:tcBorders>
            <w:vAlign w:val="center"/>
          </w:tcPr>
          <w:p w14:paraId="4381E9EA">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6.08</w:t>
            </w:r>
          </w:p>
        </w:tc>
        <w:tc>
          <w:tcPr>
            <w:tcW w:w="3096" w:type="dxa"/>
            <w:tcBorders>
              <w:top w:val="nil"/>
              <w:left w:val="nil"/>
              <w:bottom w:val="single" w:color="auto" w:sz="12" w:space="0"/>
              <w:right w:val="nil"/>
            </w:tcBorders>
            <w:vAlign w:val="center"/>
          </w:tcPr>
          <w:p w14:paraId="3CAFED91">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2.08</w:t>
            </w:r>
          </w:p>
        </w:tc>
      </w:tr>
    </w:tbl>
    <w:p w14:paraId="2C83D164">
      <w:pPr>
        <w:bidi w:val="0"/>
        <w:jc w:val="center"/>
        <w:rPr>
          <w:rFonts w:hint="eastAsia" w:ascii="宋体" w:hAnsi="宋体" w:eastAsia="宋体" w:cs="宋体"/>
          <w:sz w:val="24"/>
          <w:szCs w:val="24"/>
        </w:rPr>
      </w:pPr>
    </w:p>
    <w:p w14:paraId="286716C4">
      <w:pPr>
        <w:bidi w:val="0"/>
        <w:jc w:val="center"/>
        <w:rPr>
          <w:rFonts w:hint="eastAsia" w:ascii="宋体" w:hAnsi="宋体" w:eastAsia="宋体" w:cs="宋体"/>
          <w:i w:val="0"/>
          <w:iCs w:val="0"/>
          <w:caps w:val="0"/>
          <w:spacing w:val="0"/>
          <w:sz w:val="24"/>
          <w:szCs w:val="24"/>
          <w:lang w:val="en-US" w:eastAsia="zh-CN"/>
        </w:rPr>
      </w:pPr>
      <w:r>
        <w:rPr>
          <w:rFonts w:hint="eastAsia" w:ascii="宋体" w:hAnsi="宋体" w:eastAsia="宋体" w:cs="宋体"/>
          <w:sz w:val="24"/>
          <w:szCs w:val="24"/>
        </w:rPr>
        <w:t>表4 车型2在最少车辆数方案下各车辆装载结果</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3095"/>
        <w:gridCol w:w="3096"/>
      </w:tblGrid>
      <w:tr w14:paraId="7E77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12" w:space="0"/>
              <w:left w:val="nil"/>
              <w:bottom w:val="single" w:color="auto" w:sz="8" w:space="0"/>
              <w:right w:val="nil"/>
            </w:tcBorders>
            <w:vAlign w:val="center"/>
          </w:tcPr>
          <w:p w14:paraId="61C75472">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车辆编号</w:t>
            </w:r>
          </w:p>
        </w:tc>
        <w:tc>
          <w:tcPr>
            <w:tcW w:w="3095" w:type="dxa"/>
            <w:tcBorders>
              <w:top w:val="single" w:color="auto" w:sz="12" w:space="0"/>
              <w:left w:val="nil"/>
              <w:bottom w:val="single" w:color="auto" w:sz="8" w:space="0"/>
              <w:right w:val="nil"/>
            </w:tcBorders>
            <w:vAlign w:val="center"/>
          </w:tcPr>
          <w:p w14:paraId="6477C7D5">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空间利用率/%</w:t>
            </w:r>
          </w:p>
        </w:tc>
        <w:tc>
          <w:tcPr>
            <w:tcW w:w="3096" w:type="dxa"/>
            <w:tcBorders>
              <w:top w:val="single" w:color="auto" w:sz="12" w:space="0"/>
              <w:left w:val="nil"/>
              <w:bottom w:val="single" w:color="auto" w:sz="8" w:space="0"/>
              <w:right w:val="nil"/>
            </w:tcBorders>
            <w:vAlign w:val="center"/>
          </w:tcPr>
          <w:p w14:paraId="5CBE0CEB">
            <w:pPr>
              <w:keepNext w:val="0"/>
              <w:keepLines w:val="0"/>
              <w:widowControl/>
              <w:suppressLineNumbers w:val="0"/>
              <w:spacing w:before="0" w:beforeAutospacing="0" w:after="0" w:afterAutospacing="0"/>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载重利用率/%</w:t>
            </w:r>
          </w:p>
        </w:tc>
      </w:tr>
      <w:tr w14:paraId="51DEA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single" w:color="auto" w:sz="8" w:space="0"/>
              <w:left w:val="nil"/>
              <w:bottom w:val="nil"/>
              <w:right w:val="nil"/>
            </w:tcBorders>
            <w:vAlign w:val="center"/>
          </w:tcPr>
          <w:p w14:paraId="634010A9">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车辆1</w:t>
            </w:r>
          </w:p>
        </w:tc>
        <w:tc>
          <w:tcPr>
            <w:tcW w:w="3095" w:type="dxa"/>
            <w:tcBorders>
              <w:top w:val="single" w:color="auto" w:sz="8" w:space="0"/>
              <w:left w:val="nil"/>
              <w:bottom w:val="nil"/>
              <w:right w:val="nil"/>
            </w:tcBorders>
            <w:vAlign w:val="center"/>
          </w:tcPr>
          <w:p w14:paraId="0398B4D1">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64.14</w:t>
            </w:r>
          </w:p>
        </w:tc>
        <w:tc>
          <w:tcPr>
            <w:tcW w:w="3096" w:type="dxa"/>
            <w:tcBorders>
              <w:top w:val="single" w:color="auto" w:sz="8" w:space="0"/>
              <w:left w:val="nil"/>
              <w:bottom w:val="nil"/>
              <w:right w:val="nil"/>
            </w:tcBorders>
            <w:vAlign w:val="center"/>
          </w:tcPr>
          <w:p w14:paraId="73927363">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38.95</w:t>
            </w:r>
          </w:p>
        </w:tc>
      </w:tr>
      <w:tr w14:paraId="01B6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Borders>
              <w:top w:val="nil"/>
              <w:left w:val="nil"/>
              <w:bottom w:val="single" w:color="auto" w:sz="12" w:space="0"/>
              <w:right w:val="nil"/>
            </w:tcBorders>
            <w:vAlign w:val="center"/>
          </w:tcPr>
          <w:p w14:paraId="03D6EE54">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车辆2</w:t>
            </w:r>
          </w:p>
        </w:tc>
        <w:tc>
          <w:tcPr>
            <w:tcW w:w="3095" w:type="dxa"/>
            <w:tcBorders>
              <w:top w:val="nil"/>
              <w:left w:val="nil"/>
              <w:bottom w:val="single" w:color="auto" w:sz="12" w:space="0"/>
              <w:right w:val="nil"/>
            </w:tcBorders>
            <w:vAlign w:val="center"/>
          </w:tcPr>
          <w:p w14:paraId="7E1A6B74">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4.85</w:t>
            </w:r>
          </w:p>
        </w:tc>
        <w:tc>
          <w:tcPr>
            <w:tcW w:w="3096" w:type="dxa"/>
            <w:tcBorders>
              <w:top w:val="nil"/>
              <w:left w:val="nil"/>
              <w:bottom w:val="single" w:color="auto" w:sz="12" w:space="0"/>
              <w:right w:val="nil"/>
            </w:tcBorders>
            <w:vAlign w:val="center"/>
          </w:tcPr>
          <w:p w14:paraId="6192E95E">
            <w:pPr>
              <w:keepNext w:val="0"/>
              <w:keepLines w:val="0"/>
              <w:widowControl/>
              <w:suppressLineNumbers w:val="0"/>
              <w:spacing w:before="0" w:beforeAutospacing="0" w:after="0" w:afterAutospacing="0" w:line="17" w:lineRule="atLeast"/>
              <w:ind w:left="0" w:leftChars="0" w:right="0" w:rightChars="0" w:firstLine="0" w:firstLineChars="0"/>
              <w:jc w:val="center"/>
              <w:rPr>
                <w:rFonts w:hint="eastAsia" w:ascii="宋体" w:hAnsi="宋体" w:eastAsia="宋体" w:cs="宋体"/>
                <w:b w:val="0"/>
                <w:bCs w:val="0"/>
                <w:i w:val="0"/>
                <w:iCs w:val="0"/>
                <w:caps w:val="0"/>
                <w:spacing w:val="0"/>
                <w:sz w:val="24"/>
                <w:szCs w:val="24"/>
                <w:vertAlign w:val="baseline"/>
                <w:lang w:val="en-US" w:eastAsia="zh-CN"/>
              </w:rPr>
            </w:pPr>
            <w:r>
              <w:rPr>
                <w:rFonts w:hint="eastAsia" w:ascii="宋体" w:hAnsi="宋体" w:eastAsia="宋体" w:cs="宋体"/>
                <w:b w:val="0"/>
                <w:bCs w:val="0"/>
                <w:i w:val="0"/>
                <w:iCs w:val="0"/>
                <w:caps w:val="0"/>
                <w:spacing w:val="0"/>
                <w:kern w:val="0"/>
                <w:sz w:val="24"/>
                <w:szCs w:val="24"/>
                <w:lang w:val="en-US" w:eastAsia="zh-CN" w:bidi="ar"/>
              </w:rPr>
              <w:t>2.15</w:t>
            </w:r>
          </w:p>
        </w:tc>
      </w:tr>
    </w:tbl>
    <w:p w14:paraId="176F44FA">
      <w:pPr>
        <w:bidi w:val="0"/>
        <w:ind w:firstLine="480" w:firstLineChars="200"/>
        <w:rPr>
          <w:rFonts w:hint="eastAsia" w:ascii="宋体" w:hAnsi="宋体" w:eastAsia="宋体" w:cs="宋体"/>
          <w:sz w:val="24"/>
          <w:szCs w:val="24"/>
        </w:rPr>
      </w:pPr>
      <w:r>
        <w:rPr>
          <w:rFonts w:hint="eastAsia" w:ascii="宋体" w:hAnsi="宋体" w:eastAsia="宋体" w:cs="宋体"/>
          <w:sz w:val="24"/>
          <w:szCs w:val="24"/>
        </w:rPr>
        <w:t>由表3和表4可以看出，无论采用哪种车型，在最少车辆数方案下最后一辆车的空间利用率和载重利用率都明显偏低。对于车型1，第三辆车的空间利用率仅为6.08%，载重利用率仅为2.08%；对于车型2，第二辆车的空间利用率仅为4.85%，载重利用率仅为2.15%。这表明在多车运输场景下，随着前几辆车优先装入大部分货物，剩余货物数量较少且尺寸组合较为零散，导致尾车利用率明显下降。这种现象在多车装箱问题中较为常见，也说明“总车数最少”与“每辆车都尽量装满”之间存在一定矛盾。</w:t>
      </w:r>
    </w:p>
    <w:p w14:paraId="7C2C7ABF">
      <w:pPr>
        <w:bidi w:val="0"/>
        <w:ind w:firstLine="480" w:firstLineChars="200"/>
        <w:rPr>
          <w:rFonts w:hint="eastAsia" w:ascii="宋体" w:hAnsi="宋体" w:eastAsia="宋体" w:cs="宋体"/>
          <w:i w:val="0"/>
          <w:iCs w:val="0"/>
          <w:caps w:val="0"/>
          <w:spacing w:val="0"/>
          <w:szCs w:val="24"/>
        </w:rPr>
      </w:pPr>
      <w:r>
        <w:rPr>
          <w:rFonts w:hint="eastAsia" w:ascii="宋体" w:hAnsi="宋体" w:eastAsia="宋体" w:cs="宋体"/>
          <w:sz w:val="24"/>
          <w:szCs w:val="24"/>
        </w:rPr>
        <w:t>综合以上结果可知，在问题一的两类优化目标下，两种车型各有优势：若以单车综合满载率最大为目标，则车型1更优；若以完成全部运输任务所需车辆数最少为目标，则车型2更优。这说明在实际运输决策中，应根据优化目标的不同选择相应车型，而不能仅从单一指标出发进行判断。</w:t>
      </w:r>
    </w:p>
    <w:p w14:paraId="064202D9">
      <w:pPr>
        <w:pStyle w:val="1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right="0" w:firstLine="480" w:firstLineChars="200"/>
        <w:jc w:val="both"/>
        <w:rPr>
          <w:rFonts w:hint="eastAsia" w:ascii="宋体" w:hAnsi="宋体" w:eastAsia="宋体" w:cs="宋体"/>
          <w:i w:val="0"/>
          <w:iCs w:val="0"/>
          <w:caps w:val="0"/>
          <w:spacing w:val="0"/>
          <w:sz w:val="24"/>
          <w:szCs w:val="24"/>
          <w:lang w:val="en-US" w:eastAsia="zh-CN"/>
        </w:rPr>
      </w:pPr>
    </w:p>
    <w:p w14:paraId="7F590DC5">
      <w:pPr>
        <w:bidi w:val="0"/>
        <w:ind w:firstLine="480" w:firstLineChars="200"/>
        <w:jc w:val="center"/>
        <w:rPr>
          <w:rFonts w:hint="eastAsia" w:hAnsi="Cambria Math" w:cs="Times New Roman"/>
          <w:i w:val="0"/>
          <w:sz w:val="24"/>
          <w:lang w:val="en-US" w:eastAsia="zh-CN"/>
        </w:rPr>
      </w:pPr>
    </w:p>
    <w:p w14:paraId="6CB0590E">
      <w:pPr>
        <w:bidi w:val="0"/>
        <w:ind w:firstLine="480" w:firstLineChars="200"/>
        <w:jc w:val="center"/>
        <w:rPr>
          <w:rFonts w:hint="default"/>
          <w:sz w:val="24"/>
          <w:szCs w:val="24"/>
        </w:rPr>
      </w:pPr>
    </w:p>
    <w:p w14:paraId="0C47C4C4">
      <w:pPr>
        <w:bidi w:val="0"/>
        <w:ind w:firstLine="480" w:firstLineChars="200"/>
        <w:rPr>
          <w:rFonts w:hint="eastAsia" w:ascii="宋体" w:hAnsi="宋体" w:eastAsia="宋体" w:cs="宋体"/>
          <w:sz w:val="24"/>
          <w:szCs w:val="24"/>
        </w:rPr>
      </w:pPr>
    </w:p>
    <w:p w14:paraId="3671E5A2">
      <w:pPr>
        <w:bidi w:val="0"/>
        <w:rPr>
          <w:rFonts w:hint="eastAsia" w:ascii="黑体" w:hAnsi="黑体" w:eastAsia="黑体" w:cs="黑体"/>
          <w:sz w:val="24"/>
          <w:szCs w:val="24"/>
        </w:rPr>
      </w:pPr>
    </w:p>
    <w:p w14:paraId="0C1554AC">
      <w:pPr>
        <w:bidi w:val="0"/>
        <w:jc w:val="both"/>
        <w:rPr>
          <w:rFonts w:hint="eastAsia" w:ascii="宋体" w:hAnsi="宋体" w:eastAsia="宋体" w:cs="宋体"/>
          <w:i w:val="0"/>
          <w:iCs w:val="0"/>
          <w:caps w:val="0"/>
          <w:spacing w:val="0"/>
          <w:sz w:val="24"/>
          <w:szCs w:val="24"/>
        </w:rPr>
      </w:pPr>
    </w:p>
    <w:p w14:paraId="0F40FE4A">
      <w:pPr>
        <w:bidi w:val="0"/>
        <w:jc w:val="center"/>
        <w:rPr>
          <w:rFonts w:hint="eastAsia" w:hAnsi="Cambria Math" w:eastAsia="宋体" w:cs="Times New Roman"/>
          <w:i w:val="0"/>
          <w:sz w:val="24"/>
        </w:rPr>
      </w:pPr>
    </w:p>
    <w:p w14:paraId="6129053E">
      <w:pPr>
        <w:bidi w:val="0"/>
        <w:jc w:val="center"/>
        <w:rPr>
          <w:rFonts w:hint="eastAsia" w:hAnsi="Cambria Math" w:eastAsia="宋体" w:cs="Times New Roman"/>
          <w:i w:val="0"/>
          <w:sz w:val="24"/>
        </w:rPr>
      </w:pPr>
    </w:p>
    <w:p w14:paraId="635B59FA">
      <w:pPr>
        <w:bidi w:val="0"/>
        <w:ind w:firstLine="480" w:firstLineChars="200"/>
        <w:jc w:val="center"/>
        <w:rPr>
          <w:rFonts w:hint="eastAsia" w:ascii="宋体" w:hAnsi="宋体" w:eastAsia="宋体" w:cs="宋体"/>
          <w:i w:val="0"/>
          <w:iCs w:val="0"/>
          <w:caps w:val="0"/>
          <w:spacing w:val="0"/>
          <w:sz w:val="24"/>
          <w:szCs w:val="24"/>
        </w:rPr>
      </w:pPr>
    </w:p>
    <w:p w14:paraId="725D506D">
      <w:pPr>
        <w:bidi w:val="0"/>
        <w:rPr>
          <w:rFonts w:hint="eastAsia" w:ascii="黑体" w:hAnsi="黑体" w:eastAsia="黑体" w:cs="黑体"/>
          <w:sz w:val="24"/>
          <w:szCs w:val="24"/>
          <w:lang w:eastAsia="zh-CN"/>
        </w:rPr>
      </w:pPr>
    </w:p>
    <w:p w14:paraId="58822332">
      <w:pPr>
        <w:numPr>
          <w:ilvl w:val="0"/>
          <w:numId w:val="0"/>
        </w:numPr>
        <w:bidi w:val="0"/>
        <w:jc w:val="both"/>
        <w:rPr>
          <w:rFonts w:hint="eastAsia" w:ascii="黑体" w:hAnsi="黑体" w:eastAsia="黑体" w:cs="黑体"/>
          <w:sz w:val="28"/>
          <w:szCs w:val="28"/>
          <w:lang w:val="en-US" w:eastAsia="zh-CN"/>
        </w:rPr>
      </w:pPr>
    </w:p>
    <w:p w14:paraId="71514958">
      <w:pPr>
        <w:rPr>
          <w:rFonts w:hint="eastAsia" w:ascii="宋体" w:hAnsi="宋体" w:eastAsia="宋体" w:cs="宋体"/>
          <w:sz w:val="24"/>
          <w:szCs w:val="24"/>
        </w:rPr>
      </w:pPr>
    </w:p>
    <w:p w14:paraId="697DF7E5">
      <w:pPr>
        <w:rPr>
          <w:sz w:val="24"/>
          <w:szCs w:val="24"/>
        </w:rPr>
      </w:pPr>
    </w:p>
    <w:p w14:paraId="06BECEDB">
      <w:pPr>
        <w:rPr>
          <w:sz w:val="24"/>
          <w:szCs w:val="24"/>
        </w:rPr>
      </w:pPr>
    </w:p>
    <w:p w14:paraId="7F1D82DC">
      <w:pPr>
        <w:rPr>
          <w:sz w:val="24"/>
          <w:szCs w:val="24"/>
        </w:rPr>
      </w:pPr>
    </w:p>
    <w:p w14:paraId="4302F9E3">
      <w:pPr>
        <w:rPr>
          <w:sz w:val="24"/>
          <w:szCs w:val="24"/>
        </w:rPr>
      </w:pPr>
    </w:p>
    <w:p w14:paraId="690FD8E9">
      <w:pPr>
        <w:rPr>
          <w:sz w:val="24"/>
          <w:szCs w:val="24"/>
        </w:rPr>
      </w:pPr>
    </w:p>
    <w:p w14:paraId="61FACC91">
      <w:pPr>
        <w:rPr>
          <w:sz w:val="24"/>
          <w:szCs w:val="24"/>
        </w:rPr>
      </w:pPr>
    </w:p>
    <w:p w14:paraId="542C5B92">
      <w:pPr>
        <w:rPr>
          <w:sz w:val="24"/>
          <w:szCs w:val="24"/>
        </w:rPr>
      </w:pPr>
    </w:p>
    <w:p w14:paraId="2A7DD7D5">
      <w:pPr>
        <w:rPr>
          <w:sz w:val="24"/>
          <w:szCs w:val="24"/>
        </w:rPr>
      </w:pPr>
    </w:p>
    <w:p w14:paraId="4B3F96BF">
      <w:pPr>
        <w:rPr>
          <w:sz w:val="24"/>
          <w:szCs w:val="24"/>
        </w:rPr>
      </w:pPr>
    </w:p>
    <w:p w14:paraId="4FC5A1CA">
      <w:pPr>
        <w:rPr>
          <w:sz w:val="24"/>
          <w:szCs w:val="24"/>
        </w:rPr>
      </w:pPr>
    </w:p>
    <w:p w14:paraId="7BF8BF1D">
      <w:pPr>
        <w:rPr>
          <w:sz w:val="24"/>
          <w:szCs w:val="24"/>
        </w:rPr>
      </w:pPr>
    </w:p>
    <w:p w14:paraId="0C4DC99C">
      <w:pPr>
        <w:rPr>
          <w:sz w:val="24"/>
          <w:szCs w:val="24"/>
        </w:rPr>
      </w:pPr>
    </w:p>
    <w:p w14:paraId="77488AC8">
      <w:pPr>
        <w:rPr>
          <w:sz w:val="24"/>
          <w:szCs w:val="24"/>
        </w:rPr>
      </w:pPr>
    </w:p>
    <w:p w14:paraId="3026B686">
      <w:pPr>
        <w:rPr>
          <w:sz w:val="24"/>
          <w:szCs w:val="24"/>
        </w:rPr>
      </w:pPr>
    </w:p>
    <w:p w14:paraId="624516B7">
      <w:pPr>
        <w:rPr>
          <w:sz w:val="24"/>
          <w:szCs w:val="24"/>
        </w:rPr>
      </w:pPr>
    </w:p>
    <w:p w14:paraId="545E594F">
      <w:pPr>
        <w:rPr>
          <w:sz w:val="24"/>
          <w:szCs w:val="24"/>
        </w:rPr>
      </w:pPr>
    </w:p>
    <w:p w14:paraId="42B91F7B">
      <w:pPr>
        <w:rPr>
          <w:sz w:val="24"/>
          <w:szCs w:val="24"/>
        </w:rPr>
      </w:pPr>
    </w:p>
    <w:p w14:paraId="1B648461">
      <w:pPr>
        <w:rPr>
          <w:sz w:val="24"/>
          <w:szCs w:val="24"/>
        </w:rPr>
      </w:pPr>
    </w:p>
    <w:p w14:paraId="6B530FC6">
      <w:pPr>
        <w:rPr>
          <w:sz w:val="24"/>
          <w:szCs w:val="24"/>
        </w:rPr>
      </w:pPr>
    </w:p>
    <w:p w14:paraId="7AED4414">
      <w:pPr>
        <w:rPr>
          <w:sz w:val="24"/>
          <w:szCs w:val="24"/>
        </w:rPr>
      </w:pPr>
    </w:p>
    <w:p w14:paraId="12585C64">
      <w:pPr>
        <w:rPr>
          <w:sz w:val="24"/>
          <w:szCs w:val="24"/>
        </w:rPr>
      </w:pPr>
    </w:p>
    <w:p w14:paraId="61E5B8AF">
      <w:pPr>
        <w:rPr>
          <w:sz w:val="24"/>
          <w:szCs w:val="24"/>
        </w:rPr>
      </w:pPr>
    </w:p>
    <w:p w14:paraId="14061DCB">
      <w:pPr>
        <w:rPr>
          <w:sz w:val="24"/>
          <w:szCs w:val="24"/>
        </w:rPr>
      </w:pPr>
    </w:p>
    <w:p w14:paraId="101DBBCF">
      <w:pPr>
        <w:rPr>
          <w:sz w:val="24"/>
          <w:szCs w:val="24"/>
        </w:rPr>
      </w:pPr>
    </w:p>
    <w:p w14:paraId="3CB16E93">
      <w:pPr>
        <w:rPr>
          <w:sz w:val="24"/>
          <w:szCs w:val="24"/>
        </w:rPr>
      </w:pPr>
    </w:p>
    <w:p w14:paraId="64F257FD">
      <w:pPr>
        <w:rPr>
          <w:sz w:val="24"/>
          <w:szCs w:val="24"/>
        </w:rPr>
      </w:pPr>
    </w:p>
    <w:p w14:paraId="7FF9C03B">
      <w:pPr>
        <w:rPr>
          <w:sz w:val="24"/>
          <w:szCs w:val="24"/>
        </w:rPr>
      </w:pPr>
    </w:p>
    <w:p w14:paraId="65CD7093">
      <w:pPr>
        <w:rPr>
          <w:sz w:val="24"/>
          <w:szCs w:val="24"/>
        </w:rPr>
      </w:pPr>
    </w:p>
    <w:p w14:paraId="04289873">
      <w:pPr>
        <w:rPr>
          <w:sz w:val="24"/>
          <w:szCs w:val="24"/>
        </w:rPr>
      </w:pPr>
    </w:p>
    <w:p w14:paraId="7603B63C">
      <w:pPr>
        <w:rPr>
          <w:sz w:val="24"/>
          <w:szCs w:val="24"/>
        </w:rPr>
      </w:pPr>
    </w:p>
    <w:p w14:paraId="0D59E6B3">
      <w:pPr>
        <w:rPr>
          <w:sz w:val="24"/>
          <w:szCs w:val="24"/>
        </w:rPr>
      </w:pPr>
    </w:p>
    <w:p w14:paraId="165C5EAF">
      <w:pPr>
        <w:rPr>
          <w:sz w:val="24"/>
          <w:szCs w:val="24"/>
        </w:rPr>
      </w:pPr>
    </w:p>
    <w:p w14:paraId="7885B02A">
      <w:pPr>
        <w:rPr>
          <w:sz w:val="24"/>
          <w:szCs w:val="24"/>
        </w:rPr>
      </w:pPr>
    </w:p>
    <w:p w14:paraId="1DAAAD42">
      <w:pPr>
        <w:rPr>
          <w:sz w:val="24"/>
          <w:szCs w:val="24"/>
        </w:rPr>
      </w:pPr>
    </w:p>
    <w:p w14:paraId="547DD912">
      <w:pPr>
        <w:rPr>
          <w:rFonts w:hint="eastAsia"/>
          <w:sz w:val="24"/>
          <w:szCs w:val="24"/>
        </w:rPr>
      </w:pPr>
    </w:p>
    <w:p w14:paraId="5FCC9098">
      <w:pPr>
        <w:rPr>
          <w:rFonts w:hint="eastAsia"/>
          <w:sz w:val="24"/>
          <w:szCs w:val="24"/>
        </w:rPr>
      </w:pPr>
    </w:p>
    <w:p w14:paraId="041861C7">
      <w:pPr>
        <w:rPr>
          <w:rFonts w:hint="eastAsia"/>
          <w:sz w:val="24"/>
          <w:szCs w:val="24"/>
        </w:rPr>
      </w:pPr>
    </w:p>
    <w:p w14:paraId="7804433E">
      <w:pPr>
        <w:rPr>
          <w:rFonts w:hint="eastAsia"/>
          <w:sz w:val="24"/>
          <w:szCs w:val="24"/>
        </w:rPr>
      </w:pPr>
    </w:p>
    <w:p w14:paraId="6F1D8CF5">
      <w:pPr>
        <w:rPr>
          <w:rFonts w:hint="eastAsia"/>
          <w:sz w:val="24"/>
          <w:szCs w:val="24"/>
        </w:rPr>
      </w:pPr>
    </w:p>
    <w:p w14:paraId="1D4538AF">
      <w:pPr>
        <w:rPr>
          <w:rFonts w:hint="eastAsia"/>
          <w:sz w:val="24"/>
          <w:szCs w:val="24"/>
        </w:rPr>
      </w:pPr>
    </w:p>
    <w:sectPr>
      <w:headerReference r:id="rId5" w:type="default"/>
      <w:footerReference r:id="rId6" w:type="default"/>
      <w:pgSz w:w="11906" w:h="16838"/>
      <w:pgMar w:top="1134" w:right="1418" w:bottom="1134" w:left="1418" w:header="851" w:footer="992" w:gutter="0"/>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Geist Fallback">
    <w:altName w:val="Segoe Print"/>
    <w:panose1 w:val="00000000000000000000"/>
    <w:charset w:val="00"/>
    <w:family w:val="auto"/>
    <w:pitch w:val="default"/>
    <w:sig w:usb0="00000000" w:usb1="00000000" w:usb2="00000000" w:usb3="00000000" w:csb0="00000000" w:csb1="00000000"/>
  </w:font>
  <w:font w:name="ksdb">
    <w:altName w:val="Segoe UI Symbol"/>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D9C71">
    <w:pPr>
      <w:pStyle w:val="10"/>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109E5">
    <w:pPr>
      <w:pStyle w:val="10"/>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A66D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3492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00090C"/>
    <w:multiLevelType w:val="multilevel"/>
    <w:tmpl w:val="FF00090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20C4496B"/>
    <w:multiLevelType w:val="singleLevel"/>
    <w:tmpl w:val="20C4496B"/>
    <w:lvl w:ilvl="0" w:tentative="0">
      <w:start w:val="5"/>
      <w:numFmt w:val="chineseCounting"/>
      <w:suff w:val="nothing"/>
      <w:lvlText w:val="%1．"/>
      <w:lvlJc w:val="left"/>
      <w:rPr>
        <w:rFonts w:hint="eastAsia"/>
      </w:rPr>
    </w:lvl>
  </w:abstractNum>
  <w:abstractNum w:abstractNumId="2">
    <w:nsid w:val="31B70B47"/>
    <w:multiLevelType w:val="singleLevel"/>
    <w:tmpl w:val="31B70B47"/>
    <w:lvl w:ilvl="0" w:tentative="0">
      <w:start w:val="1"/>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37241"/>
    <w:rsid w:val="008A6FF6"/>
    <w:rsid w:val="008C49C8"/>
    <w:rsid w:val="009933F6"/>
    <w:rsid w:val="009E2E37"/>
    <w:rsid w:val="00A76F18"/>
    <w:rsid w:val="00A956B2"/>
    <w:rsid w:val="00AA7FF4"/>
    <w:rsid w:val="00B049DA"/>
    <w:rsid w:val="00B1618E"/>
    <w:rsid w:val="00B43272"/>
    <w:rsid w:val="00BD553E"/>
    <w:rsid w:val="00BF6747"/>
    <w:rsid w:val="00BF6D01"/>
    <w:rsid w:val="00C319BE"/>
    <w:rsid w:val="00C450AF"/>
    <w:rsid w:val="00C7724D"/>
    <w:rsid w:val="00CB4990"/>
    <w:rsid w:val="00D12033"/>
    <w:rsid w:val="00D330FE"/>
    <w:rsid w:val="00E35C50"/>
    <w:rsid w:val="00F310BE"/>
    <w:rsid w:val="00F37167"/>
    <w:rsid w:val="00F96DB7"/>
    <w:rsid w:val="10ED296F"/>
    <w:rsid w:val="13CB02A5"/>
    <w:rsid w:val="17555BDC"/>
    <w:rsid w:val="245A2B22"/>
    <w:rsid w:val="31093341"/>
    <w:rsid w:val="352275ED"/>
    <w:rsid w:val="378665E9"/>
    <w:rsid w:val="384F2D5A"/>
    <w:rsid w:val="39686910"/>
    <w:rsid w:val="3F7F7AB3"/>
    <w:rsid w:val="3FB01F27"/>
    <w:rsid w:val="489676B6"/>
    <w:rsid w:val="4AF915C1"/>
    <w:rsid w:val="5E053485"/>
    <w:rsid w:val="5FB532EA"/>
    <w:rsid w:val="615A3AE7"/>
    <w:rsid w:val="66814DA5"/>
    <w:rsid w:val="700A73C9"/>
    <w:rsid w:val="76001861"/>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21">
    <w:name w:val="Default Paragraph Font"/>
    <w:unhideWhenUsed/>
    <w:qFormat/>
    <w:uiPriority w:val="1"/>
  </w:style>
  <w:style w:type="table" w:default="1" w:styleId="19">
    <w:name w:val="Normal Table"/>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260"/>
      <w:jc w:val="left"/>
    </w:pPr>
    <w:rPr>
      <w:rFonts w:ascii="Calibri" w:hAnsi="Calibri"/>
      <w:sz w:val="20"/>
      <w:szCs w:val="20"/>
    </w:rPr>
  </w:style>
  <w:style w:type="paragraph" w:styleId="6">
    <w:name w:val="toc 5"/>
    <w:basedOn w:val="1"/>
    <w:next w:val="1"/>
    <w:unhideWhenUsed/>
    <w:qFormat/>
    <w:uiPriority w:val="39"/>
    <w:pPr>
      <w:ind w:left="840"/>
      <w:jc w:val="left"/>
    </w:pPr>
    <w:rPr>
      <w:rFonts w:ascii="Calibri" w:hAnsi="Calibri"/>
      <w:sz w:val="20"/>
      <w:szCs w:val="20"/>
    </w:rPr>
  </w:style>
  <w:style w:type="paragraph" w:styleId="7">
    <w:name w:val="toc 3"/>
    <w:basedOn w:val="1"/>
    <w:next w:val="1"/>
    <w:unhideWhenUsed/>
    <w:qFormat/>
    <w:uiPriority w:val="39"/>
    <w:pPr>
      <w:ind w:left="420"/>
      <w:jc w:val="left"/>
    </w:pPr>
    <w:rPr>
      <w:rFonts w:ascii="Calibri" w:hAnsi="Calibri"/>
      <w:sz w:val="22"/>
    </w:rPr>
  </w:style>
  <w:style w:type="paragraph" w:styleId="8">
    <w:name w:val="toc 8"/>
    <w:basedOn w:val="1"/>
    <w:next w:val="1"/>
    <w:unhideWhenUsed/>
    <w:qFormat/>
    <w:uiPriority w:val="39"/>
    <w:pPr>
      <w:ind w:left="1470"/>
      <w:jc w:val="left"/>
    </w:pPr>
    <w:rPr>
      <w:rFonts w:ascii="Calibri" w:hAnsi="Calibri"/>
      <w:sz w:val="20"/>
      <w:szCs w:val="20"/>
    </w:rPr>
  </w:style>
  <w:style w:type="paragraph" w:styleId="9">
    <w:name w:val="Balloon Text"/>
    <w:basedOn w:val="1"/>
    <w:link w:val="24"/>
    <w:unhideWhenUsed/>
    <w:qFormat/>
    <w:uiPriority w:val="99"/>
    <w:rPr>
      <w:sz w:val="18"/>
      <w:szCs w:val="18"/>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spacing w:before="120"/>
      <w:jc w:val="left"/>
    </w:pPr>
    <w:rPr>
      <w:rFonts w:ascii="Calibri" w:hAnsi="Calibri"/>
      <w:b/>
      <w:sz w:val="24"/>
      <w:szCs w:val="24"/>
    </w:rPr>
  </w:style>
  <w:style w:type="paragraph" w:styleId="13">
    <w:name w:val="toc 4"/>
    <w:basedOn w:val="1"/>
    <w:next w:val="1"/>
    <w:unhideWhenUsed/>
    <w:qFormat/>
    <w:uiPriority w:val="39"/>
    <w:pPr>
      <w:ind w:left="630"/>
      <w:jc w:val="left"/>
    </w:pPr>
    <w:rPr>
      <w:rFonts w:ascii="Calibri" w:hAnsi="Calibri"/>
      <w:sz w:val="20"/>
      <w:szCs w:val="20"/>
    </w:rPr>
  </w:style>
  <w:style w:type="paragraph" w:styleId="14">
    <w:name w:val="toc 6"/>
    <w:basedOn w:val="1"/>
    <w:next w:val="1"/>
    <w:unhideWhenUsed/>
    <w:qFormat/>
    <w:uiPriority w:val="39"/>
    <w:pPr>
      <w:ind w:left="1050"/>
      <w:jc w:val="left"/>
    </w:pPr>
    <w:rPr>
      <w:rFonts w:ascii="Calibri" w:hAnsi="Calibri"/>
      <w:sz w:val="20"/>
      <w:szCs w:val="20"/>
    </w:rPr>
  </w:style>
  <w:style w:type="paragraph" w:styleId="15">
    <w:name w:val="toc 2"/>
    <w:basedOn w:val="1"/>
    <w:next w:val="1"/>
    <w:unhideWhenUsed/>
    <w:qFormat/>
    <w:uiPriority w:val="39"/>
    <w:pPr>
      <w:ind w:left="210"/>
      <w:jc w:val="left"/>
    </w:pPr>
    <w:rPr>
      <w:rFonts w:ascii="Calibri" w:hAnsi="Calibri"/>
      <w:b/>
      <w:sz w:val="22"/>
    </w:rPr>
  </w:style>
  <w:style w:type="paragraph" w:styleId="16">
    <w:name w:val="toc 9"/>
    <w:basedOn w:val="1"/>
    <w:next w:val="1"/>
    <w:unhideWhenUsed/>
    <w:qFormat/>
    <w:uiPriority w:val="39"/>
    <w:pPr>
      <w:ind w:left="1680"/>
      <w:jc w:val="left"/>
    </w:pPr>
    <w:rPr>
      <w:rFonts w:ascii="Calibri" w:hAnsi="Calibri"/>
      <w:sz w:val="20"/>
      <w:szCs w:val="20"/>
    </w:rPr>
  </w:style>
  <w:style w:type="paragraph" w:styleId="17">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semiHidden/>
    <w:unhideWhenUsed/>
    <w:qFormat/>
    <w:uiPriority w:val="99"/>
    <w:rPr>
      <w:sz w:val="24"/>
    </w:rPr>
  </w:style>
  <w:style w:type="table" w:styleId="20">
    <w:name w:val="Table Grid"/>
    <w:basedOn w:val="1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22"/>
    <w:rPr>
      <w:b/>
    </w:rPr>
  </w:style>
  <w:style w:type="character" w:customStyle="1" w:styleId="23">
    <w:name w:val="标题 1字符"/>
    <w:link w:val="2"/>
    <w:qFormat/>
    <w:uiPriority w:val="9"/>
    <w:rPr>
      <w:b/>
      <w:bCs/>
      <w:kern w:val="44"/>
      <w:sz w:val="44"/>
      <w:szCs w:val="44"/>
    </w:rPr>
  </w:style>
  <w:style w:type="character" w:customStyle="1" w:styleId="24">
    <w:name w:val="批注框文本字符"/>
    <w:link w:val="9"/>
    <w:semiHidden/>
    <w:qFormat/>
    <w:uiPriority w:val="99"/>
    <w:rPr>
      <w:sz w:val="18"/>
      <w:szCs w:val="18"/>
    </w:rPr>
  </w:style>
  <w:style w:type="character" w:customStyle="1" w:styleId="25">
    <w:name w:val="页脚字符"/>
    <w:link w:val="10"/>
    <w:qFormat/>
    <w:uiPriority w:val="99"/>
    <w:rPr>
      <w:sz w:val="18"/>
      <w:szCs w:val="18"/>
    </w:rPr>
  </w:style>
  <w:style w:type="character" w:customStyle="1" w:styleId="26">
    <w:name w:val="页眉字符"/>
    <w:link w:val="11"/>
    <w:qFormat/>
    <w:uiPriority w:val="99"/>
    <w:rPr>
      <w:sz w:val="18"/>
      <w:szCs w:val="18"/>
    </w:rPr>
  </w:style>
  <w:style w:type="paragraph" w:customStyle="1" w:styleId="27">
    <w:name w:val="_Style 25"/>
    <w:basedOn w:val="2"/>
    <w:next w:val="1"/>
    <w:unhideWhenUsed/>
    <w:qFormat/>
    <w:uiPriority w:val="39"/>
    <w:pPr>
      <w:widowControl/>
      <w:spacing w:before="480" w:after="0" w:line="276" w:lineRule="auto"/>
      <w:jc w:val="left"/>
      <w:outlineLvl w:val="9"/>
    </w:pPr>
    <w:rPr>
      <w:rFonts w:ascii="Calibri Light" w:hAnsi="Calibri Light" w:eastAsia="宋体" w:cs="Times New Roman"/>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10</Pages>
  <Words>1094</Words>
  <Characters>1117</Characters>
  <Lines>1</Lines>
  <Paragraphs>1</Paragraphs>
  <TotalTime>8</TotalTime>
  <ScaleCrop>false</ScaleCrop>
  <LinksUpToDate>false</LinksUpToDate>
  <CharactersWithSpaces>1133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2016-11-15T02:16:00Z</dcterms:created>
  <dc:creator>Windows 用户</dc:creator>
  <cp:lastModifiedBy>曹奇伟</cp:lastModifiedBy>
  <dcterms:modified xsi:type="dcterms:W3CDTF">2026-04-19T14:46:57Z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F2DFF299CBA240F7BD1084D0A35AF476_13</vt:lpwstr>
  </property>
  <property fmtid="{D5CDD505-2E9C-101B-9397-08002B2CF9AE}" pid="4" name="KSOTemplateDocerSaveRecord">
    <vt:lpwstr>eyJoZGlkIjoiZGUxMDU0YmNiMjE0YzRhZTgzYmEzZjExMTJhM2ZmN2YiLCJ1c2VySWQiOiI5NTI0Mzk5MDAifQ==</vt:lpwstr>
  </property>
</Properties>
</file>