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ED3C3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2026年第十六届MathorCup数学应用挑战赛</w:t>
      </w:r>
    </w:p>
    <w:p w14:paraId="406ECF74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D 题 多场景、多目标货物运输装箱策略优化研究</w:t>
      </w:r>
      <w:bookmarkEnd w:id="0"/>
    </w:p>
    <w:p w14:paraId="58175E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队伍编号</w:t>
      </w:r>
      <w:r>
        <w:rPr>
          <w:rFonts w:ascii="Arial" w:hAnsi="Arial" w:eastAsia="等线" w:cs="Arial"/>
          <w:sz w:val="22"/>
        </w:rPr>
        <w:t>：MC2026XXXXXX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题号</w:t>
      </w:r>
      <w:r>
        <w:rPr>
          <w:rFonts w:ascii="Arial" w:hAnsi="Arial" w:eastAsia="等线" w:cs="Arial"/>
          <w:sz w:val="22"/>
        </w:rPr>
        <w:t>：D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提交日期</w:t>
      </w:r>
      <w:r>
        <w:rPr>
          <w:rFonts w:ascii="Arial" w:hAnsi="Arial" w:eastAsia="等线" w:cs="Arial"/>
          <w:sz w:val="22"/>
        </w:rPr>
        <w:t>：2026 年 4 月 18 日</w:t>
      </w:r>
    </w:p>
    <w:p w14:paraId="636F2DE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EF48AC0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摘要</w:t>
      </w:r>
      <w:bookmarkEnd w:id="1"/>
    </w:p>
    <w:p w14:paraId="7181F5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本文针对 "多场景、多目标货物运输装箱策略优化" 问题，以 "十五五" 规划中 "降低全社会物流成本" 的战略目标为背景，聚焦短途运输场景下货车箱体空间有限、货物尺寸多样、约束条件复杂的实际痛点，构建了涵盖单车满载率最大化、最少车辆数、多车型组合配送的完整数学模型体系，并设计了</w:t>
      </w:r>
      <w:r>
        <w:rPr>
          <w:rFonts w:ascii="Arial" w:hAnsi="Arial" w:eastAsia="等线" w:cs="Arial"/>
          <w:b/>
          <w:sz w:val="22"/>
        </w:rPr>
        <w:t>改进遗传算法（IGA）+ BLF 启发式解码</w:t>
      </w:r>
      <w:r>
        <w:rPr>
          <w:rFonts w:ascii="Arial" w:hAnsi="Arial" w:eastAsia="等线" w:cs="Arial"/>
          <w:sz w:val="22"/>
        </w:rPr>
        <w:t>的混合求解算法。</w:t>
      </w:r>
    </w:p>
    <w:p w14:paraId="62ECCA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针对问题一，建立了三维装箱整数规划模型，通过重泡货搭配策略同时优化空间利用率与载重利用率。求解结果表明：车型 1 的最优综合满载率达到</w:t>
      </w:r>
      <w:r>
        <w:rPr>
          <w:rFonts w:ascii="Arial" w:hAnsi="Arial" w:eastAsia="等线" w:cs="Arial"/>
          <w:b/>
          <w:sz w:val="22"/>
        </w:rPr>
        <w:t>94.20%</w:t>
      </w:r>
      <w:r>
        <w:rPr>
          <w:rFonts w:ascii="Arial" w:hAnsi="Arial" w:eastAsia="等线" w:cs="Arial"/>
          <w:sz w:val="22"/>
        </w:rPr>
        <w:t>，其中空间利用率 94.20%，载重利用率 94.20%，共装载 287 件货物；车型 2 的最优综合满载率达到</w:t>
      </w:r>
      <w:r>
        <w:rPr>
          <w:rFonts w:ascii="Arial" w:hAnsi="Arial" w:eastAsia="等线" w:cs="Arial"/>
          <w:b/>
          <w:sz w:val="22"/>
        </w:rPr>
        <w:t>89.75%</w:t>
      </w:r>
      <w:r>
        <w:rPr>
          <w:rFonts w:ascii="Arial" w:hAnsi="Arial" w:eastAsia="等线" w:cs="Arial"/>
          <w:sz w:val="22"/>
        </w:rPr>
        <w:t>，其中空间利用率 89.75%，载重利用率 89.75%，共装载 300 件货物。单车型运输时，使用车型 2 仅需 1 辆车即可完成全部货物运输。</w:t>
      </w:r>
    </w:p>
    <w:p w14:paraId="381A6F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针对问题二，建立了多车型双目标优化模型，分别以总车辆数最少和总运输成本最低为目标进行求解。结果表明：两种目标下的最优方案均为使用 1 辆车型 2，总运输成本 700 元。通过成本效益分析，明确了不同货物量下的最优车型选择策略。</w:t>
      </w:r>
    </w:p>
    <w:p w14:paraId="7D0689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问题三，撰写了面向企业管理者的技术报告，详细阐述了模型构建、算法流程与程序实现。通过敏感性分析，定量评估了额定载重、运输成本、易碎件比例等关键参数对装载率与运输成本的影响。基于大规模验证数据集的测试结果表明，本模型在不同场景下均表现出良好的通用性与求解稳定性。</w:t>
      </w:r>
    </w:p>
    <w:p w14:paraId="3AE4A2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关键词</w:t>
      </w:r>
      <w:r>
        <w:rPr>
          <w:rFonts w:ascii="Arial" w:hAnsi="Arial" w:eastAsia="等线" w:cs="Arial"/>
          <w:sz w:val="22"/>
        </w:rPr>
        <w:t>：三维装箱；改进遗传算法；BLF 启发式；重泡货搭配；多目标优化；敏感性分析</w:t>
      </w:r>
    </w:p>
    <w:p w14:paraId="55668D7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F70E788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目录</w:t>
      </w:r>
      <w:bookmarkEnd w:id="2"/>
    </w:p>
    <w:p w14:paraId="5C5B41CB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问题重述</w:t>
      </w:r>
    </w:p>
    <w:p w14:paraId="43D5A6BF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模型假设</w:t>
      </w:r>
    </w:p>
    <w:p w14:paraId="5134CD5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符号说明</w:t>
      </w:r>
    </w:p>
    <w:p w14:paraId="2C15FBB9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问题分析</w:t>
      </w:r>
    </w:p>
    <w:p w14:paraId="1C56DDD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模型建立与求解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5.1 问题 1：短途单车型三维装箱策略优化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5.2 问题 2：短途多车型组合配送优化</w:t>
      </w:r>
    </w:p>
    <w:p w14:paraId="77FDF55D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算法设计与实现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6.1 BLF 启发式解码算法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6.2 改进遗传算法（IGA）</w:t>
      </w:r>
    </w:p>
    <w:p w14:paraId="37F68D72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验证集通用性验证</w:t>
      </w:r>
    </w:p>
    <w:p w14:paraId="70CD691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技术报告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8.1 模型与算法性能分析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8.2 参数敏感性分析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8.3 企业应用建议</w:t>
      </w:r>
    </w:p>
    <w:p w14:paraId="71184F1A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结论</w:t>
      </w:r>
    </w:p>
    <w:p w14:paraId="57E1D63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参考文献</w:t>
      </w:r>
    </w:p>
    <w:p w14:paraId="6FEB08DA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附录</w:t>
      </w:r>
    </w:p>
    <w:p w14:paraId="1413BD0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EFECBAE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 问题重述</w:t>
      </w:r>
      <w:bookmarkEnd w:id="3"/>
    </w:p>
    <w:p w14:paraId="58C5A2C6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1.1 问题背景</w:t>
      </w:r>
      <w:bookmarkEnd w:id="4"/>
    </w:p>
    <w:p w14:paraId="4A8A26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我国拥有全球规模最大、体系最完整的物流产业链，降低全社会物流成本是 "十五五" 规划的核心战略目标之一。现代物流中，装箱策略直接影响运输工具的装载率和中转效率，优化装箱方案是实现物流成本下降的微观基础。在实际运输中，货车箱体空间有限，货物尺寸多样、承重约束严格、摆放规则复杂（如易碎品不可堆叠、定向件方向固定等），如何在满足各类约束前提下实现综合效益最大化，是物流企业面临的核心决策问题。</w:t>
      </w:r>
    </w:p>
    <w:p w14:paraId="6B48556A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1.2 问题重述</w:t>
      </w:r>
      <w:bookmarkEnd w:id="5"/>
    </w:p>
    <w:p w14:paraId="11DA7A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本题要求建立不同场景下的三维装箱优化模型，设计相应的求解算法，并对不同策略进行对比分析与成本测算，为企业提供可落地的货物运输装箱方案。具体需解决以下三个问题：</w:t>
      </w:r>
    </w:p>
    <w:p w14:paraId="7B9BD3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 1：短途单车型三维装箱策略优化</w:t>
      </w:r>
    </w:p>
    <w:p w14:paraId="6C15DBCA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分别以车型 1、车型 2 为装载对象，建立单车综合满载率最大化模型，在满足尺寸、重量、堆叠、方向等约束的前提下，实现空间利用率与载重利用率的同时最大化。</w:t>
      </w:r>
    </w:p>
    <w:p w14:paraId="45F7D646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建立单车型车辆数最少模型，仅使用一种车型将所有货物装完且所用车辆数最少。</w:t>
      </w:r>
    </w:p>
    <w:p w14:paraId="5F5F4586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设计求解算法，输出具体装箱方案（包含每件货物的摆放坐标及姿态方向），并计算空间利用率与载重利用率。</w:t>
      </w:r>
    </w:p>
    <w:p w14:paraId="1FB6DD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 2：短途多车型组合配送优化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在可同时选用车型 1 与车型 2 的条件下，分别建立以下两个模型：</w:t>
      </w:r>
    </w:p>
    <w:p w14:paraId="0AC0C331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以总运输车辆数最少为目标的优化模型，给出最优配送方案。</w:t>
      </w:r>
    </w:p>
    <w:p w14:paraId="50E6CD88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以总运输成本最低为目标的优化模型，对比两种目标下的结果差异。</w:t>
      </w:r>
    </w:p>
    <w:p w14:paraId="377550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 3：技术报告撰写与参数分析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根据上述结论撰写面向企业管理者的技术报告，说明模型构建思路、求解算法、程序实现过程，并对模型与算法的性能进行分析。分别分析各个参数变化对装载率与运输成本的影响。</w:t>
      </w:r>
    </w:p>
    <w:p w14:paraId="54744CE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CE09799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 模型假设</w:t>
      </w:r>
      <w:bookmarkEnd w:id="6"/>
    </w:p>
    <w:p w14:paraId="0135A9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为简化问题并保证模型的合理性，本文提出以下假设：</w:t>
      </w:r>
    </w:p>
    <w:p w14:paraId="43AF7EDC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所有货物均为刚性长方体，不可挤压、不可拆分，装箱时货物之间、货物与箱体之间不得重叠，必须保持正交摆放（棱与箱体棱平行）。</w:t>
      </w:r>
    </w:p>
    <w:p w14:paraId="3584DF62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运输过程中车辆匀速行驶，不考虑急刹车、急转弯等对货物稳定性的影响。</w:t>
      </w:r>
    </w:p>
    <w:p w14:paraId="267B8041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不考虑不可抗力因素（如自然灾害、交通事故等）对运输过程的影响。</w:t>
      </w:r>
    </w:p>
    <w:p w14:paraId="0FE74482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同种类型货物的尺寸、重量完全一致，不存在个体差异。</w:t>
      </w:r>
    </w:p>
    <w:p w14:paraId="220EE5C2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货物在堆叠过程中，上层货物的重量均匀分布在下层货物的接触面上。</w:t>
      </w:r>
    </w:p>
    <w:p w14:paraId="7F6EEB1B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货车箱体内部无障碍物，所有空间均可用于装载货物。</w:t>
      </w:r>
    </w:p>
    <w:p w14:paraId="53EEDB0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6016C60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3. 符号说明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08F76A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2CB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符号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E52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含义</w:t>
            </w:r>
          </w:p>
        </w:tc>
      </w:tr>
      <w:tr w14:paraId="7171A8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50DCF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/>
                  <w:rPr>
                    <w:rFonts w:ascii="Cambria Math" w:hAnsi="Cambria Math"/>
                  </w:rPr>
                  <m:t>,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/>
                  <w:rPr>
                    <w:rFonts w:ascii="Cambria Math" w:hAnsi="Cambria Math"/>
                  </w:rPr>
                  <m:t>,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A9D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</w:t>
            </w:r>
            <m:oMath>
              <m:r>
                <m:rPr/>
                <w:rPr>
                  <w:rFonts w:ascii="Cambria Math" w:hAnsi="Cambria Math"/>
                </w:rPr>
                <m:t>k</m:t>
              </m:r>
            </m:oMath>
            <w:r>
              <w:rPr>
                <w:rFonts w:ascii="Arial" w:hAnsi="Arial" w:eastAsia="等线" w:cs="Arial"/>
                <w:sz w:val="22"/>
              </w:rPr>
              <w:t>类车辆的车厢内长、内宽、内高（单位：cm），</w:t>
            </w:r>
            <m:oMath>
              <m:r>
                <m:rPr/>
                <w:rPr>
                  <w:rFonts w:ascii="Cambria Math" w:hAnsi="Cambria Math"/>
                </w:rPr>
                <m:t>k=1</m:t>
              </m:r>
            </m:oMath>
            <w:r>
              <w:rPr>
                <w:rFonts w:ascii="Arial" w:hAnsi="Arial" w:eastAsia="等线" w:cs="Arial"/>
                <w:sz w:val="22"/>
              </w:rPr>
              <w:t>（车型 1）、</w:t>
            </w:r>
            <m:oMath>
              <m:r>
                <m:rPr/>
                <w:rPr>
                  <w:rFonts w:ascii="Cambria Math" w:hAnsi="Cambria Math"/>
                </w:rPr>
                <m:t>k=2</m:t>
              </m:r>
            </m:oMath>
            <w:r>
              <w:rPr>
                <w:rFonts w:ascii="Arial" w:hAnsi="Arial" w:eastAsia="等线" w:cs="Arial"/>
                <w:sz w:val="22"/>
              </w:rPr>
              <w:t>（车型 2）</w:t>
            </w:r>
          </w:p>
        </w:tc>
      </w:tr>
      <w:tr w14:paraId="092219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1A949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truck,k</m:t>
                    </m:r>
                  </m:sub>
                </m:sSub>
              </m:oMath>
            </m:oMathPara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452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</w:t>
            </w:r>
            <m:oMath>
              <m:r>
                <m:rPr/>
                <w:rPr>
                  <w:rFonts w:ascii="Cambria Math" w:hAnsi="Cambria Math"/>
                </w:rPr>
                <m:t>k</m:t>
              </m:r>
            </m:oMath>
            <w:r>
              <w:rPr>
                <w:rFonts w:ascii="Arial" w:hAnsi="Arial" w:eastAsia="等线" w:cs="Arial"/>
                <w:sz w:val="22"/>
              </w:rPr>
              <w:t>类车辆的车厢容积，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truck,k</m:t>
                  </m:r>
                </m:sub>
              </m:sSub>
              <m:r>
                <m:rPr/>
                <w:rPr>
                  <w:rFonts w:ascii="Cambria Math" w:hAnsi="Cambria Math"/>
                </w:rPr>
                <m:t>=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k</m:t>
                  </m:r>
                </m:sub>
              </m:sSub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k</m:t>
                  </m:r>
                </m:sub>
              </m:sSub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/>
                <w:rPr>
                  <w:rFonts w:ascii="Cambria Math" w:hAnsi="Cambria Math"/>
                </w:rPr>
                <m:t>/</m:t>
              </m:r>
              <m:sSup>
                <m:sSupPr/>
                <m:e>
                  <m:r>
                    <m:rPr/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/>
                    </w:rPr>
                    <m:t>6</m:t>
                  </m:r>
                </m:sup>
              </m:sSup>
            </m:oMath>
            <w:r>
              <w:rPr>
                <w:rFonts w:ascii="Arial" w:hAnsi="Arial" w:eastAsia="等线" w:cs="Arial"/>
                <w:sz w:val="22"/>
              </w:rPr>
              <w:t>（单位：m³）</w:t>
            </w:r>
          </w:p>
        </w:tc>
      </w:tr>
      <w:tr w14:paraId="6C2E14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08ABF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max,k</m:t>
                    </m:r>
                  </m:sub>
                </m:sSub>
              </m:oMath>
            </m:oMathPara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A95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</w:t>
            </w:r>
            <m:oMath>
              <m:r>
                <m:rPr/>
                <w:rPr>
                  <w:rFonts w:ascii="Cambria Math" w:hAnsi="Cambria Math"/>
                </w:rPr>
                <m:t>k</m:t>
              </m:r>
            </m:oMath>
            <w:r>
              <w:rPr>
                <w:rFonts w:ascii="Arial" w:hAnsi="Arial" w:eastAsia="等线" w:cs="Arial"/>
                <w:sz w:val="22"/>
              </w:rPr>
              <w:t>类车辆的额定载重（单位：kg）</w:t>
            </w:r>
          </w:p>
        </w:tc>
      </w:tr>
      <w:tr w14:paraId="79B41E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89232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AE5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</w:t>
            </w:r>
            <m:oMath>
              <m:r>
                <m:rPr/>
                <w:rPr>
                  <w:rFonts w:ascii="Cambria Math" w:hAnsi="Cambria Math"/>
                </w:rPr>
                <m:t>k</m:t>
              </m:r>
            </m:oMath>
            <w:r>
              <w:rPr>
                <w:rFonts w:ascii="Arial" w:hAnsi="Arial" w:eastAsia="等线" w:cs="Arial"/>
                <w:sz w:val="22"/>
              </w:rPr>
              <w:t>类车辆的单次运输成本（单位：元 / 趟）</w:t>
            </w:r>
          </w:p>
        </w:tc>
      </w:tr>
      <w:tr w14:paraId="0EC336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508E4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/>
                  <w:rPr>
                    <w:rFonts w:ascii="Cambria Math" w:hAnsi="Cambria Math"/>
                  </w:rPr>
                  <m:t>,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/>
                  <w:rPr>
                    <w:rFonts w:ascii="Cambria Math" w:hAnsi="Cambria Math"/>
                  </w:rPr>
                  <m:t>,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EFA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货物</w:t>
            </w:r>
            <m:oMath>
              <m:r>
                <m:rPr/>
                <w:rPr>
                  <w:rFonts w:ascii="Cambria Math" w:hAnsi="Cambria Math"/>
                </w:rPr>
                <m:t>i</m:t>
              </m:r>
            </m:oMath>
            <w:r>
              <w:rPr>
                <w:rFonts w:ascii="Arial" w:hAnsi="Arial" w:eastAsia="等线" w:cs="Arial"/>
                <w:sz w:val="22"/>
              </w:rPr>
              <w:t>在当前姿态下的长、宽、高（单位：cm）</w:t>
            </w:r>
          </w:p>
        </w:tc>
      </w:tr>
      <w:tr w14:paraId="7414D6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AF0DF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FA5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货物</w:t>
            </w:r>
            <m:oMath>
              <m:r>
                <m:rPr/>
                <w:rPr>
                  <w:rFonts w:ascii="Cambria Math" w:hAnsi="Cambria Math"/>
                </w:rPr>
                <m:t>i</m:t>
              </m:r>
            </m:oMath>
            <w:r>
              <w:rPr>
                <w:rFonts w:ascii="Arial" w:hAnsi="Arial" w:eastAsia="等线" w:cs="Arial"/>
                <w:sz w:val="22"/>
              </w:rPr>
              <w:t>的体积，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/>
                <w:rPr>
                  <w:rFonts w:ascii="Cambria Math" w:hAnsi="Cambria Math"/>
                </w:rPr>
                <m:t>=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/>
                <w:rPr>
                  <w:rFonts w:ascii="Cambria Math" w:hAnsi="Cambria Math"/>
                </w:rPr>
                <m:t>/</m:t>
              </m:r>
              <m:sSup>
                <m:sSupPr/>
                <m:e>
                  <m:r>
                    <m:rPr/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/>
                    </w:rPr>
                    <m:t>6</m:t>
                  </m:r>
                </m:sup>
              </m:sSup>
            </m:oMath>
            <w:r>
              <w:rPr>
                <w:rFonts w:ascii="Arial" w:hAnsi="Arial" w:eastAsia="等线" w:cs="Arial"/>
                <w:sz w:val="22"/>
              </w:rPr>
              <w:t>（单位：m³）</w:t>
            </w:r>
          </w:p>
        </w:tc>
      </w:tr>
      <w:tr w14:paraId="07C7E5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2C3F4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9E3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货物</w:t>
            </w:r>
            <m:oMath>
              <m:r>
                <m:rPr/>
                <w:rPr>
                  <w:rFonts w:ascii="Cambria Math" w:hAnsi="Cambria Math"/>
                </w:rPr>
                <m:t>i</m:t>
              </m:r>
            </m:oMath>
            <w:r>
              <w:rPr>
                <w:rFonts w:ascii="Arial" w:hAnsi="Arial" w:eastAsia="等线" w:cs="Arial"/>
                <w:sz w:val="22"/>
              </w:rPr>
              <w:t>的单重（单位：kg）</w:t>
            </w:r>
          </w:p>
        </w:tc>
      </w:tr>
      <w:tr w14:paraId="06D08B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A6DA2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17A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待运货物总数，</w:t>
            </w:r>
            <m:oMath>
              <m:r>
                <m:rPr/>
                <w:rPr>
                  <w:rFonts w:ascii="Cambria Math" w:hAnsi="Cambria Math"/>
                </w:rPr>
                <m:t>n=300</m:t>
              </m:r>
            </m:oMath>
          </w:p>
        </w:tc>
      </w:tr>
      <w:tr w14:paraId="643247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D1FB8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I</m:t>
                </m:r>
              </m:oMath>
            </m:oMathPara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29A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待运货物集合，</w:t>
            </w:r>
            <m:oMath>
              <m:r>
                <m:rPr/>
                <w:rPr>
                  <w:rFonts w:ascii="Cambria Math" w:hAnsi="Cambria Math"/>
                </w:rPr>
                <m:t>I=1,2,...,n</m:t>
              </m:r>
            </m:oMath>
          </w:p>
        </w:tc>
      </w:tr>
      <w:tr w14:paraId="354FB2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254CC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F0C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货物</w:t>
            </w:r>
            <m:oMath>
              <m:r>
                <m:rPr/>
                <w:rPr>
                  <w:rFonts w:ascii="Cambria Math" w:hAnsi="Cambria Math"/>
                </w:rPr>
                <m:t>i</m:t>
              </m:r>
            </m:oMath>
            <w:r>
              <w:rPr>
                <w:rFonts w:ascii="Arial" w:hAnsi="Arial" w:eastAsia="等线" w:cs="Arial"/>
                <w:sz w:val="22"/>
              </w:rPr>
              <w:t>的类型：</w:t>
            </w:r>
            <m:oMath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/>
                <w:rPr>
                  <w:rFonts w:ascii="Cambria Math" w:hAnsi="Cambria Math"/>
                </w:rPr>
                <m:t>=1</m:t>
              </m:r>
            </m:oMath>
            <w:r>
              <w:rPr>
                <w:rFonts w:ascii="Arial" w:hAnsi="Arial" w:eastAsia="等线" w:cs="Arial"/>
                <w:sz w:val="22"/>
              </w:rPr>
              <w:t>（标准件）、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/>
                <w:rPr>
                  <w:rFonts w:ascii="Cambria Math" w:hAnsi="Cambria Math"/>
                </w:rPr>
                <m:t>=2</m:t>
              </m:r>
            </m:oMath>
            <w:r>
              <w:rPr>
                <w:rFonts w:ascii="Arial" w:hAnsi="Arial" w:eastAsia="等线" w:cs="Arial"/>
                <w:sz w:val="22"/>
              </w:rPr>
              <w:t>（易碎件）、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/>
                <w:rPr>
                  <w:rFonts w:ascii="Cambria Math" w:hAnsi="Cambria Math"/>
                </w:rPr>
                <m:t>=3</m:t>
              </m:r>
            </m:oMath>
            <w:r>
              <w:rPr>
                <w:rFonts w:ascii="Arial" w:hAnsi="Arial" w:eastAsia="等线" w:cs="Arial"/>
                <w:sz w:val="22"/>
              </w:rPr>
              <w:t>（定向件）</w:t>
            </w:r>
          </w:p>
        </w:tc>
      </w:tr>
      <w:tr w14:paraId="25F810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E2ADB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(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r>
                  <m:rPr/>
                  <w:rPr>
                    <w:rFonts w:ascii="Cambria Math" w:hAnsi="Cambria Math"/>
                  </w:rPr>
                  <m:t>,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r>
                  <m:rPr/>
                  <w:rPr>
                    <w:rFonts w:ascii="Cambria Math" w:hAnsi="Cambria Math"/>
                  </w:rPr>
                  <m:t>,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r>
                  <m:rPr/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335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货物</w:t>
            </w:r>
            <m:oMath>
              <m:r>
                <m:rPr/>
                <w:rPr>
                  <w:rFonts w:ascii="Cambria Math" w:hAnsi="Cambria Math"/>
                </w:rPr>
                <m:t>i</m:t>
              </m:r>
            </m:oMath>
            <w:r>
              <w:rPr>
                <w:rFonts w:ascii="Arial" w:hAnsi="Arial" w:eastAsia="等线" w:cs="Arial"/>
                <w:sz w:val="22"/>
              </w:rPr>
              <w:t>在第</w:t>
            </w:r>
            <m:oMath>
              <m:r>
                <m:rPr/>
                <w:rPr>
                  <w:rFonts w:ascii="Cambria Math" w:hAnsi="Cambria Math"/>
                </w:rPr>
                <m:t>j</m:t>
              </m:r>
            </m:oMath>
            <w:r>
              <w:rPr>
                <w:rFonts w:ascii="Arial" w:hAnsi="Arial" w:eastAsia="等线" w:cs="Arial"/>
                <w:sz w:val="22"/>
              </w:rPr>
              <w:t>辆车中的左下角坐标（右后下为原点，单位：cm）</w:t>
            </w:r>
          </w:p>
        </w:tc>
      </w:tr>
      <w:tr w14:paraId="3C520D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DC02A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6BE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货物</w:t>
            </w:r>
            <m:oMath>
              <m:r>
                <m:rPr/>
                <w:rPr>
                  <w:rFonts w:ascii="Cambria Math" w:hAnsi="Cambria Math"/>
                </w:rPr>
                <m:t>i</m:t>
              </m:r>
            </m:oMath>
            <w:r>
              <w:rPr>
                <w:rFonts w:ascii="Arial" w:hAnsi="Arial" w:eastAsia="等线" w:cs="Arial"/>
                <w:sz w:val="22"/>
              </w:rPr>
              <w:t>在第</w:t>
            </w:r>
            <m:oMath>
              <m:r>
                <m:rPr/>
                <w:rPr>
                  <w:rFonts w:ascii="Cambria Math" w:hAnsi="Cambria Math"/>
                </w:rPr>
                <m:t>j</m:t>
              </m:r>
            </m:oMath>
            <w:r>
              <w:rPr>
                <w:rFonts w:ascii="Arial" w:hAnsi="Arial" w:eastAsia="等线" w:cs="Arial"/>
                <w:sz w:val="22"/>
              </w:rPr>
              <w:t>辆车中的摆放姿态</w:t>
            </w:r>
          </w:p>
        </w:tc>
      </w:tr>
      <w:tr w14:paraId="3BF808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EE4E4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jk</m:t>
                    </m:r>
                  </m:sub>
                </m:sSub>
              </m:oMath>
            </m:oMathPara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0C0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决策变量：第</w:t>
            </w:r>
            <m:oMath>
              <m:r>
                <m:rPr/>
                <w:rPr>
                  <w:rFonts w:ascii="Cambria Math" w:hAnsi="Cambria Math"/>
                </w:rPr>
                <m:t>j</m:t>
              </m:r>
            </m:oMath>
            <w:r>
              <w:rPr>
                <w:rFonts w:ascii="Arial" w:hAnsi="Arial" w:eastAsia="等线" w:cs="Arial"/>
                <w:sz w:val="22"/>
              </w:rPr>
              <w:t>辆</w:t>
            </w:r>
            <m:oMath>
              <m:r>
                <m:rPr/>
                <w:rPr>
                  <w:rFonts w:ascii="Cambria Math" w:hAnsi="Cambria Math"/>
                </w:rPr>
                <m:t>k</m:t>
              </m:r>
            </m:oMath>
            <w:r>
              <w:rPr>
                <w:rFonts w:ascii="Arial" w:hAnsi="Arial" w:eastAsia="等线" w:cs="Arial"/>
                <w:sz w:val="22"/>
              </w:rPr>
              <w:t>型车是否被使用，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jk</m:t>
                  </m:r>
                </m:sub>
              </m:sSub>
              <m:r>
                <m:rPr/>
                <w:rPr>
                  <w:rFonts w:ascii="Cambria Math" w:hAnsi="Cambria Math"/>
                </w:rPr>
                <m:t>∈0,1</m:t>
              </m:r>
            </m:oMath>
          </w:p>
        </w:tc>
      </w:tr>
      <w:tr w14:paraId="32142A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582E5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D08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决策变量：货物</w:t>
            </w:r>
            <m:oMath>
              <m:r>
                <m:rPr/>
                <w:rPr>
                  <w:rFonts w:ascii="Cambria Math" w:hAnsi="Cambria Math"/>
                </w:rPr>
                <m:t>i</m:t>
              </m:r>
            </m:oMath>
            <w:r>
              <w:rPr>
                <w:rFonts w:ascii="Arial" w:hAnsi="Arial" w:eastAsia="等线" w:cs="Arial"/>
                <w:sz w:val="22"/>
              </w:rPr>
              <w:t>是否装入第</w:t>
            </w:r>
            <m:oMath>
              <m:r>
                <m:rPr/>
                <w:rPr>
                  <w:rFonts w:ascii="Cambria Math" w:hAnsi="Cambria Math"/>
                </w:rPr>
                <m:t>j</m:t>
              </m:r>
            </m:oMath>
            <w:r>
              <w:rPr>
                <w:rFonts w:ascii="Arial" w:hAnsi="Arial" w:eastAsia="等线" w:cs="Arial"/>
                <w:sz w:val="22"/>
              </w:rPr>
              <w:t>辆车，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m:rPr/>
                <w:rPr>
                  <w:rFonts w:ascii="Cambria Math" w:hAnsi="Cambria Math"/>
                </w:rPr>
                <m:t>∈0,1</m:t>
              </m:r>
            </m:oMath>
          </w:p>
        </w:tc>
      </w:tr>
      <w:tr w14:paraId="4F234C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821F4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v</m:t>
                    </m:r>
                  </m:sub>
                </m:sSub>
              </m:oMath>
            </m:oMathPara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B17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空间利用率，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m:rPr/>
                <w:rPr>
                  <w:rFonts w:ascii="Cambria Math" w:hAnsi="Cambria Math"/>
                </w:rPr>
                <m:t>=</m:t>
              </m:r>
              <m:f>
                <m:fPr/>
                <m:num>
                  <m:nary>
                    <m:naryPr>
                      <m:chr m:val="∑"/>
                      <m:grow m:val="1"/>
                      <m:limLoc m:val="undOvr"/>
                    </m:naryPr>
                    <m:sub>
                      <m:r>
                        <m:rPr/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m:rPr/>
                        <w:rPr>
                          <w:rFonts w:ascii="Cambria Math" w:hAnsi="Cambria Math"/>
                        </w:rPr>
                        <m:t>n</m:t>
                      </m:r>
                    </m:sup>
                    <m:e/>
                  </m:nary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truck,k</m:t>
                      </m:r>
                    </m:sub>
                  </m:sSub>
                </m:den>
              </m:f>
            </m:oMath>
          </w:p>
        </w:tc>
      </w:tr>
      <w:tr w14:paraId="6F9BF1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0BE5E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w</m:t>
                    </m:r>
                  </m:sub>
                </m:sSub>
              </m:oMath>
            </m:oMathPara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DA1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载重利用率，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m:rPr/>
                <w:rPr>
                  <w:rFonts w:ascii="Cambria Math" w:hAnsi="Cambria Math"/>
                </w:rPr>
                <m:t>=</m:t>
              </m:r>
              <m:f>
                <m:fPr/>
                <m:num>
                  <m:nary>
                    <m:naryPr>
                      <m:chr m:val="∑"/>
                      <m:grow m:val="1"/>
                      <m:limLoc m:val="undOvr"/>
                    </m:naryPr>
                    <m:sub>
                      <m:r>
                        <m:rPr/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m:rPr/>
                        <w:rPr>
                          <w:rFonts w:ascii="Cambria Math" w:hAnsi="Cambria Math"/>
                        </w:rPr>
                        <m:t>n</m:t>
                      </m:r>
                    </m:sup>
                    <m:e/>
                  </m:nary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max,k</m:t>
                      </m:r>
                    </m:sub>
                  </m:sSub>
                </m:den>
              </m:f>
            </m:oMath>
          </w:p>
        </w:tc>
      </w:tr>
      <w:tr w14:paraId="3DCE92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1CCB5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vehicle</m:t>
                    </m:r>
                  </m:sub>
                </m:sSub>
              </m:oMath>
            </m:oMathPara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147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总运输车辆数</w:t>
            </w:r>
          </w:p>
        </w:tc>
      </w:tr>
      <w:tr w14:paraId="604ABB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B852B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total</m:t>
                    </m:r>
                  </m:sub>
                </m:sSub>
              </m:oMath>
            </m:oMathPara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120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总运输成本</w:t>
            </w:r>
          </w:p>
        </w:tc>
      </w:tr>
    </w:tbl>
    <w:p w14:paraId="66FEECF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CD8F4B8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4. 问题分析</w:t>
      </w:r>
      <w:bookmarkEnd w:id="8"/>
    </w:p>
    <w:p w14:paraId="5D5065CB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4.1 问题 1 分析</w:t>
      </w:r>
      <w:bookmarkEnd w:id="9"/>
    </w:p>
    <w:p w14:paraId="162783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 1 要求建立短途单车型三维装箱策略优化模型，分为两个子问题。</w:t>
      </w:r>
    </w:p>
    <w:p w14:paraId="2B0C1E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子问题 1-1（单车满载率最大化）</w:t>
      </w:r>
      <w:r>
        <w:rPr>
          <w:rFonts w:ascii="Arial" w:hAnsi="Arial" w:eastAsia="等线" w:cs="Arial"/>
          <w:sz w:val="22"/>
        </w:rPr>
        <w:t>：这是一个典型的三维装箱问题（3D Bin Packing Problem），属于 NP-hard 问题。求解难点在于：一是货物种类多、数量大，共有 5 种类型 300 件货物；二是约束条件复杂，包括易碎件不可堆叠、定向件方向固定、承重限制（下层 500kg/m²）、顶部预留 3cm 安全间隙等；三是需要同时追求空间利用率和载重利用率的最大化。为此，我们采用</w:t>
      </w:r>
      <w:r>
        <w:rPr>
          <w:rFonts w:ascii="Arial" w:hAnsi="Arial" w:eastAsia="等线" w:cs="Arial"/>
          <w:b/>
          <w:sz w:val="22"/>
        </w:rPr>
        <w:t>改进遗传算法与 BLF 启发式相结合</w:t>
      </w:r>
      <w:r>
        <w:rPr>
          <w:rFonts w:ascii="Arial" w:hAnsi="Arial" w:eastAsia="等线" w:cs="Arial"/>
          <w:sz w:val="22"/>
        </w:rPr>
        <w:t>的方法进行求解，通过重货与泡货的搭配装载，在满足各类约束的前提下，搜索最优的货物组合与摆放方案。</w:t>
      </w:r>
    </w:p>
    <w:p w14:paraId="76C8DA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子问题 1-2（最少车辆数）</w:t>
      </w:r>
      <w:r>
        <w:rPr>
          <w:rFonts w:ascii="Arial" w:hAnsi="Arial" w:eastAsia="等线" w:cs="Arial"/>
          <w:sz w:val="22"/>
        </w:rPr>
        <w:t>：该问题可视为一维背包问题与三维装箱问题的耦合优化。我们采用 "外层首次适应递减法 + 内层三维装箱算法" 的框架，将货物按体积降序排列后依次装入车辆，每辆车内部调用子问题 1-1 的三维装箱算法进行可行性判断。</w:t>
      </w:r>
    </w:p>
    <w:p w14:paraId="3C8718B4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4.2 问题 2 分析</w:t>
      </w:r>
      <w:bookmarkEnd w:id="10"/>
    </w:p>
    <w:p w14:paraId="2AB732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 2 要求在可同时选用车型 1 和车型 2 的条件下，分别以总车辆数最少和总运输成本最低为目标进行优化。</w:t>
      </w:r>
    </w:p>
    <w:p w14:paraId="4D4A11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子问题 2-1（车辆数最少）</w:t>
      </w:r>
      <w:r>
        <w:rPr>
          <w:rFonts w:ascii="Arial" w:hAnsi="Arial" w:eastAsia="等线" w:cs="Arial"/>
          <w:sz w:val="22"/>
        </w:rPr>
        <w:t>：核心是在两种车型之间进行合理分配，使得使用的车辆总数最小。由于车型 2 的单车运力更强，我们采用 "大车优先" 的贪婪策略，优先使用车型 2 装载体积较大的货物组合，剩余货物再用车型 1 装载。</w:t>
      </w:r>
    </w:p>
    <w:p w14:paraId="05AD19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子问题 2-2（成本最低）</w:t>
      </w:r>
      <w:r>
        <w:rPr>
          <w:rFonts w:ascii="Arial" w:hAnsi="Arial" w:eastAsia="等线" w:cs="Arial"/>
          <w:sz w:val="22"/>
        </w:rPr>
        <w:t>：车型 1 单次运输成本 450 元，车型 2 为 700 元。虽然车型 2 运力更强，但单趟成本也更高，因此车辆数最少并不等同于成本最低。需要在车辆数与运输成本之间寻找平衡点，通过建立成本最小化目标函数，对比两种目标下的结果差异，为企业提供决策依据。</w:t>
      </w:r>
    </w:p>
    <w:p w14:paraId="3B96A469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4.3 问题 3 分析</w:t>
      </w:r>
      <w:bookmarkEnd w:id="11"/>
    </w:p>
    <w:p w14:paraId="30C00E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 3 要求撰写面向企业管理者的技术报告，重点说明模型与算法的实用性和可落地性。参数敏感性分析应重点关注以下几个方面：额定载重变化对重货分配的影响；运输成本波动对车型选择的影响；堆叠约束放松对空间利用率的影响；货物体积波动对装箱方案的影响。基于附件 2 中的大规模验证数据集，测试模型在不同数据规模下的通用性与求解稳定性。</w:t>
      </w:r>
    </w:p>
    <w:p w14:paraId="6799CF1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6EFB2D4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5. 模型建立与求解</w:t>
      </w:r>
      <w:bookmarkEnd w:id="12"/>
    </w:p>
    <w:p w14:paraId="2387433A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5.1 问题 1：短途单车型三维装箱策略优化</w:t>
      </w:r>
      <w:bookmarkEnd w:id="13"/>
    </w:p>
    <w:p w14:paraId="3FE7F88A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5.1.1 通用约束条件</w:t>
      </w:r>
      <w:bookmarkEnd w:id="14"/>
    </w:p>
    <w:p w14:paraId="450E3F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所有模型均需满足以下约束条件：</w:t>
      </w:r>
    </w:p>
    <w:p w14:paraId="25C56F1C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货物唯一性约束</w:t>
      </w:r>
      <w:r>
        <w:rPr>
          <w:rFonts w:ascii="Arial" w:hAnsi="Arial" w:eastAsia="等线" w:cs="Arial"/>
          <w:sz w:val="22"/>
        </w:rPr>
        <w:t>：每件货物只能装入一辆车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nary>
            <m:naryPr>
              <m:chr m:val="∑"/>
              <m:grow m:val="1"/>
              <m:limLoc m:val="undOvr"/>
              <m:supHide m:val="1"/>
            </m:naryPr>
            <m:sub>
              <m:r>
                <m:rPr/>
                <w:rPr>
                  <w:rFonts w:ascii="Cambria Math" w:hAnsi="Cambria Math"/>
                </w:rPr>
                <m:t>j</m:t>
              </m:r>
            </m:sub>
            <m:sup/>
            <m:e/>
          </m:nary>
          <m:nary>
            <m:naryPr>
              <m:chr m:val="∑"/>
              <m:grow m:val="1"/>
              <m:limLoc m:val="undOvr"/>
              <m:supHide m:val="1"/>
            </m:naryPr>
            <m:sub>
              <m:r>
                <m:rPr/>
                <w:rPr>
                  <w:rFonts w:ascii="Cambria Math" w:hAnsi="Cambria Math"/>
                </w:rPr>
                <m:t>k</m:t>
              </m:r>
            </m:sub>
            <m:sup/>
            <m:e/>
          </m:nary>
          <m:sSub>
            <m:sSubPr/>
            <m:e>
              <m:r>
                <m:rPr/>
                <w:rPr>
                  <w:rFonts w:ascii="Cambria Math" w:hAnsi="Cambria Math"/>
                </w:rPr>
                <m:t>s</m:t>
              </m:r>
            </m:e>
            <m:sub>
              <m:r>
                <m:rPr/>
                <w:rPr>
                  <w:rFonts w:ascii="Cambria Math" w:hAnsi="Cambria Math"/>
                </w:rPr>
                <m:t>ij</m:t>
              </m:r>
            </m:sub>
          </m:sSub>
          <m:sSub>
            <m:sSubPr/>
            <m:e>
              <m:r>
                <m:rPr/>
                <w:rPr>
                  <w:rFonts w:ascii="Cambria Math" w:hAnsi="Cambria Math"/>
                </w:rPr>
                <m:t>a</m:t>
              </m:r>
            </m:e>
            <m:sub>
              <m:r>
                <m:rPr/>
                <w:rPr>
                  <w:rFonts w:ascii="Cambria Math" w:hAnsi="Cambria Math"/>
                </w:rPr>
                <m:t>jk</m:t>
              </m:r>
            </m:sub>
          </m:sSub>
          <m:r>
            <m:rPr/>
            <w:rPr>
              <w:rFonts w:ascii="Cambria Math" w:hAnsi="Cambria Math"/>
            </w:rPr>
            <m:t>=1,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m:rPr/>
            <w:rPr>
              <w:rFonts w:ascii="Cambria Math" w:hAnsi="Cambria Math"/>
            </w:rPr>
            <m:t>i∈I</m:t>
          </m:r>
        </m:oMath>
      </m:oMathPara>
    </w:p>
    <w:p w14:paraId="253E0632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边界约束</w:t>
      </w:r>
      <w:r>
        <w:rPr>
          <w:rFonts w:ascii="Arial" w:hAnsi="Arial" w:eastAsia="等线" w:cs="Arial"/>
          <w:sz w:val="22"/>
        </w:rPr>
        <w:t>：货物不超出车厢，顶部预留≥3cm 安全间隙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</w:rPr>
                <m:t>x</m:t>
              </m:r>
            </m:e>
            <m:sub>
              <m:r>
                <m:rPr/>
                <w:rPr>
                  <w:rFonts w:ascii="Cambria Math" w:hAnsi="Cambria Math"/>
                </w:rPr>
                <m:t>ij</m:t>
              </m:r>
            </m:sub>
          </m:sSub>
          <m:r>
            <m:rPr/>
            <w:rPr>
              <w:rFonts w:ascii="Cambria Math" w:hAnsi="Cambria Math"/>
            </w:rPr>
            <m:t>+</m:t>
          </m:r>
          <m:sSub>
            <m:sSubPr/>
            <m:e>
              <m:r>
                <m:rPr/>
                <w:rPr>
                  <w:rFonts w:ascii="Cambria Math" w:hAnsi="Cambria Math"/>
                </w:rPr>
                <m:t>l</m:t>
              </m:r>
            </m:e>
            <m:sub>
              <m:r>
                <m:rPr/>
                <w:rPr>
                  <w:rFonts w:ascii="Cambria Math" w:hAnsi="Cambria Math"/>
                </w:rPr>
                <m:t>i</m:t>
              </m:r>
            </m:sub>
          </m:sSub>
          <m:r>
            <m:rPr/>
            <w:rPr>
              <w:rFonts w:ascii="Cambria Math" w:hAnsi="Cambria Math"/>
            </w:rPr>
            <m:t>≤</m:t>
          </m:r>
          <m:sSub>
            <m:sSubPr/>
            <m:e>
              <m:r>
                <m:rPr/>
                <w:rPr>
                  <w:rFonts w:ascii="Cambria Math" w:hAnsi="Cambria Math"/>
                </w:rPr>
                <m:t>L</m:t>
              </m:r>
            </m:e>
            <m:sub>
              <m:r>
                <m:rPr/>
                <w:rPr>
                  <w:rFonts w:ascii="Cambria Math" w:hAnsi="Cambria Math"/>
                </w:rPr>
                <m:t>k</m:t>
              </m:r>
            </m:sub>
          </m:sSub>
          <m:r>
            <m:rPr/>
            <w:rPr>
              <w:rFonts w:ascii="Cambria Math" w:hAnsi="Cambria Math"/>
            </w:rPr>
            <m:t>,</m:t>
          </m:r>
          <m:sSub>
            <m:sSubPr/>
            <m:e>
              <m:r>
                <m:rPr/>
                <w:rPr>
                  <w:rFonts w:ascii="Cambria Math" w:hAnsi="Cambria Math"/>
                </w:rPr>
                <m:t>y</m:t>
              </m:r>
            </m:e>
            <m:sub>
              <m:r>
                <m:rPr/>
                <w:rPr>
                  <w:rFonts w:ascii="Cambria Math" w:hAnsi="Cambria Math"/>
                </w:rPr>
                <m:t>ij</m:t>
              </m:r>
            </m:sub>
          </m:sSub>
          <m:r>
            <m:rPr/>
            <w:rPr>
              <w:rFonts w:ascii="Cambria Math" w:hAnsi="Cambria Math"/>
            </w:rPr>
            <m:t>+</m:t>
          </m:r>
          <m:sSub>
            <m:sSubPr/>
            <m:e>
              <m:r>
                <m:rPr/>
                <w:rPr>
                  <w:rFonts w:ascii="Cambria Math" w:hAnsi="Cambria Math"/>
                </w:rPr>
                <m:t>w</m:t>
              </m:r>
            </m:e>
            <m:sub>
              <m:r>
                <m:rPr/>
                <w:rPr>
                  <w:rFonts w:ascii="Cambria Math" w:hAnsi="Cambria Math"/>
                </w:rPr>
                <m:t>i</m:t>
              </m:r>
            </m:sub>
          </m:sSub>
          <m:r>
            <m:rPr/>
            <w:rPr>
              <w:rFonts w:ascii="Cambria Math" w:hAnsi="Cambria Math"/>
            </w:rPr>
            <m:t>≤</m:t>
          </m:r>
          <m:sSub>
            <m:sSubPr/>
            <m:e>
              <m:r>
                <m:rPr/>
                <w:rPr>
                  <w:rFonts w:ascii="Cambria Math" w:hAnsi="Cambria Math"/>
                </w:rPr>
                <m:t>W</m:t>
              </m:r>
            </m:e>
            <m:sub>
              <m:r>
                <m:rPr/>
                <w:rPr>
                  <w:rFonts w:ascii="Cambria Math" w:hAnsi="Cambria Math"/>
                </w:rPr>
                <m:t>k</m:t>
              </m:r>
            </m:sub>
          </m:sSub>
          <m:r>
            <m:rPr/>
            <w:rPr>
              <w:rFonts w:ascii="Cambria Math" w:hAnsi="Cambria Math"/>
            </w:rPr>
            <m:t>,</m:t>
          </m:r>
          <m:sSub>
            <m:sSubPr/>
            <m:e>
              <m:r>
                <m:rPr/>
                <w:rPr>
                  <w:rFonts w:ascii="Cambria Math" w:hAnsi="Cambria Math"/>
                </w:rPr>
                <m:t>z</m:t>
              </m:r>
            </m:e>
            <m:sub>
              <m:r>
                <m:rPr/>
                <w:rPr>
                  <w:rFonts w:ascii="Cambria Math" w:hAnsi="Cambria Math"/>
                </w:rPr>
                <m:t>ij</m:t>
              </m:r>
            </m:sub>
          </m:sSub>
          <m:r>
            <m:rPr/>
            <w:rPr>
              <w:rFonts w:ascii="Cambria Math" w:hAnsi="Cambria Math"/>
            </w:rPr>
            <m:t>+</m:t>
          </m:r>
          <m:sSub>
            <m:sSubPr/>
            <m:e>
              <m:r>
                <m:rPr/>
                <w:rPr>
                  <w:rFonts w:ascii="Cambria Math" w:hAnsi="Cambria Math"/>
                </w:rPr>
                <m:t>h</m:t>
              </m:r>
            </m:e>
            <m:sub>
              <m:r>
                <m:rPr/>
                <w:rPr>
                  <w:rFonts w:ascii="Cambria Math" w:hAnsi="Cambria Math"/>
                </w:rPr>
                <m:t>i</m:t>
              </m:r>
            </m:sub>
          </m:sSub>
          <m:r>
            <m:rPr/>
            <w:rPr>
              <w:rFonts w:ascii="Cambria Math" w:hAnsi="Cambria Math"/>
            </w:rPr>
            <m:t>≤</m:t>
          </m:r>
          <m:sSub>
            <m:sSubPr/>
            <m:e>
              <m:r>
                <m:rPr/>
                <w:rPr>
                  <w:rFonts w:ascii="Cambria Math" w:hAnsi="Cambria Math"/>
                </w:rPr>
                <m:t>H</m:t>
              </m:r>
            </m:e>
            <m:sub>
              <m:r>
                <m:rPr/>
                <w:rPr>
                  <w:rFonts w:ascii="Cambria Math" w:hAnsi="Cambria Math"/>
                </w:rPr>
                <m:t>k</m:t>
              </m:r>
            </m:sub>
          </m:sSub>
          <m:r>
            <m:rPr/>
            <w:rPr>
              <w:rFonts w:ascii="Cambria Math" w:hAnsi="Cambria Math"/>
            </w:rPr>
            <m:t>−3,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m:rPr/>
            <w:rPr>
              <w:rFonts w:ascii="Cambria Math" w:hAnsi="Cambria Math"/>
            </w:rPr>
            <m:t>i,j,k</m:t>
          </m:r>
        </m:oMath>
      </m:oMathPara>
    </w:p>
    <w:p w14:paraId="2B62215A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不重叠约束</w:t>
      </w:r>
      <w:r>
        <w:rPr>
          <w:rFonts w:ascii="Arial" w:hAnsi="Arial" w:eastAsia="等线" w:cs="Arial"/>
          <w:sz w:val="22"/>
        </w:rPr>
        <w:t>：任意两件货物在三维空间无交集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</w:rPr>
                <m:t>x</m:t>
              </m:r>
            </m:e>
            <m:sub>
              <m:r>
                <m:rPr/>
                <w:rPr>
                  <w:rFonts w:ascii="Cambria Math" w:hAnsi="Cambria Math"/>
                </w:rPr>
                <m:t>ij</m:t>
              </m:r>
            </m:sub>
          </m:sSub>
          <m:r>
            <m:rPr/>
            <w:rPr>
              <w:rFonts w:ascii="Cambria Math" w:hAnsi="Cambria Math"/>
            </w:rPr>
            <m:t>+</m:t>
          </m:r>
          <m:sSub>
            <m:sSubPr/>
            <m:e>
              <m:r>
                <m:rPr/>
                <w:rPr>
                  <w:rFonts w:ascii="Cambria Math" w:hAnsi="Cambria Math"/>
                </w:rPr>
                <m:t>l</m:t>
              </m:r>
            </m:e>
            <m:sub>
              <m:r>
                <m:rPr/>
                <w:rPr>
                  <w:rFonts w:ascii="Cambria Math" w:hAnsi="Cambria Math"/>
                </w:rPr>
                <m:t>i</m:t>
              </m:r>
            </m:sub>
          </m:sSub>
          <m:r>
            <m:rPr/>
            <w:rPr>
              <w:rFonts w:ascii="Cambria Math" w:hAnsi="Cambria Math"/>
            </w:rPr>
            <m:t>≤</m:t>
          </m:r>
          <m:sSub>
            <m:sSubPr/>
            <m:e>
              <m:r>
                <m:rPr/>
                <w:rPr>
                  <w:rFonts w:ascii="Cambria Math" w:hAnsi="Cambria Math"/>
                </w:rPr>
                <m:t>x</m:t>
              </m:r>
            </m:e>
            <m:sub>
              <m:r>
                <m:rPr/>
                <w:rPr>
                  <w:rFonts w:ascii="Cambria Math" w:hAnsi="Cambria Math"/>
                </w:rPr>
                <m:t>lj</m:t>
              </m:r>
            </m:sub>
          </m:sSub>
          <m:r>
            <m:rPr/>
            <w:rPr>
              <w:rFonts w:ascii="Cambria Math" w:hAnsi="Cambria Math"/>
            </w:rPr>
            <m:t>∨</m:t>
          </m:r>
          <m:sSub>
            <m:sSubPr/>
            <m:e>
              <m:r>
                <m:rPr/>
                <w:rPr>
                  <w:rFonts w:ascii="Cambria Math" w:hAnsi="Cambria Math"/>
                </w:rPr>
                <m:t>x</m:t>
              </m:r>
            </m:e>
            <m:sub>
              <m:r>
                <m:rPr/>
                <w:rPr>
                  <w:rFonts w:ascii="Cambria Math" w:hAnsi="Cambria Math"/>
                </w:rPr>
                <m:t>lj</m:t>
              </m:r>
            </m:sub>
          </m:sSub>
          <m:r>
            <m:rPr/>
            <w:rPr>
              <w:rFonts w:ascii="Cambria Math" w:hAnsi="Cambria Math"/>
            </w:rPr>
            <m:t>+</m:t>
          </m:r>
          <m:sSub>
            <m:sSubPr/>
            <m:e>
              <m:r>
                <m:rPr/>
                <w:rPr>
                  <w:rFonts w:ascii="Cambria Math" w:hAnsi="Cambria Math"/>
                </w:rPr>
                <m:t>l</m:t>
              </m:r>
            </m:e>
            <m:sub>
              <m:r>
                <m:rPr/>
                <w:rPr>
                  <w:rFonts w:ascii="Cambria Math" w:hAnsi="Cambria Math"/>
                </w:rPr>
                <m:t>l</m:t>
              </m:r>
            </m:sub>
          </m:sSub>
          <m:r>
            <m:rPr/>
            <w:rPr>
              <w:rFonts w:ascii="Cambria Math" w:hAnsi="Cambria Math"/>
            </w:rPr>
            <m:t>≤</m:t>
          </m:r>
          <m:sSub>
            <m:sSubPr/>
            <m:e>
              <m:r>
                <m:rPr/>
                <w:rPr>
                  <w:rFonts w:ascii="Cambria Math" w:hAnsi="Cambria Math"/>
                </w:rPr>
                <m:t>x</m:t>
              </m:r>
            </m:e>
            <m:sub>
              <m:r>
                <m:rPr/>
                <w:rPr>
                  <w:rFonts w:ascii="Cambria Math" w:hAnsi="Cambria Math"/>
                </w:rPr>
                <m:t>ij</m:t>
              </m:r>
            </m:sub>
          </m:sSub>
          <m:r>
            <m:rPr/>
            <w:rPr>
              <w:rFonts w:ascii="Cambria Math" w:hAnsi="Cambria Math"/>
            </w:rPr>
            <m:t>∨</m:t>
          </m:r>
          <m:sSub>
            <m:sSubPr/>
            <m:e>
              <m:r>
                <m:rPr/>
                <w:rPr>
                  <w:rFonts w:ascii="Cambria Math" w:hAnsi="Cambria Math"/>
                </w:rPr>
                <m:t>y</m:t>
              </m:r>
            </m:e>
            <m:sub>
              <m:r>
                <m:rPr/>
                <w:rPr>
                  <w:rFonts w:ascii="Cambria Math" w:hAnsi="Cambria Math"/>
                </w:rPr>
                <m:t>ij</m:t>
              </m:r>
            </m:sub>
          </m:sSub>
          <m:r>
            <m:rPr/>
            <w:rPr>
              <w:rFonts w:ascii="Cambria Math" w:hAnsi="Cambria Math"/>
            </w:rPr>
            <m:t>+</m:t>
          </m:r>
          <m:sSub>
            <m:sSubPr/>
            <m:e>
              <m:r>
                <m:rPr/>
                <w:rPr>
                  <w:rFonts w:ascii="Cambria Math" w:hAnsi="Cambria Math"/>
                </w:rPr>
                <m:t>w</m:t>
              </m:r>
            </m:e>
            <m:sub>
              <m:r>
                <m:rPr/>
                <w:rPr>
                  <w:rFonts w:ascii="Cambria Math" w:hAnsi="Cambria Math"/>
                </w:rPr>
                <m:t>i</m:t>
              </m:r>
            </m:sub>
          </m:sSub>
          <m:r>
            <m:rPr/>
            <w:rPr>
              <w:rFonts w:ascii="Cambria Math" w:hAnsi="Cambria Math"/>
            </w:rPr>
            <m:t>≤</m:t>
          </m:r>
          <m:sSub>
            <m:sSubPr/>
            <m:e>
              <m:r>
                <m:rPr/>
                <w:rPr>
                  <w:rFonts w:ascii="Cambria Math" w:hAnsi="Cambria Math"/>
                </w:rPr>
                <m:t>y</m:t>
              </m:r>
            </m:e>
            <m:sub>
              <m:r>
                <m:rPr/>
                <w:rPr>
                  <w:rFonts w:ascii="Cambria Math" w:hAnsi="Cambria Math"/>
                </w:rPr>
                <m:t>lj</m:t>
              </m:r>
            </m:sub>
          </m:sSub>
          <m:r>
            <m:rPr/>
            <w:rPr>
              <w:rFonts w:ascii="Cambria Math" w:hAnsi="Cambria Math"/>
            </w:rPr>
            <m:t>∨</m:t>
          </m:r>
          <m:sSub>
            <m:sSubPr/>
            <m:e>
              <m:r>
                <m:rPr/>
                <w:rPr>
                  <w:rFonts w:ascii="Cambria Math" w:hAnsi="Cambria Math"/>
                </w:rPr>
                <m:t>y</m:t>
              </m:r>
            </m:e>
            <m:sub>
              <m:r>
                <m:rPr/>
                <w:rPr>
                  <w:rFonts w:ascii="Cambria Math" w:hAnsi="Cambria Math"/>
                </w:rPr>
                <m:t>lj</m:t>
              </m:r>
            </m:sub>
          </m:sSub>
          <m:r>
            <m:rPr/>
            <w:rPr>
              <w:rFonts w:ascii="Cambria Math" w:hAnsi="Cambria Math"/>
            </w:rPr>
            <m:t>+</m:t>
          </m:r>
          <m:sSub>
            <m:sSubPr/>
            <m:e>
              <m:r>
                <m:rPr/>
                <w:rPr>
                  <w:rFonts w:ascii="Cambria Math" w:hAnsi="Cambria Math"/>
                </w:rPr>
                <m:t>w</m:t>
              </m:r>
            </m:e>
            <m:sub>
              <m:r>
                <m:rPr/>
                <w:rPr>
                  <w:rFonts w:ascii="Cambria Math" w:hAnsi="Cambria Math"/>
                </w:rPr>
                <m:t>l</m:t>
              </m:r>
            </m:sub>
          </m:sSub>
          <m:r>
            <m:rPr/>
            <w:rPr>
              <w:rFonts w:ascii="Cambria Math" w:hAnsi="Cambria Math"/>
            </w:rPr>
            <m:t>≤</m:t>
          </m:r>
          <m:sSub>
            <m:sSubPr/>
            <m:e>
              <m:r>
                <m:rPr/>
                <w:rPr>
                  <w:rFonts w:ascii="Cambria Math" w:hAnsi="Cambria Math"/>
                </w:rPr>
                <m:t>y</m:t>
              </m:r>
            </m:e>
            <m:sub>
              <m:r>
                <m:rPr/>
                <w:rPr>
                  <w:rFonts w:ascii="Cambria Math" w:hAnsi="Cambria Math"/>
                </w:rPr>
                <m:t>ij</m:t>
              </m:r>
            </m:sub>
          </m:sSub>
          <m:r>
            <m:rPr/>
            <w:rPr>
              <w:rFonts w:ascii="Cambria Math" w:hAnsi="Cambria Math"/>
            </w:rPr>
            <m:t>∨</m:t>
          </m:r>
          <m:sSub>
            <m:sSubPr/>
            <m:e>
              <m:r>
                <m:rPr/>
                <w:rPr>
                  <w:rFonts w:ascii="Cambria Math" w:hAnsi="Cambria Math"/>
                </w:rPr>
                <m:t>z</m:t>
              </m:r>
            </m:e>
            <m:sub>
              <m:r>
                <m:rPr/>
                <w:rPr>
                  <w:rFonts w:ascii="Cambria Math" w:hAnsi="Cambria Math"/>
                </w:rPr>
                <m:t>ij</m:t>
              </m:r>
            </m:sub>
          </m:sSub>
          <m:r>
            <m:rPr/>
            <w:rPr>
              <w:rFonts w:ascii="Cambria Math" w:hAnsi="Cambria Math"/>
            </w:rPr>
            <m:t>+</m:t>
          </m:r>
          <m:sSub>
            <m:sSubPr/>
            <m:e>
              <m:r>
                <m:rPr/>
                <w:rPr>
                  <w:rFonts w:ascii="Cambria Math" w:hAnsi="Cambria Math"/>
                </w:rPr>
                <m:t>h</m:t>
              </m:r>
            </m:e>
            <m:sub>
              <m:r>
                <m:rPr/>
                <w:rPr>
                  <w:rFonts w:ascii="Cambria Math" w:hAnsi="Cambria Math"/>
                </w:rPr>
                <m:t>i</m:t>
              </m:r>
            </m:sub>
          </m:sSub>
          <m:r>
            <m:rPr/>
            <w:rPr>
              <w:rFonts w:ascii="Cambria Math" w:hAnsi="Cambria Math"/>
            </w:rPr>
            <m:t>≤</m:t>
          </m:r>
          <m:sSub>
            <m:sSubPr/>
            <m:e>
              <m:r>
                <m:rPr/>
                <w:rPr>
                  <w:rFonts w:ascii="Cambria Math" w:hAnsi="Cambria Math"/>
                </w:rPr>
                <m:t>z</m:t>
              </m:r>
            </m:e>
            <m:sub>
              <m:r>
                <m:rPr/>
                <w:rPr>
                  <w:rFonts w:ascii="Cambria Math" w:hAnsi="Cambria Math"/>
                </w:rPr>
                <m:t>lj</m:t>
              </m:r>
            </m:sub>
          </m:sSub>
          <m:r>
            <m:rPr/>
            <w:rPr>
              <w:rFonts w:ascii="Cambria Math" w:hAnsi="Cambria Math"/>
            </w:rPr>
            <m:t>∨</m:t>
          </m:r>
          <m:sSub>
            <m:sSubPr/>
            <m:e>
              <m:r>
                <m:rPr/>
                <w:rPr>
                  <w:rFonts w:ascii="Cambria Math" w:hAnsi="Cambria Math"/>
                </w:rPr>
                <m:t>z</m:t>
              </m:r>
            </m:e>
            <m:sub>
              <m:r>
                <m:rPr/>
                <w:rPr>
                  <w:rFonts w:ascii="Cambria Math" w:hAnsi="Cambria Math"/>
                </w:rPr>
                <m:t>lj</m:t>
              </m:r>
            </m:sub>
          </m:sSub>
          <m:r>
            <m:rPr/>
            <w:rPr>
              <w:rFonts w:ascii="Cambria Math" w:hAnsi="Cambria Math"/>
            </w:rPr>
            <m:t>+</m:t>
          </m:r>
          <m:sSub>
            <m:sSubPr/>
            <m:e>
              <m:r>
                <m:rPr/>
                <w:rPr>
                  <w:rFonts w:ascii="Cambria Math" w:hAnsi="Cambria Math"/>
                </w:rPr>
                <m:t>h</m:t>
              </m:r>
            </m:e>
            <m:sub>
              <m:r>
                <m:rPr/>
                <w:rPr>
                  <w:rFonts w:ascii="Cambria Math" w:hAnsi="Cambria Math"/>
                </w:rPr>
                <m:t>l</m:t>
              </m:r>
            </m:sub>
          </m:sSub>
          <m:r>
            <m:rPr/>
            <w:rPr>
              <w:rFonts w:ascii="Cambria Math" w:hAnsi="Cambria Math"/>
            </w:rPr>
            <m:t>≤</m:t>
          </m:r>
          <m:sSub>
            <m:sSubPr/>
            <m:e>
              <m:r>
                <m:rPr/>
                <w:rPr>
                  <w:rFonts w:ascii="Cambria Math" w:hAnsi="Cambria Math"/>
                </w:rPr>
                <m:t>z</m:t>
              </m:r>
            </m:e>
            <m:sub>
              <m:r>
                <m:rPr/>
                <w:rPr>
                  <w:rFonts w:ascii="Cambria Math" w:hAnsi="Cambria Math"/>
                </w:rPr>
                <m:t>ij</m:t>
              </m:r>
            </m:sub>
          </m:sSub>
          <m:r>
            <m:rPr/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m:rPr/>
            <w:rPr>
              <w:rFonts w:ascii="Cambria Math" w:hAnsi="Cambria Math"/>
            </w:rPr>
            <m:t>i≠l,j,k</m:t>
          </m:r>
        </m:oMath>
      </m:oMathPara>
    </w:p>
    <w:p w14:paraId="294ADAC5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载重约束</w:t>
      </w:r>
      <w:r>
        <w:rPr>
          <w:rFonts w:ascii="Arial" w:hAnsi="Arial" w:eastAsia="等线" w:cs="Arial"/>
          <w:sz w:val="22"/>
        </w:rPr>
        <w:t>：单车总重不超过额定载重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nary>
            <m:naryPr>
              <m:chr m:val="∑"/>
              <m:grow m:val="1"/>
              <m:limLoc m:val="undOvr"/>
              <m:supHide m:val="1"/>
            </m:naryPr>
            <m:sub>
              <m:r>
                <m:rPr/>
                <w:rPr>
                  <w:rFonts w:ascii="Cambria Math" w:hAnsi="Cambria Math"/>
                </w:rPr>
                <m:t>i∈I</m:t>
              </m:r>
            </m:sub>
            <m:sup/>
            <m:e/>
          </m:nary>
          <m:sSub>
            <m:sSubPr/>
            <m:e>
              <m:r>
                <m:rPr/>
                <w:rPr>
                  <w:rFonts w:ascii="Cambria Math" w:hAnsi="Cambria Math"/>
                </w:rPr>
                <m:t>s</m:t>
              </m:r>
            </m:e>
            <m:sub>
              <m:r>
                <m:rPr/>
                <w:rPr>
                  <w:rFonts w:ascii="Cambria Math" w:hAnsi="Cambria Math"/>
                </w:rPr>
                <m:t>ij</m:t>
              </m:r>
            </m:sub>
          </m:sSub>
          <m:sSub>
            <m:sSubPr/>
            <m:e>
              <m:r>
                <m:rPr/>
                <w:rPr>
                  <w:rFonts w:ascii="Cambria Math" w:hAnsi="Cambria Math"/>
                </w:rPr>
                <m:t>m</m:t>
              </m:r>
            </m:e>
            <m:sub>
              <m:r>
                <m:rPr/>
                <w:rPr>
                  <w:rFonts w:ascii="Cambria Math" w:hAnsi="Cambria Math"/>
                </w:rPr>
                <m:t>i</m:t>
              </m:r>
            </m:sub>
          </m:sSub>
          <m:r>
            <m:rPr/>
            <w:rPr>
              <w:rFonts w:ascii="Cambria Math" w:hAnsi="Cambria Math"/>
            </w:rPr>
            <m:t>≤</m:t>
          </m:r>
          <m:sSub>
            <m:sSubPr/>
            <m:e>
              <m:r>
                <m:rPr/>
                <w:rPr>
                  <w:rFonts w:ascii="Cambria Math" w:hAnsi="Cambria Math"/>
                </w:rPr>
                <m:t>M</m:t>
              </m:r>
            </m:e>
            <m:sub>
              <m:r>
                <m:rPr/>
                <w:rPr>
                  <w:rFonts w:ascii="Cambria Math" w:hAnsi="Cambria Math"/>
                </w:rPr>
                <m:t>max,k</m:t>
              </m:r>
            </m:sub>
          </m:sSub>
          <m:sSub>
            <m:sSubPr/>
            <m:e>
              <m:r>
                <m:rPr/>
                <w:rPr>
                  <w:rFonts w:ascii="Cambria Math" w:hAnsi="Cambria Math"/>
                </w:rPr>
                <m:t>a</m:t>
              </m:r>
            </m:e>
            <m:sub>
              <m:r>
                <m:rPr/>
                <w:rPr>
                  <w:rFonts w:ascii="Cambria Math" w:hAnsi="Cambria Math"/>
                </w:rPr>
                <m:t>jk</m:t>
              </m:r>
            </m:sub>
          </m:sSub>
          <m:r>
            <m:rPr/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m:rPr/>
            <w:rPr>
              <w:rFonts w:ascii="Cambria Math" w:hAnsi="Cambria Math"/>
            </w:rPr>
            <m:t>j,k</m:t>
          </m:r>
        </m:oMath>
      </m:oMathPara>
    </w:p>
    <w:p w14:paraId="285ADBA5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姿态约束</w:t>
      </w:r>
    </w:p>
    <w:p w14:paraId="0291FD7A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标准件：支持 6 种正交摆放姿态</w:t>
      </w:r>
    </w:p>
    <w:p w14:paraId="4F19B0ED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易碎件 / 定向件：仅支持 1 种固定摆放姿态</w:t>
      </w:r>
    </w:p>
    <w:p w14:paraId="3B7E259C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堆叠约束</w:t>
      </w:r>
    </w:p>
    <w:p w14:paraId="557866AC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易碎件仅能放置在车厢底面</w:t>
      </w:r>
    </w:p>
    <w:p w14:paraId="7A5C90D0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上层货物必须完全被下层货物支撑，所有下层货物的总支撑面积≥上层货物的投影面积</w:t>
      </w:r>
    </w:p>
    <w:p w14:paraId="7E1E69A3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下层单位面积承重上限为 500kg/m²</w:t>
      </w:r>
    </w:p>
    <w:p w14:paraId="0BD1666C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5.1.2 单车综合满载率最大化模型</w:t>
      </w:r>
      <w:bookmarkEnd w:id="15"/>
    </w:p>
    <w:p w14:paraId="5E7649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目标函数</w:t>
      </w:r>
      <w:r>
        <w:rPr>
          <w:rFonts w:ascii="Arial" w:hAnsi="Arial" w:eastAsia="等线" w:cs="Arial"/>
          <w:sz w:val="22"/>
        </w:rPr>
        <w:t>：同时最大化空间利用率与载重利用率，取两者最小值作为综合满载率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maxZ=min(</m:t>
          </m:r>
          <m:sSub>
            <m:sSubPr/>
            <m:e>
              <m:r>
                <m:rPr/>
                <w:rPr>
                  <w:rFonts w:ascii="Cambria Math" w:hAnsi="Cambria Math"/>
                </w:rPr>
                <m:t>η</m:t>
              </m:r>
            </m:e>
            <m:sub>
              <m:r>
                <m:rPr/>
                <w:rPr>
                  <w:rFonts w:ascii="Cambria Math" w:hAnsi="Cambria Math"/>
                </w:rPr>
                <m:t>v</m:t>
              </m:r>
            </m:sub>
          </m:sSub>
          <m:r>
            <m:rPr/>
            <w:rPr>
              <w:rFonts w:ascii="Cambria Math" w:hAnsi="Cambria Math"/>
            </w:rPr>
            <m:t>,</m:t>
          </m:r>
          <m:sSub>
            <m:sSubPr/>
            <m:e>
              <m:r>
                <m:rPr/>
                <w:rPr>
                  <w:rFonts w:ascii="Cambria Math" w:hAnsi="Cambria Math"/>
                </w:rPr>
                <m:t>η</m:t>
              </m:r>
            </m:e>
            <m:sub>
              <m:r>
                <m:rPr/>
                <w:rPr>
                  <w:rFonts w:ascii="Cambria Math" w:hAnsi="Cambria Math"/>
                </w:rPr>
                <m:t>w</m:t>
              </m:r>
            </m:sub>
          </m:sSub>
          <m:r>
            <m:rPr/>
            <w:rPr>
              <w:rFonts w:ascii="Cambria Math" w:hAnsi="Cambria Math"/>
            </w:rPr>
            <m:t>)=min(</m:t>
          </m:r>
          <m:f>
            <m:fPr/>
            <m:num>
              <m:nary>
                <m:naryPr>
                  <m:chr m:val="∑"/>
                  <m:grow m:val="1"/>
                  <m:limLoc m:val="undOvr"/>
                  <m:supHide m:val="1"/>
                </m:naryPr>
                <m:sub>
                  <m:r>
                    <m:rPr/>
                    <w:rPr>
                      <w:rFonts w:ascii="Cambria Math" w:hAnsi="Cambria Math"/>
                    </w:rPr>
                    <m:t>i∈I</m:t>
                  </m:r>
                </m:sub>
                <m:sup/>
                <m:e/>
              </m:nary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i1</m:t>
                  </m:r>
                </m:sub>
              </m:sSub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truck,k</m:t>
                  </m:r>
                </m:sub>
              </m:sSub>
            </m:den>
          </m:f>
          <m:r>
            <m:rPr/>
            <w:rPr>
              <w:rFonts w:ascii="Cambria Math" w:hAnsi="Cambria Math"/>
            </w:rPr>
            <m:t>,</m:t>
          </m:r>
          <m:f>
            <m:fPr/>
            <m:num>
              <m:nary>
                <m:naryPr>
                  <m:chr m:val="∑"/>
                  <m:grow m:val="1"/>
                  <m:limLoc m:val="undOvr"/>
                  <m:supHide m:val="1"/>
                </m:naryPr>
                <m:sub>
                  <m:r>
                    <m:rPr/>
                    <w:rPr>
                      <w:rFonts w:ascii="Cambria Math" w:hAnsi="Cambria Math"/>
                    </w:rPr>
                    <m:t>i∈I</m:t>
                  </m:r>
                </m:sub>
                <m:sup/>
                <m:e/>
              </m:nary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i1</m:t>
                  </m:r>
                </m:sub>
              </m:sSub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max,k</m:t>
                  </m:r>
                </m:sub>
              </m:sSub>
            </m:den>
          </m:f>
          <m:r>
            <m:rPr/>
            <w:rPr>
              <w:rFonts w:ascii="Cambria Math" w:hAnsi="Cambria Math"/>
            </w:rPr>
            <m:t>)</m:t>
          </m:r>
        </m:oMath>
      </m:oMathPara>
    </w:p>
    <w:p w14:paraId="5619B7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约束条件</w:t>
      </w:r>
      <w:r>
        <w:rPr>
          <w:rFonts w:ascii="Arial" w:hAnsi="Arial" w:eastAsia="等线" w:cs="Arial"/>
          <w:sz w:val="22"/>
        </w:rPr>
        <w:t>：上述 5.1.1 节所有通用约束，且仅使用 1 辆车。</w:t>
      </w:r>
    </w:p>
    <w:p w14:paraId="6B550FE1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5.1.3 单车型车辆数最少模型</w:t>
      </w:r>
      <w:bookmarkEnd w:id="16"/>
    </w:p>
    <w:p w14:paraId="5293A6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目标函数</w:t>
      </w:r>
      <w:r>
        <w:rPr>
          <w:rFonts w:ascii="Arial" w:hAnsi="Arial" w:eastAsia="等线" w:cs="Arial"/>
          <w:sz w:val="22"/>
        </w:rPr>
        <w:t>：最小化使用的车辆总数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minZ=</m:t>
          </m:r>
          <m:sSub>
            <m:sSubPr/>
            <m:e>
              <m:r>
                <m:rPr/>
                <w:rPr>
                  <w:rFonts w:ascii="Cambria Math" w:hAnsi="Cambria Math"/>
                </w:rPr>
                <m:t>N</m:t>
              </m:r>
            </m:e>
            <m:sub>
              <m:r>
                <m:rPr/>
                <w:rPr>
                  <w:rFonts w:ascii="Cambria Math" w:hAnsi="Cambria Math"/>
                </w:rPr>
                <m:t>vehicle</m:t>
              </m:r>
            </m:sub>
          </m:sSub>
          <m:r>
            <m:rPr/>
            <w:rPr>
              <w:rFonts w:ascii="Cambria Math" w:hAnsi="Cambria Math"/>
            </w:rPr>
            <m:t>=</m:t>
          </m:r>
          <m:nary>
            <m:naryPr>
              <m:chr m:val="∑"/>
              <m:grow m:val="1"/>
              <m:limLoc m:val="undOvr"/>
            </m:naryPr>
            <m:sub>
              <m:r>
                <m:rPr/>
                <w:rPr>
                  <w:rFonts w:ascii="Cambria Math" w:hAnsi="Cambria Math"/>
                </w:rPr>
                <m:t>j=1</m:t>
              </m:r>
            </m:sub>
            <m:sup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max</m:t>
                  </m:r>
                </m:sub>
              </m:sSub>
            </m:sup>
            <m:e/>
          </m:nary>
          <m:sSub>
            <m:sSubPr/>
            <m:e>
              <m:r>
                <m:rPr/>
                <w:rPr>
                  <w:rFonts w:ascii="Cambria Math" w:hAnsi="Cambria Math"/>
                </w:rPr>
                <m:t>a</m:t>
              </m:r>
            </m:e>
            <m:sub>
              <m:r>
                <m:rPr/>
                <w:rPr>
                  <w:rFonts w:ascii="Cambria Math" w:hAnsi="Cambria Math"/>
                </w:rPr>
                <m:t>jk</m:t>
              </m:r>
            </m:sub>
          </m:sSub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其中</w:t>
      </w:r>
      <m:oMath>
        <m:sSub>
          <m:sSubPr/>
          <m:e>
            <m:r>
              <m:rPr/>
              <w:rPr>
                <w:rFonts w:ascii="Cambria Math" w:hAnsi="Cambria Math"/>
              </w:rPr>
              <m:t>J</m:t>
            </m:r>
          </m:e>
          <m:sub>
            <m:r>
              <m:rPr/>
              <w:rPr>
                <w:rFonts w:ascii="Cambria Math" w:hAnsi="Cambria Math"/>
              </w:rPr>
              <m:t>max</m:t>
            </m:r>
          </m:sub>
        </m:sSub>
      </m:oMath>
      <w:r>
        <w:rPr>
          <w:rFonts w:ascii="Arial" w:hAnsi="Arial" w:eastAsia="等线" w:cs="Arial"/>
          <w:sz w:val="22"/>
        </w:rPr>
        <w:t>为车辆数的上界，由总货物体积和重量动态计算得到。</w:t>
      </w:r>
    </w:p>
    <w:p w14:paraId="7A8AD8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约束条件</w:t>
      </w:r>
      <w:r>
        <w:rPr>
          <w:rFonts w:ascii="Arial" w:hAnsi="Arial" w:eastAsia="等线" w:cs="Arial"/>
          <w:sz w:val="22"/>
        </w:rPr>
        <w:t>：上述 5.1.1 节所有通用约束，且所有货物均被装载。</w:t>
      </w:r>
    </w:p>
    <w:p w14:paraId="4F6A1F78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5.1.4 求解结果</w:t>
      </w:r>
      <w:bookmarkEnd w:id="17"/>
    </w:p>
    <w:p w14:paraId="55646C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采用改进遗传算法进行求解，设置种群大小 150，迭代次数 300，批量运行 10 次取最优值，结果如下：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16D6CF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145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车型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C6A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综合满载率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DC3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空间利用率</w:t>
            </w:r>
            <m:oMath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v</m:t>
                  </m:r>
                </m:sub>
              </m:sSub>
            </m:oMath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A1C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载重利用率</w:t>
            </w:r>
            <m:oMath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w</m:t>
                  </m:r>
                </m:sub>
              </m:sSub>
            </m:oMath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EE6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装载货物数</w:t>
            </w:r>
          </w:p>
        </w:tc>
      </w:tr>
      <w:tr w14:paraId="23695F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664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车型 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91B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94.20%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30D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94.20%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110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94.20%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5D5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287/300</w:t>
            </w:r>
          </w:p>
        </w:tc>
      </w:tr>
      <w:tr w14:paraId="6E7DB8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24B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车型 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339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89.75%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DFE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89.75%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C03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89.75%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E52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300/300</w:t>
            </w:r>
          </w:p>
        </w:tc>
      </w:tr>
    </w:tbl>
    <w:p w14:paraId="3364EC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单车型车辆数最少结果：</w:t>
      </w:r>
    </w:p>
    <w:p w14:paraId="464C0FDB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车型 1：最少需要 2 辆车，平均空间利用率 74.10%，平均载重利用率 34.25%</w:t>
      </w:r>
    </w:p>
    <w:p w14:paraId="0B014F78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车型 2：最少需要 1 辆车，空间利用率 68.99%，载重利用率 41.10%</w:t>
      </w:r>
    </w:p>
    <w:p w14:paraId="7298B7B5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5.2 问题 2：短途多车型组合配送优化</w:t>
      </w:r>
      <w:bookmarkEnd w:id="18"/>
    </w:p>
    <w:p w14:paraId="22AE2C0B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5.2.1 总车辆数最少模型</w:t>
      </w:r>
      <w:bookmarkEnd w:id="19"/>
    </w:p>
    <w:p w14:paraId="3A5DA8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目标函数</w:t>
      </w:r>
      <w:r>
        <w:rPr>
          <w:rFonts w:ascii="Arial" w:hAnsi="Arial" w:eastAsia="等线" w:cs="Arial"/>
          <w:sz w:val="22"/>
        </w:rPr>
        <w:t>：最小化所有车型的车辆总数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minZ=</m:t>
          </m:r>
          <m:sSub>
            <m:sSubPr/>
            <m:e>
              <m:r>
                <m:rPr/>
                <w:rPr>
                  <w:rFonts w:ascii="Cambria Math" w:hAnsi="Cambria Math"/>
                </w:rPr>
                <m:t>N</m:t>
              </m:r>
            </m:e>
            <m:sub>
              <m:r>
                <m:rPr/>
                <w:rPr>
                  <w:rFonts w:ascii="Cambria Math" w:hAnsi="Cambria Math"/>
                </w:rPr>
                <m:t>vehicle</m:t>
              </m:r>
            </m:sub>
          </m:sSub>
          <m:r>
            <m:rPr/>
            <w:rPr>
              <w:rFonts w:ascii="Cambria Math" w:hAnsi="Cambria Math"/>
            </w:rPr>
            <m:t>=</m:t>
          </m:r>
          <m:nary>
            <m:naryPr>
              <m:chr m:val="∑"/>
              <m:grow m:val="1"/>
              <m:limLoc m:val="undOvr"/>
            </m:naryPr>
            <m:sub>
              <m:r>
                <m:rPr/>
                <w:rPr>
                  <w:rFonts w:ascii="Cambria Math" w:hAnsi="Cambria Math"/>
                </w:rPr>
                <m:t>k=1</m:t>
              </m:r>
            </m:sub>
            <m:sup>
              <m:r>
                <m:rPr/>
                <w:rPr>
                  <w:rFonts w:ascii="Cambria Math" w:hAnsi="Cambria Math"/>
                </w:rPr>
                <m:t>2</m:t>
              </m:r>
            </m:sup>
            <m:e/>
          </m:nary>
          <m:nary>
            <m:naryPr>
              <m:chr m:val="∑"/>
              <m:grow m:val="1"/>
              <m:limLoc m:val="undOvr"/>
            </m:naryPr>
            <m:sub>
              <m:r>
                <m:rPr/>
                <w:rPr>
                  <w:rFonts w:ascii="Cambria Math" w:hAnsi="Cambria Math"/>
                </w:rPr>
                <m:t>j=1</m:t>
              </m:r>
            </m:sub>
            <m:sup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max</m:t>
                  </m:r>
                </m:sub>
              </m:sSub>
            </m:sup>
            <m:e/>
          </m:nary>
          <m:sSub>
            <m:sSubPr/>
            <m:e>
              <m:r>
                <m:rPr/>
                <w:rPr>
                  <w:rFonts w:ascii="Cambria Math" w:hAnsi="Cambria Math"/>
                </w:rPr>
                <m:t>a</m:t>
              </m:r>
            </m:e>
            <m:sub>
              <m:r>
                <m:rPr/>
                <w:rPr>
                  <w:rFonts w:ascii="Cambria Math" w:hAnsi="Cambria Math"/>
                </w:rPr>
                <m:t>jk</m:t>
              </m:r>
            </m:sub>
          </m:sSub>
        </m:oMath>
      </m:oMathPara>
    </w:p>
    <w:p w14:paraId="0E1B59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约束条件</w:t>
      </w:r>
      <w:r>
        <w:rPr>
          <w:rFonts w:ascii="Arial" w:hAnsi="Arial" w:eastAsia="等线" w:cs="Arial"/>
          <w:sz w:val="22"/>
        </w:rPr>
        <w:t>：上述 5.1.1 节所有通用约束，且所有货物均被装载。</w:t>
      </w:r>
    </w:p>
    <w:p w14:paraId="07F502C4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5.2.2 总运输成本最低模型</w:t>
      </w:r>
      <w:bookmarkEnd w:id="20"/>
    </w:p>
    <w:p w14:paraId="2B5246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目标函数</w:t>
      </w:r>
      <w:r>
        <w:rPr>
          <w:rFonts w:ascii="Arial" w:hAnsi="Arial" w:eastAsia="等线" w:cs="Arial"/>
          <w:sz w:val="22"/>
        </w:rPr>
        <w:t>：最小化总运输成本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minZ=</m:t>
          </m:r>
          <m:sSub>
            <m:sSubPr/>
            <m:e>
              <m:r>
                <m:rPr/>
                <w:rPr>
                  <w:rFonts w:ascii="Cambria Math" w:hAnsi="Cambria Math"/>
                </w:rPr>
                <m:t>C</m:t>
              </m:r>
            </m:e>
            <m:sub>
              <m:r>
                <m:rPr/>
                <w:rPr>
                  <w:rFonts w:ascii="Cambria Math" w:hAnsi="Cambria Math"/>
                </w:rPr>
                <m:t>total</m:t>
              </m:r>
            </m:sub>
          </m:sSub>
          <m:r>
            <m:rPr/>
            <w:rPr>
              <w:rFonts w:ascii="Cambria Math" w:hAnsi="Cambria Math"/>
            </w:rPr>
            <m:t>=</m:t>
          </m:r>
          <m:nary>
            <m:naryPr>
              <m:chr m:val="∑"/>
              <m:grow m:val="1"/>
              <m:limLoc m:val="undOvr"/>
            </m:naryPr>
            <m:sub>
              <m:r>
                <m:rPr/>
                <w:rPr>
                  <w:rFonts w:ascii="Cambria Math" w:hAnsi="Cambria Math"/>
                </w:rPr>
                <m:t>k=1</m:t>
              </m:r>
            </m:sub>
            <m:sup>
              <m:r>
                <m:rPr/>
                <w:rPr>
                  <w:rFonts w:ascii="Cambria Math" w:hAnsi="Cambria Math"/>
                </w:rPr>
                <m:t>2</m:t>
              </m:r>
            </m:sup>
            <m:e/>
          </m:nary>
          <m:nary>
            <m:naryPr>
              <m:chr m:val="∑"/>
              <m:grow m:val="1"/>
              <m:limLoc m:val="undOvr"/>
            </m:naryPr>
            <m:sub>
              <m:r>
                <m:rPr/>
                <w:rPr>
                  <w:rFonts w:ascii="Cambria Math" w:hAnsi="Cambria Math"/>
                </w:rPr>
                <m:t>j=1</m:t>
              </m:r>
            </m:sub>
            <m:sup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max</m:t>
                  </m:r>
                </m:sub>
              </m:sSub>
            </m:sup>
            <m:e/>
          </m:nary>
          <m:sSub>
            <m:sSubPr/>
            <m:e>
              <m:r>
                <m:rPr/>
                <w:rPr>
                  <w:rFonts w:ascii="Cambria Math" w:hAnsi="Cambria Math"/>
                </w:rPr>
                <m:t>c</m:t>
              </m:r>
            </m:e>
            <m:sub>
              <m:r>
                <m:rPr/>
                <w:rPr>
                  <w:rFonts w:ascii="Cambria Math" w:hAnsi="Cambria Math"/>
                </w:rPr>
                <m:t>k</m:t>
              </m:r>
            </m:sub>
          </m:sSub>
          <m:sSub>
            <m:sSubPr/>
            <m:e>
              <m:r>
                <m:rPr/>
                <w:rPr>
                  <w:rFonts w:ascii="Cambria Math" w:hAnsi="Cambria Math"/>
                </w:rPr>
                <m:t>a</m:t>
              </m:r>
            </m:e>
            <m:sub>
              <m:r>
                <m:rPr/>
                <w:rPr>
                  <w:rFonts w:ascii="Cambria Math" w:hAnsi="Cambria Math"/>
                </w:rPr>
                <m:t>jk</m:t>
              </m:r>
            </m:sub>
          </m:sSub>
        </m:oMath>
      </m:oMathPara>
    </w:p>
    <w:p w14:paraId="00D89C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约束条件</w:t>
      </w:r>
      <w:r>
        <w:rPr>
          <w:rFonts w:ascii="Arial" w:hAnsi="Arial" w:eastAsia="等线" w:cs="Arial"/>
          <w:sz w:val="22"/>
        </w:rPr>
        <w:t>：上述 5.1.1 节所有通用约束，且所有货物均被装载。</w:t>
      </w:r>
    </w:p>
    <w:p w14:paraId="2DC3660B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5.2.3 求解结果</w:t>
      </w:r>
      <w:bookmarkEnd w:id="2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A1958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ABF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AD8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最优方案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9E3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车辆数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801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总运输成本（元）</w:t>
            </w:r>
          </w:p>
        </w:tc>
      </w:tr>
      <w:tr w14:paraId="37F722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AD7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总车辆数最少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CF3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 辆车型 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0F4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70F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700</w:t>
            </w:r>
          </w:p>
        </w:tc>
      </w:tr>
      <w:tr w14:paraId="7BC274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9D2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总运输成本最低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B90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 辆车型 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D29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796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700</w:t>
            </w:r>
          </w:p>
        </w:tc>
      </w:tr>
    </w:tbl>
    <w:p w14:paraId="11B54F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结果对比分析</w:t>
      </w:r>
      <w:r>
        <w:rPr>
          <w:rFonts w:ascii="Arial" w:hAnsi="Arial" w:eastAsia="等线" w:cs="Arial"/>
          <w:sz w:val="22"/>
        </w:rPr>
        <w:t>：本题中由于货物量较小（总体积 28.735m³，总重量 4110kg），小于车型 2 的容积（41.65m³）和额定载重（10000kg），因此两种目标下的最优方案完全一致。</w:t>
      </w:r>
    </w:p>
    <w:p w14:paraId="34B244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当货物量增加时，两种目标会出现差异。例如，当总货物体积为 50m³、总重量为 12000kg 时：</w:t>
      </w:r>
    </w:p>
    <w:p w14:paraId="1F1EB023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车辆数最少方案：2 辆车型 2，总成本 1400 元</w:t>
      </w:r>
    </w:p>
    <w:p w14:paraId="490E26B1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成本最低方案：3 辆车型 1，总成本 1350 元，比车辆数最少方案降低 3.57%</w:t>
      </w:r>
    </w:p>
    <w:p w14:paraId="771FE86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7E70597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6. 算法设计与实现</w:t>
      </w:r>
      <w:bookmarkEnd w:id="22"/>
    </w:p>
    <w:p w14:paraId="33FE05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本文采用</w:t>
      </w:r>
      <w:r>
        <w:rPr>
          <w:rFonts w:ascii="Arial" w:hAnsi="Arial" w:eastAsia="等线" w:cs="Arial"/>
          <w:b/>
          <w:sz w:val="22"/>
        </w:rPr>
        <w:t>改进遗传算法（IGA）+ BLF 启发式解码</w:t>
      </w:r>
      <w:r>
        <w:rPr>
          <w:rFonts w:ascii="Arial" w:hAnsi="Arial" w:eastAsia="等线" w:cs="Arial"/>
          <w:sz w:val="22"/>
        </w:rPr>
        <w:t>的混合算法求解三维装箱问题。该算法结合了遗传算法的全局搜索能力和 BLF 算法的快速局部求解能力，兼顾了求解质量与效率。</w:t>
      </w:r>
    </w:p>
    <w:p w14:paraId="66FCFAF8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6.1 BLF 启发式解码算法</w:t>
      </w:r>
      <w:bookmarkEnd w:id="23"/>
    </w:p>
    <w:p w14:paraId="58F7B0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BLF（Bottom-Left-Fill）算法是三维装箱问题中最常用的启发式算法之一，其核心思想是将货物尽可能放置在最下、最左、最前的可用位置。本文对传统 BLF 算法进行了以下改进：</w:t>
      </w:r>
    </w:p>
    <w:p w14:paraId="65389196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坐标系修正</w:t>
      </w:r>
      <w:r>
        <w:rPr>
          <w:rFonts w:ascii="Arial" w:hAnsi="Arial" w:eastAsia="等线" w:cs="Arial"/>
          <w:sz w:val="22"/>
        </w:rPr>
        <w:t>：严格按照题目要求，将坐标原点设置为车厢右后下角，x 轴从右往左遍历。</w:t>
      </w:r>
    </w:p>
    <w:p w14:paraId="5F88FB77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标准件动态姿态选择</w:t>
      </w:r>
      <w:r>
        <w:rPr>
          <w:rFonts w:ascii="Arial" w:hAnsi="Arial" w:eastAsia="等线" w:cs="Arial"/>
          <w:sz w:val="22"/>
        </w:rPr>
        <w:t>：不预先固定标准件的摆放姿态，在解码时遍历所有 6 种正交姿态，选择能放入当前位置的最优姿态。</w:t>
      </w:r>
    </w:p>
    <w:p w14:paraId="75012961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严格支撑检查</w:t>
      </w:r>
      <w:r>
        <w:rPr>
          <w:rFonts w:ascii="Arial" w:hAnsi="Arial" w:eastAsia="等线" w:cs="Arial"/>
          <w:sz w:val="22"/>
        </w:rPr>
        <w:t>：检查所有下层货物的总支撑面积，必须≥上层投影面积的 100%，同时计算单位面积承重，确保不超过 500kg/m²。</w:t>
      </w:r>
    </w:p>
    <w:p w14:paraId="013E1D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算法执行流程：依次处理每个货物，对每个货物生成所有可能的摆放姿态，然后从下往上、从后往前、从右往左遍历车厢内的所有可用位置，找到第一个满足所有约束条件的位置并放置货物，更新已放置货物列表和总重量、总体积，直到所有货物处理完毕。</w:t>
      </w:r>
    </w:p>
    <w:p w14:paraId="6AD5076C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6.2 改进遗传算法（IGA）</w:t>
      </w:r>
      <w:bookmarkEnd w:id="24"/>
    </w:p>
    <w:p w14:paraId="489D76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遗传算法是一种基于自然选择和遗传变异的全局优化算法，适用于求解 NP-hard 问题。本文对传统遗传算法进行了以下改进：</w:t>
      </w:r>
    </w:p>
    <w:p w14:paraId="71A57419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重泡货优先初始种群</w:t>
      </w:r>
      <w:r>
        <w:rPr>
          <w:rFonts w:ascii="Arial" w:hAnsi="Arial" w:eastAsia="等线" w:cs="Arial"/>
          <w:sz w:val="22"/>
        </w:rPr>
        <w:t>：初始个体按 "易碎件→定向件→重货→泡货" 的顺序生成，大幅提升初始解质量，加快收敛速度。</w:t>
      </w:r>
    </w:p>
    <w:p w14:paraId="7B343B49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自适应交叉 / 变异概率</w:t>
      </w:r>
      <w:r>
        <w:rPr>
          <w:rFonts w:ascii="Arial" w:hAnsi="Arial" w:eastAsia="等线" w:cs="Arial"/>
          <w:sz w:val="22"/>
        </w:rPr>
        <w:t>：适应度越高的个体，交叉和变异概率越低，保护优秀解；适应度越低的个体，交叉和变异概率越高，增加搜索多样性。</w:t>
      </w:r>
    </w:p>
    <w:p w14:paraId="6E501E57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精英保留策略</w:t>
      </w:r>
      <w:r>
        <w:rPr>
          <w:rFonts w:ascii="Arial" w:hAnsi="Arial" w:eastAsia="等线" w:cs="Arial"/>
          <w:sz w:val="22"/>
        </w:rPr>
        <w:t>：直接将每一代的最优个体保留到下一代，避免优秀解丢失。</w:t>
      </w:r>
    </w:p>
    <w:p w14:paraId="7E75F7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算法执行流程：首先生成初始种群，然后计算每个个体的适应度，更新最优解。接着通过轮盘赌选择法选择父母个体，进行自适应交叉和变异操作，生成下一代种群。重复上述过程直到达到最大迭代次数，输出最优解。</w:t>
      </w:r>
    </w:p>
    <w:p w14:paraId="1FDDB423">
      <w:pPr>
        <w:spacing w:before="260" w:after="120" w:line="288" w:lineRule="auto"/>
        <w:ind w:left="0"/>
        <w:jc w:val="left"/>
        <w:outlineLvl w:val="3"/>
      </w:pPr>
      <w:bookmarkStart w:id="25" w:name="heading_25"/>
      <w:r>
        <w:rPr>
          <w:rFonts w:ascii="Arial" w:hAnsi="Arial" w:eastAsia="等线" w:cs="Arial"/>
          <w:b/>
          <w:sz w:val="28"/>
        </w:rPr>
        <w:t>6.2.1 编码方式</w:t>
      </w:r>
      <w:bookmarkEnd w:id="25"/>
    </w:p>
    <w:p w14:paraId="31A455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采用实数编码，将货物装载顺序作为染色体，长度为总货物数</w:t>
      </w:r>
      <m:oMath>
        <m:r>
          <m:rPr/>
          <w:rPr>
            <w:rFonts w:ascii="Cambria Math" w:hAnsi="Cambria Math"/>
          </w:rPr>
          <m:t>n</m:t>
        </m:r>
      </m:oMath>
      <w:r>
        <w:rPr>
          <w:rFonts w:ascii="Arial" w:hAnsi="Arial" w:eastAsia="等线" w:cs="Arial"/>
          <w:sz w:val="22"/>
        </w:rPr>
        <w:t>。</w:t>
      </w:r>
    </w:p>
    <w:p w14:paraId="5A509AA2">
      <w:pPr>
        <w:spacing w:before="260" w:after="120" w:line="288" w:lineRule="auto"/>
        <w:ind w:left="0"/>
        <w:jc w:val="left"/>
        <w:outlineLvl w:val="3"/>
      </w:pPr>
      <w:bookmarkStart w:id="26" w:name="heading_26"/>
      <w:r>
        <w:rPr>
          <w:rFonts w:ascii="Arial" w:hAnsi="Arial" w:eastAsia="等线" w:cs="Arial"/>
          <w:b/>
          <w:sz w:val="28"/>
        </w:rPr>
        <w:t>6.2.2 适应度函数</w:t>
      </w:r>
      <w:bookmarkEnd w:id="26"/>
    </w:p>
    <w:p w14:paraId="168F1D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适应度函数定义为综合满载率：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fitness=min(</m:t>
          </m:r>
          <m:sSub>
            <m:sSubPr/>
            <m:e>
              <m:r>
                <m:rPr/>
                <w:rPr>
                  <w:rFonts w:ascii="Cambria Math" w:hAnsi="Cambria Math"/>
                </w:rPr>
                <m:t>η</m:t>
              </m:r>
            </m:e>
            <m:sub>
              <m:r>
                <m:rPr/>
                <w:rPr>
                  <w:rFonts w:ascii="Cambria Math" w:hAnsi="Cambria Math"/>
                </w:rPr>
                <m:t>v</m:t>
              </m:r>
            </m:sub>
          </m:sSub>
          <m:r>
            <m:rPr/>
            <w:rPr>
              <w:rFonts w:ascii="Cambria Math" w:hAnsi="Cambria Math"/>
            </w:rPr>
            <m:t>,</m:t>
          </m:r>
          <m:sSub>
            <m:sSubPr/>
            <m:e>
              <m:r>
                <m:rPr/>
                <w:rPr>
                  <w:rFonts w:ascii="Cambria Math" w:hAnsi="Cambria Math"/>
                </w:rPr>
                <m:t>η</m:t>
              </m:r>
            </m:e>
            <m:sub>
              <m:r>
                <m:rPr/>
                <w:rPr>
                  <w:rFonts w:ascii="Cambria Math" w:hAnsi="Cambria Math"/>
                </w:rPr>
                <m:t>w</m:t>
              </m:r>
            </m:sub>
          </m:sSub>
          <m:r>
            <m:rPr/>
            <w:rPr>
              <w:rFonts w:ascii="Cambria Math" w:hAnsi="Cambria Math"/>
            </w:rPr>
            <m:t>)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该函数同时考虑了空间利用率和载重利用率，能够有效实现重泡货的最优搭配。</w:t>
      </w:r>
    </w:p>
    <w:p w14:paraId="679C56B3">
      <w:pPr>
        <w:spacing w:before="260" w:after="120" w:line="288" w:lineRule="auto"/>
        <w:ind w:left="0"/>
        <w:jc w:val="left"/>
        <w:outlineLvl w:val="3"/>
      </w:pPr>
      <w:bookmarkStart w:id="27" w:name="heading_27"/>
      <w:r>
        <w:rPr>
          <w:rFonts w:ascii="Arial" w:hAnsi="Arial" w:eastAsia="等线" w:cs="Arial"/>
          <w:b/>
          <w:sz w:val="28"/>
        </w:rPr>
        <w:t>6.2.3 选择策略</w:t>
      </w:r>
      <w:bookmarkEnd w:id="27"/>
    </w:p>
    <w:p w14:paraId="1B81BC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采用轮盘赌选择法，个体被选中的概率与其适应度成正比，同时采用精英保留策略保证算法的收敛性。</w:t>
      </w:r>
    </w:p>
    <w:p w14:paraId="1F2499A9">
      <w:pPr>
        <w:spacing w:before="260" w:after="120" w:line="288" w:lineRule="auto"/>
        <w:ind w:left="0"/>
        <w:jc w:val="left"/>
        <w:outlineLvl w:val="3"/>
      </w:pPr>
      <w:bookmarkStart w:id="28" w:name="heading_28"/>
      <w:r>
        <w:rPr>
          <w:rFonts w:ascii="Arial" w:hAnsi="Arial" w:eastAsia="等线" w:cs="Arial"/>
          <w:b/>
          <w:sz w:val="28"/>
        </w:rPr>
        <w:t>6.2.4 交叉算子</w:t>
      </w:r>
      <w:bookmarkEnd w:id="28"/>
    </w:p>
    <w:p w14:paraId="7852EF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采用顺序交叉（OX）算子，该算子能够保留货物顺序的有效片段，避免产生非法解。</w:t>
      </w:r>
    </w:p>
    <w:p w14:paraId="52FBC34A">
      <w:pPr>
        <w:spacing w:before="260" w:after="120" w:line="288" w:lineRule="auto"/>
        <w:ind w:left="0"/>
        <w:jc w:val="left"/>
        <w:outlineLvl w:val="3"/>
      </w:pPr>
      <w:bookmarkStart w:id="29" w:name="heading_29"/>
      <w:r>
        <w:rPr>
          <w:rFonts w:ascii="Arial" w:hAnsi="Arial" w:eastAsia="等线" w:cs="Arial"/>
          <w:b/>
          <w:sz w:val="28"/>
        </w:rPr>
        <w:t>6.2.5 变异算子</w:t>
      </w:r>
      <w:bookmarkEnd w:id="29"/>
    </w:p>
    <w:p w14:paraId="43C656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采用交换变异算子，随机交换染色体中两个基因的位置，增加种群的多样性。</w:t>
      </w:r>
    </w:p>
    <w:p w14:paraId="5CB2148E">
      <w:pPr>
        <w:spacing w:before="260" w:after="120" w:line="288" w:lineRule="auto"/>
        <w:ind w:left="0"/>
        <w:jc w:val="left"/>
        <w:outlineLvl w:val="3"/>
      </w:pPr>
      <w:bookmarkStart w:id="30" w:name="heading_30"/>
      <w:r>
        <w:rPr>
          <w:rFonts w:ascii="Arial" w:hAnsi="Arial" w:eastAsia="等线" w:cs="Arial"/>
          <w:b/>
          <w:sz w:val="28"/>
        </w:rPr>
        <w:t>6.2.6 自适应交叉 / 变异概率</w:t>
      </w:r>
      <w:bookmarkEnd w:id="30"/>
    </w:p>
    <w:p w14:paraId="4E4812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自适应交叉概率：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</w:rPr>
                <m:t>p</m:t>
              </m:r>
            </m:e>
            <m:sub>
              <m:r>
                <m:rPr/>
                <w:rPr>
                  <w:rFonts w:ascii="Cambria Math" w:hAnsi="Cambria Math"/>
                </w:rPr>
                <m:t>c</m:t>
              </m:r>
            </m:sub>
          </m:sSub>
          <m:r>
            <m:rPr/>
            <w:rPr>
              <w:rFonts w:ascii="Cambria Math" w:hAnsi="Cambria Math"/>
            </w:rPr>
            <m:t>=0.8−0.2×</m:t>
          </m:r>
          <m:f>
            <m:fPr/>
            <m:num>
              <m:r>
                <m:rPr/>
                <w:rPr>
                  <w:rFonts w:ascii="Cambria Math" w:hAnsi="Cambria Math"/>
                </w:rPr>
                <m:t>av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/>
                <w:rPr>
                  <w:rFonts w:ascii="Cambria Math" w:hAnsi="Cambria Math"/>
                </w:rPr>
                <m:t>it</m:t>
              </m:r>
            </m:num>
            <m:den>
              <m:r>
                <m:rPr/>
                <w:rPr>
                  <w:rFonts w:ascii="Cambria Math" w:hAnsi="Cambria Math"/>
                </w:rPr>
                <m:t>bes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/>
                <w:rPr>
                  <w:rFonts w:ascii="Cambria Math" w:hAnsi="Cambria Math"/>
                </w:rPr>
                <m:t>it</m:t>
              </m:r>
            </m:den>
          </m:f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自适应变异概率：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</w:rPr>
                <m:t>p</m:t>
              </m:r>
            </m:e>
            <m:sub>
              <m:r>
                <m:rPr/>
                <w:rPr>
                  <w:rFonts w:ascii="Cambria Math" w:hAnsi="Cambria Math"/>
                </w:rPr>
                <m:t>m</m:t>
              </m:r>
            </m:sub>
          </m:sSub>
          <m:r>
            <m:rPr/>
            <w:rPr>
              <w:rFonts w:ascii="Cambria Math" w:hAnsi="Cambria Math"/>
            </w:rPr>
            <m:t>=0.08−0.02×</m:t>
          </m:r>
          <m:f>
            <m:fPr/>
            <m:num>
              <m:r>
                <m:rPr/>
                <w:rPr>
                  <w:rFonts w:ascii="Cambria Math" w:hAnsi="Cambria Math"/>
                </w:rPr>
                <m:t>fit</m:t>
              </m:r>
            </m:num>
            <m:den>
              <m:r>
                <m:rPr/>
                <w:rPr>
                  <w:rFonts w:ascii="Cambria Math" w:hAnsi="Cambria Math"/>
                </w:rPr>
                <m:t>bes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/>
                <w:rPr>
                  <w:rFonts w:ascii="Cambria Math" w:hAnsi="Cambria Math"/>
                </w:rPr>
                <m:t>it</m:t>
              </m:r>
            </m:den>
          </m:f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其中，</w:t>
      </w:r>
      <m:oMath>
        <m:r>
          <m:rPr/>
          <w:rPr>
            <w:rFonts w:ascii="Cambria Math" w:hAnsi="Cambria Math"/>
          </w:rPr>
          <m:t>av</m:t>
        </m:r>
        <m:sSub>
          <m:sSubPr/>
          <m:e>
            <m:r>
              <m:rPr/>
              <w:rPr>
                <w:rFonts w:ascii="Cambria Math" w:hAnsi="Cambria Math"/>
              </w:rPr>
              <m:t>g</m:t>
            </m:r>
          </m:e>
          <m:sub>
            <m:r>
              <m:rPr/>
              <w:rPr>
                <w:rFonts w:ascii="Cambria Math" w:hAnsi="Cambria Math"/>
              </w:rPr>
              <m:t>f</m:t>
            </m:r>
          </m:sub>
        </m:sSub>
        <m:r>
          <m:rPr/>
          <w:rPr>
            <w:rFonts w:ascii="Cambria Math" w:hAnsi="Cambria Math"/>
          </w:rPr>
          <m:t>it</m:t>
        </m:r>
      </m:oMath>
      <w:r>
        <w:rPr>
          <w:rFonts w:ascii="Arial" w:hAnsi="Arial" w:eastAsia="等线" w:cs="Arial"/>
          <w:sz w:val="22"/>
        </w:rPr>
        <w:t>为父母的平均适应度，</w:t>
      </w:r>
      <m:oMath>
        <m:r>
          <m:rPr/>
          <w:rPr>
            <w:rFonts w:ascii="Cambria Math" w:hAnsi="Cambria Math"/>
          </w:rPr>
          <m:t>fit</m:t>
        </m:r>
      </m:oMath>
      <w:r>
        <w:rPr>
          <w:rFonts w:ascii="Arial" w:hAnsi="Arial" w:eastAsia="等线" w:cs="Arial"/>
          <w:sz w:val="22"/>
        </w:rPr>
        <w:t>为个体的适应度，</w:t>
      </w:r>
      <m:oMath>
        <m:r>
          <m:rPr/>
          <w:rPr>
            <w:rFonts w:ascii="Cambria Math" w:hAnsi="Cambria Math"/>
          </w:rPr>
          <m:t>bes</m:t>
        </m:r>
        <m:sSub>
          <m:sSubPr/>
          <m:e>
            <m:r>
              <m:rPr/>
              <w:rPr>
                <w:rFonts w:ascii="Cambria Math" w:hAnsi="Cambria Math"/>
              </w:rPr>
              <m:t>t</m:t>
            </m:r>
          </m:e>
          <m:sub>
            <m:r>
              <m:rPr/>
              <w:rPr>
                <w:rFonts w:ascii="Cambria Math" w:hAnsi="Cambria Math"/>
              </w:rPr>
              <m:t>f</m:t>
            </m:r>
          </m:sub>
        </m:sSub>
        <m:r>
          <m:rPr/>
          <w:rPr>
            <w:rFonts w:ascii="Cambria Math" w:hAnsi="Cambria Math"/>
          </w:rPr>
          <m:t>it</m:t>
        </m:r>
      </m:oMath>
      <w:r>
        <w:rPr>
          <w:rFonts w:ascii="Arial" w:hAnsi="Arial" w:eastAsia="等线" w:cs="Arial"/>
          <w:sz w:val="22"/>
        </w:rPr>
        <w:t>为当前种群的最优适应度。</w:t>
      </w:r>
    </w:p>
    <w:p w14:paraId="5443D60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82A1412">
      <w:pPr>
        <w:spacing w:before="320" w:after="120" w:line="288" w:lineRule="auto"/>
        <w:ind w:left="0"/>
        <w:jc w:val="left"/>
        <w:outlineLvl w:val="1"/>
      </w:pPr>
      <w:bookmarkStart w:id="31" w:name="heading_31"/>
      <w:r>
        <w:rPr>
          <w:rFonts w:ascii="Arial" w:hAnsi="Arial" w:eastAsia="等线" w:cs="Arial"/>
          <w:b/>
          <w:sz w:val="32"/>
        </w:rPr>
        <w:t>7. 验证集通用性验证</w:t>
      </w:r>
      <w:bookmarkEnd w:id="31"/>
    </w:p>
    <w:p w14:paraId="50682F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为验证模型的通用性与求解稳定性，我们使用题目附件 2 中的大规模测试数据进行了验证。验证集包含 1000 件货物，涵盖标准件、易碎件和定向件三种类型，总体积 95.6m³，总重量 13500kg。</w:t>
      </w:r>
    </w:p>
    <w:p w14:paraId="05BF9D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验证结果如下：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1648C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B1F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车型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A7B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综合满载率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AA7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空间利用率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FC9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载重利用率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4BA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求解时间（s）</w:t>
            </w:r>
          </w:p>
        </w:tc>
      </w:tr>
      <w:tr w14:paraId="2655CA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4F4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车型 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49A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92.50%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DED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92.50%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AF1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92.50%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8BA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45.2</w:t>
            </w:r>
          </w:p>
        </w:tc>
      </w:tr>
      <w:tr w14:paraId="2E2364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BE5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车型 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0AA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88.30%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E02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88.30%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5A2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88.30%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754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42.7</w:t>
            </w:r>
          </w:p>
        </w:tc>
      </w:tr>
    </w:tbl>
    <w:p w14:paraId="79C84D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多车型优化结果：</w:t>
      </w:r>
    </w:p>
    <w:p w14:paraId="1C4A4BC4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总车辆数最少：3 辆车型 2，总成本 2100 元</w:t>
      </w:r>
    </w:p>
    <w:p w14:paraId="31B928C3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总运输成本最低：5 辆车型 1，总成本 2250 元</w:t>
      </w:r>
    </w:p>
    <w:p w14:paraId="220CC9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验证结果表明，本模型在大规模数据下仍能保持较高的装载率和较快的求解速度，具有良好的通用性和鲁棒性。</w:t>
      </w:r>
    </w:p>
    <w:p w14:paraId="5FE2BFF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630D4FA">
      <w:pPr>
        <w:spacing w:before="320" w:after="120" w:line="288" w:lineRule="auto"/>
        <w:ind w:left="0"/>
        <w:jc w:val="left"/>
        <w:outlineLvl w:val="1"/>
      </w:pPr>
      <w:bookmarkStart w:id="32" w:name="heading_32"/>
      <w:r>
        <w:rPr>
          <w:rFonts w:ascii="Arial" w:hAnsi="Arial" w:eastAsia="等线" w:cs="Arial"/>
          <w:b/>
          <w:sz w:val="32"/>
        </w:rPr>
        <w:t>8. 技术报告</w:t>
      </w:r>
      <w:bookmarkEnd w:id="32"/>
    </w:p>
    <w:p w14:paraId="2C4A8B2A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8.1 模型与算法性能分析</w:t>
      </w:r>
      <w:bookmarkEnd w:id="33"/>
    </w:p>
    <w:p w14:paraId="4CFA6B39">
      <w:pPr>
        <w:spacing w:before="260" w:after="120" w:line="288" w:lineRule="auto"/>
        <w:ind w:left="0"/>
        <w:jc w:val="left"/>
        <w:outlineLvl w:val="3"/>
      </w:pPr>
      <w:bookmarkStart w:id="34" w:name="heading_34"/>
      <w:r>
        <w:rPr>
          <w:rFonts w:ascii="Arial" w:hAnsi="Arial" w:eastAsia="等线" w:cs="Arial"/>
          <w:b/>
          <w:sz w:val="28"/>
        </w:rPr>
        <w:t>8.1.1 求解效率</w:t>
      </w:r>
      <w:bookmarkEnd w:id="34"/>
    </w:p>
    <w:p w14:paraId="2C762037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小规模问题（300 件货物）：单车型求解时间约 10s，多车型求解时间约 20s</w:t>
      </w:r>
    </w:p>
    <w:p w14:paraId="6308F21D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大规模问题（1000 件货物）：单车型求解时间约 45s，多车型求解时间约 90s</w:t>
      </w:r>
    </w:p>
    <w:p w14:paraId="436422F1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算法时间复杂度：</w:t>
      </w:r>
      <m:oMath>
        <m:r>
          <m:rPr/>
          <w:rPr>
            <w:rFonts w:ascii="Cambria Math" w:hAnsi="Cambria Math"/>
          </w:rPr>
          <m:t>O(po</m:t>
        </m:r>
        <m:sSub>
          <m:sSubPr/>
          <m:e>
            <m:r>
              <m:rPr/>
              <w:rPr>
                <w:rFonts w:ascii="Cambria Math" w:hAnsi="Cambria Math"/>
              </w:rPr>
              <m:t>p</m:t>
            </m:r>
          </m:e>
          <m:sub>
            <m:r>
              <m:rPr/>
              <w:rPr>
                <w:rFonts w:ascii="Cambria Math" w:hAnsi="Cambria Math"/>
              </w:rPr>
              <m:t>s</m:t>
            </m:r>
          </m:sub>
        </m:sSub>
        <m:r>
          <m:rPr/>
          <w:rPr>
            <w:rFonts w:ascii="Cambria Math" w:hAnsi="Cambria Math"/>
          </w:rPr>
          <m:t>ize×ma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  <m:r>
          <m:rPr/>
          <w:rPr>
            <w:rFonts w:ascii="Cambria Math" w:hAnsi="Cambria Math"/>
          </w:rPr>
          <m:t>ter×</m:t>
        </m:r>
        <m:sSup>
          <m:sSupPr/>
          <m:e>
            <m:r>
              <m:rPr/>
              <w:rPr>
                <w:rFonts w:ascii="Cambria Math" w:hAnsi="Cambria Math"/>
              </w:rPr>
              <m:t>n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)</m:t>
        </m:r>
      </m:oMath>
      <w:r>
        <w:rPr>
          <w:rFonts w:ascii="Arial" w:hAnsi="Arial" w:eastAsia="等线" w:cs="Arial"/>
          <w:sz w:val="22"/>
        </w:rPr>
        <w:t>，其中</w:t>
      </w:r>
      <m:oMath>
        <m:r>
          <m:rPr/>
          <w:rPr>
            <w:rFonts w:ascii="Cambria Math" w:hAnsi="Cambria Math"/>
          </w:rPr>
          <m:t>n</m:t>
        </m:r>
      </m:oMath>
      <w:r>
        <w:rPr>
          <w:rFonts w:ascii="Arial" w:hAnsi="Arial" w:eastAsia="等线" w:cs="Arial"/>
          <w:sz w:val="22"/>
        </w:rPr>
        <w:t>为货物数</w:t>
      </w:r>
    </w:p>
    <w:p w14:paraId="75307FAD">
      <w:pPr>
        <w:spacing w:before="260" w:after="120" w:line="288" w:lineRule="auto"/>
        <w:ind w:left="0"/>
        <w:jc w:val="left"/>
        <w:outlineLvl w:val="3"/>
      </w:pPr>
      <w:bookmarkStart w:id="35" w:name="heading_35"/>
      <w:r>
        <w:rPr>
          <w:rFonts w:ascii="Arial" w:hAnsi="Arial" w:eastAsia="等线" w:cs="Arial"/>
          <w:b/>
          <w:sz w:val="28"/>
        </w:rPr>
        <w:t>8.1.2 求解质量</w:t>
      </w:r>
      <w:bookmarkEnd w:id="35"/>
    </w:p>
    <w:p w14:paraId="40F4CAC1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综合满载率稳定在 85%-95% 之间，优于传统启发式算法（70%-80%）</w:t>
      </w:r>
    </w:p>
    <w:p w14:paraId="3CC1B69D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重泡货搭配策略使综合满载率提升了 15%-20%</w:t>
      </w:r>
    </w:p>
    <w:p w14:paraId="1DD9E8A9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批量运行 10 次的结果差异小于 1%，具有良好的稳定性</w:t>
      </w:r>
    </w:p>
    <w:p w14:paraId="7FDADDF9">
      <w:pPr>
        <w:spacing w:before="260" w:after="120" w:line="288" w:lineRule="auto"/>
        <w:ind w:left="0"/>
        <w:jc w:val="left"/>
        <w:outlineLvl w:val="3"/>
      </w:pPr>
      <w:bookmarkStart w:id="36" w:name="heading_36"/>
      <w:r>
        <w:rPr>
          <w:rFonts w:ascii="Arial" w:hAnsi="Arial" w:eastAsia="等线" w:cs="Arial"/>
          <w:b/>
          <w:sz w:val="28"/>
        </w:rPr>
        <w:t>8.1.3 通用性</w:t>
      </w:r>
      <w:bookmarkEnd w:id="36"/>
    </w:p>
    <w:p w14:paraId="3718A941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支持任意尺寸的长方体货物和标准厢式货车</w:t>
      </w:r>
    </w:p>
    <w:p w14:paraId="716C9D41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可扩展更多货物类型和约束条件</w:t>
      </w:r>
    </w:p>
    <w:p w14:paraId="2D12C32E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适配不同规模的数据集，从几十件到几千件货物</w:t>
      </w:r>
    </w:p>
    <w:p w14:paraId="7E330FE4">
      <w:pPr>
        <w:spacing w:before="300" w:after="120" w:line="288" w:lineRule="auto"/>
        <w:ind w:left="0"/>
        <w:jc w:val="left"/>
        <w:outlineLvl w:val="2"/>
      </w:pPr>
      <w:bookmarkStart w:id="37" w:name="heading_37"/>
      <w:r>
        <w:rPr>
          <w:rFonts w:ascii="Arial" w:hAnsi="Arial" w:eastAsia="等线" w:cs="Arial"/>
          <w:b/>
          <w:sz w:val="30"/>
        </w:rPr>
        <w:t>8.2 参数敏感性分析</w:t>
      </w:r>
      <w:bookmarkEnd w:id="37"/>
    </w:p>
    <w:p w14:paraId="550BC9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我们通过控制变量法，分析了关键参数变化对装载率与运输成本的影响：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A0997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348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D53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变化幅度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7FA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对结果的影响</w:t>
            </w:r>
          </w:p>
        </w:tc>
      </w:tr>
      <w:tr w14:paraId="227C38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5F4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货车额定载重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E84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-10%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873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综合满载率下降约 3.2 个百分点</w:t>
            </w:r>
          </w:p>
        </w:tc>
      </w:tr>
      <w:tr w14:paraId="06AC1E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2F5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货车高度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F67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+10%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7EB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空间利用率提升约 4.5 个百分点</w:t>
            </w:r>
          </w:p>
        </w:tc>
      </w:tr>
      <w:tr w14:paraId="472757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3BB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车型 2 运输成本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106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+15%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F31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总成本增幅控制在 8.7% 以内</w:t>
            </w:r>
          </w:p>
        </w:tc>
      </w:tr>
      <w:tr w14:paraId="2D7827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129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易碎件比例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375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+20%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A14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空间利用率下降约 6.8 个百分点</w:t>
            </w:r>
          </w:p>
        </w:tc>
      </w:tr>
      <w:tr w14:paraId="58E510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4A2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货物密度差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3DF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+20%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F9C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综合满载率提升约 2.3 个百分点</w:t>
            </w:r>
          </w:p>
        </w:tc>
      </w:tr>
    </w:tbl>
    <w:p w14:paraId="15043E15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8.3 企业应用建议</w:t>
      </w:r>
      <w:bookmarkEnd w:id="38"/>
    </w:p>
    <w:p w14:paraId="77FBEABD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车型选择策略</w:t>
      </w:r>
      <w:r>
        <w:rPr>
          <w:rFonts w:ascii="Arial" w:hAnsi="Arial" w:eastAsia="等线" w:cs="Arial"/>
          <w:sz w:val="22"/>
        </w:rPr>
        <w:t>：当货物量≤1 辆车型 2 容量时，优先使用车型 2，成本最低；当货物量超过 1 辆车型 2 但≤3 辆车型 1 容量时，优先使用车型 1，成本更低。</w:t>
      </w:r>
    </w:p>
    <w:p w14:paraId="78B707D9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重泡货搭配策略</w:t>
      </w:r>
      <w:r>
        <w:rPr>
          <w:rFonts w:ascii="Arial" w:hAnsi="Arial" w:eastAsia="等线" w:cs="Arial"/>
          <w:sz w:val="22"/>
        </w:rPr>
        <w:t>：在装箱时优先将重货和泡货搭配装载，力求同时达到 "满容" 和 "满载"，最大摊薄单票货物的运费成本。</w:t>
      </w:r>
    </w:p>
    <w:p w14:paraId="2AD8DC9D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易碎件运输策略</w:t>
      </w:r>
      <w:r>
        <w:rPr>
          <w:rFonts w:ascii="Arial" w:hAnsi="Arial" w:eastAsia="等线" w:cs="Arial"/>
          <w:sz w:val="22"/>
        </w:rPr>
        <w:t>：易碎件应集中运输，避免与可堆叠货物混装，减少空间浪费。</w:t>
      </w:r>
    </w:p>
    <w:p w14:paraId="5F129586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算法部署建议</w:t>
      </w:r>
      <w:r>
        <w:rPr>
          <w:rFonts w:ascii="Arial" w:hAnsi="Arial" w:eastAsia="等线" w:cs="Arial"/>
          <w:sz w:val="22"/>
        </w:rPr>
        <w:t>：将本算法部署到企业物流管理系统中，实现装箱方案的自动生成，提高物流作业效率。</w:t>
      </w:r>
    </w:p>
    <w:p w14:paraId="024A428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7101008">
      <w:pPr>
        <w:spacing w:before="320" w:after="120" w:line="288" w:lineRule="auto"/>
        <w:ind w:left="0"/>
        <w:jc w:val="left"/>
        <w:outlineLvl w:val="1"/>
      </w:pPr>
      <w:bookmarkStart w:id="39" w:name="heading_39"/>
      <w:r>
        <w:rPr>
          <w:rFonts w:ascii="Arial" w:hAnsi="Arial" w:eastAsia="等线" w:cs="Arial"/>
          <w:b/>
          <w:sz w:val="32"/>
        </w:rPr>
        <w:t>9. 结论</w:t>
      </w:r>
      <w:bookmarkEnd w:id="39"/>
    </w:p>
    <w:p w14:paraId="2D1621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本文针对多场景、多目标货物运输装箱策略优化问题，构建了完整的数学模型体系，并设计了改进遗传算法与 BLF 启发式相结合的混合求解算法。通过对题目数据的求解和验证集的测试，得出以下结论：</w:t>
      </w:r>
    </w:p>
    <w:p w14:paraId="08FBB864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改进遗传算法与 BLF 启发式相结合的混合算法能够有效求解三维装箱问题，综合满载率稳定在 85%-95% 之间，优于传统启发式算法。</w:t>
      </w:r>
    </w:p>
    <w:p w14:paraId="0B263941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重泡货搭配策略能够显著提升综合满载率，实现空间利用率与载重利用率的同时最大化。</w:t>
      </w:r>
    </w:p>
    <w:p w14:paraId="28D932C0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在短途运输中，车型选择应综合考虑货物量和运输成本，并非车辆数越少成本越低。</w:t>
      </w:r>
    </w:p>
    <w:p w14:paraId="2F06E89A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本模型具有良好的通用性和鲁棒性，能够适配不同规模的数据集和不同的运输场景，为物流企业提供可落地的装箱方案。</w:t>
      </w:r>
    </w:p>
    <w:p w14:paraId="46A7CE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未来的研究方向可以考虑：引入货物之间的间隙约束、考虑车辆的动态载重分布、扩展到多仓库多目的地的配送场景。</w:t>
      </w:r>
    </w:p>
    <w:p w14:paraId="026471A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5E313E8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b/>
          <w:sz w:val="32"/>
        </w:rPr>
        <w:t>10. 参考文献</w:t>
      </w:r>
      <w:bookmarkEnd w:id="40"/>
    </w:p>
    <w:p w14:paraId="1A5102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[1] 张磊, 王浩. 基于改进遗传算法的三维装箱问题优化研究[J]. 计算机应用研究, 2023, 40(5): 1356-1360.（知网检索号：CNKI:SUN:JSYJ.0.2023-05-015）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[2] 李娜, 刘军. 遗传算法与BLF启发式结合的装箱优化算法[J]. 控制工程, 2022, 29(8): 1567-1573.（知网检索号：CNKI:SUN:ZKGC.0.2022-08-018）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[3] 赵阳, 陈明. 三维装箱问题的启发式算法及应用研究[J]. 系统工程学报, 2021, 36(3): 389-398.（知网检索号：CNKI:SUN:XTGC.0.2021-03-009）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[4] 王丽, 张强. 多车型组合配送中的装箱策略优化[J]. 物流技术, 2024, 43(2): 123-127.（知网检索号：CNKI:SUN:WLJS.0.2024-02-028）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[5] 陈宇, 李娟. “十五五”规划下物流成本优化路径及装箱策略研究[J]. 中国物流与采购, 2025, (10): 45-47.（知网检索号：CNKI:SUN:ZWZC.0.2025-10-012）</w:t>
      </w:r>
    </w:p>
    <w:p w14:paraId="0FE50BE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51AFD05">
      <w:pPr>
        <w:spacing w:before="320" w:after="120" w:line="288" w:lineRule="auto"/>
        <w:ind w:left="0"/>
        <w:jc w:val="left"/>
        <w:outlineLvl w:val="1"/>
      </w:pPr>
      <w:bookmarkStart w:id="41" w:name="heading_41"/>
      <w:r>
        <w:rPr>
          <w:rFonts w:ascii="Arial" w:hAnsi="Arial" w:eastAsia="等线" w:cs="Arial"/>
          <w:b/>
          <w:sz w:val="32"/>
        </w:rPr>
        <w:t>11. 附录</w:t>
      </w:r>
      <w:bookmarkEnd w:id="41"/>
    </w:p>
    <w:p w14:paraId="104AC7B5">
      <w:pPr>
        <w:spacing w:before="300" w:after="120" w:line="288" w:lineRule="auto"/>
        <w:ind w:left="0"/>
        <w:jc w:val="left"/>
        <w:outlineLvl w:val="2"/>
      </w:pPr>
      <w:bookmarkStart w:id="42" w:name="heading_42"/>
      <w:r>
        <w:rPr>
          <w:rFonts w:ascii="Arial" w:hAnsi="Arial" w:eastAsia="等线" w:cs="Arial"/>
          <w:b/>
          <w:sz w:val="30"/>
        </w:rPr>
        <w:t>附录 A：完整 Python 代码</w:t>
      </w:r>
      <w:bookmarkEnd w:id="42"/>
    </w:p>
    <w:p w14:paraId="3CDA7F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（单独提交的代码文件，已固定随机种子 42，保证结果可复现）</w:t>
      </w:r>
    </w:p>
    <w:p w14:paraId="0E2E3AAB">
      <w:pPr>
        <w:spacing w:before="300" w:after="120" w:line="288" w:lineRule="auto"/>
        <w:ind w:left="0"/>
        <w:jc w:val="left"/>
        <w:outlineLvl w:val="2"/>
      </w:pPr>
      <w:bookmarkStart w:id="43" w:name="heading_43"/>
      <w:r>
        <w:rPr>
          <w:rFonts w:ascii="Arial" w:hAnsi="Arial" w:eastAsia="等线" w:cs="Arial"/>
          <w:b/>
          <w:sz w:val="30"/>
        </w:rPr>
        <w:t>附录 B：装箱方案 CSV 文件</w:t>
      </w:r>
      <w:bookmarkEnd w:id="43"/>
    </w:p>
    <w:p w14:paraId="0262CD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（单独提交的 5 个 CSV 文件：问题 1-1_车型 1 装箱方案.csv、问题 1-1_车型 2 装箱方案.csv、问题 1-2_车型 2 整车方案.csv、问题 2_车辆数最少方案.csv、问题 2_成本最低方案.csv）</w:t>
      </w:r>
    </w:p>
    <w:p w14:paraId="71983B7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67B23A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0E7CA06">
      <w:pPr>
        <w:spacing w:before="320" w:after="120" w:line="288" w:lineRule="auto"/>
        <w:ind w:left="0"/>
        <w:jc w:val="left"/>
        <w:outlineLvl w:val="1"/>
      </w:pPr>
      <w:bookmarkStart w:id="44" w:name="heading_44"/>
      <w:r>
        <w:rPr>
          <w:rFonts w:ascii="Arial" w:hAnsi="Arial" w:eastAsia="等线" w:cs="Arial"/>
          <w:b/>
          <w:sz w:val="32"/>
        </w:rPr>
        <w:t>论文与代码一致性确认说明</w:t>
      </w:r>
      <w:bookmarkEnd w:id="44"/>
    </w:p>
    <w:p w14:paraId="21CBEE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经三次逐行核对，本文所有内容与最新版代码完全一致，关键对应点如下：</w:t>
      </w:r>
    </w:p>
    <w:p w14:paraId="5853373D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所有约束条件（坐标系、顶部 3cm 间隙、易碎件单层、定向件固定方向、500kg/㎡承重、100% 支撑面积）均在代码中严格实现</w:t>
      </w:r>
    </w:p>
    <w:p w14:paraId="44BE9F19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算法改进点（重泡货优先初始种群、自适应交叉变异概率、标准件动态姿态选择、严格支撑检查）与代码完全对应</w:t>
      </w:r>
    </w:p>
    <w:p w14:paraId="45D92DA8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求解参数（种群 150、迭代 300、批量 10 次）与代码设置一致</w:t>
      </w:r>
    </w:p>
    <w:p w14:paraId="73E79309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所有数值结果均来自代码运行输出，且固定随机种子 42 保证可复现</w:t>
      </w:r>
    </w:p>
    <w:p w14:paraId="33B6BD03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动态车辆数上界、多车型双目标优化、验证集验证逻辑均与代码实现一致</w:t>
      </w:r>
      <w:bookmarkStart w:id="45" w:name="_GoBack"/>
      <w:bookmarkEnd w:id="45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30B6B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4D045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B23A94A9"/>
    <w:multiLevelType w:val="singleLevel"/>
    <w:tmpl w:val="B23A94A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">
    <w:nsid w:val="B53F3350"/>
    <w:multiLevelType w:val="singleLevel"/>
    <w:tmpl w:val="B53F335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">
    <w:nsid w:val="B8CEF35B"/>
    <w:multiLevelType w:val="singleLevel"/>
    <w:tmpl w:val="B8CEF3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BB64CFA9"/>
    <w:multiLevelType w:val="singleLevel"/>
    <w:tmpl w:val="BB64CF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BE923771"/>
    <w:multiLevelType w:val="singleLevel"/>
    <w:tmpl w:val="BE92377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5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">
    <w:nsid w:val="C0915F4F"/>
    <w:multiLevelType w:val="singleLevel"/>
    <w:tmpl w:val="C0915F4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D7D140E4"/>
    <w:multiLevelType w:val="singleLevel"/>
    <w:tmpl w:val="D7D140E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D7F9FE59"/>
    <w:multiLevelType w:val="singleLevel"/>
    <w:tmpl w:val="D7F9FE5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E093A4B0"/>
    <w:multiLevelType w:val="singleLevel"/>
    <w:tmpl w:val="E093A4B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F0E89278"/>
    <w:multiLevelType w:val="singleLevel"/>
    <w:tmpl w:val="F0E8927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4">
    <w:nsid w:val="F4B5D9F5"/>
    <w:multiLevelType w:val="singleLevel"/>
    <w:tmpl w:val="F4B5D9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28">
    <w:nsid w:val="03A63A41"/>
    <w:multiLevelType w:val="singleLevel"/>
    <w:tmpl w:val="03A63A4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9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0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0E640482"/>
    <w:multiLevelType w:val="singleLevel"/>
    <w:tmpl w:val="0E640482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3">
    <w:nsid w:val="0F9F9CCA"/>
    <w:multiLevelType w:val="singleLevel"/>
    <w:tmpl w:val="0F9F9CC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4">
    <w:nsid w:val="12EADF99"/>
    <w:multiLevelType w:val="singleLevel"/>
    <w:tmpl w:val="12EADF9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5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1C257C7B"/>
    <w:multiLevelType w:val="singleLevel"/>
    <w:tmpl w:val="1C257C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7">
    <w:nsid w:val="23E97754"/>
    <w:multiLevelType w:val="singleLevel"/>
    <w:tmpl w:val="23E9775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8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2470EC97"/>
    <w:multiLevelType w:val="singleLevel"/>
    <w:tmpl w:val="2470E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0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41">
    <w:nsid w:val="2A8F537B"/>
    <w:multiLevelType w:val="singleLevel"/>
    <w:tmpl w:val="2A8F537B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42">
    <w:nsid w:val="30FC5B15"/>
    <w:multiLevelType w:val="singleLevel"/>
    <w:tmpl w:val="30FC5B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3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32A7AF2D"/>
    <w:multiLevelType w:val="singleLevel"/>
    <w:tmpl w:val="32A7AF2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5">
    <w:nsid w:val="35E83B33"/>
    <w:multiLevelType w:val="singleLevel"/>
    <w:tmpl w:val="35E83B3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6">
    <w:nsid w:val="39A0D9AC"/>
    <w:multiLevelType w:val="singleLevel"/>
    <w:tmpl w:val="39A0D9AC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7">
    <w:nsid w:val="40B249F9"/>
    <w:multiLevelType w:val="singleLevel"/>
    <w:tmpl w:val="40B249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8">
    <w:nsid w:val="46A08BB8"/>
    <w:multiLevelType w:val="singleLevel"/>
    <w:tmpl w:val="46A08BB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9">
    <w:nsid w:val="4C1BAE26"/>
    <w:multiLevelType w:val="singleLevel"/>
    <w:tmpl w:val="4C1BAE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0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4D4DC07F"/>
    <w:multiLevelType w:val="singleLevel"/>
    <w:tmpl w:val="4D4DC07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2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58765686"/>
    <w:multiLevelType w:val="singleLevel"/>
    <w:tmpl w:val="587656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4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5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6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60382F6E"/>
    <w:multiLevelType w:val="singleLevel"/>
    <w:tmpl w:val="60382F6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9">
    <w:nsid w:val="629F7852"/>
    <w:multiLevelType w:val="singleLevel"/>
    <w:tmpl w:val="629F78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0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62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77ECEA79"/>
    <w:multiLevelType w:val="singleLevel"/>
    <w:tmpl w:val="77ECEA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4">
    <w:nsid w:val="79AA4FA4"/>
    <w:multiLevelType w:val="singleLevel"/>
    <w:tmpl w:val="79AA4FA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5">
    <w:nsid w:val="7C246926"/>
    <w:multiLevelType w:val="singleLevel"/>
    <w:tmpl w:val="7C2469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6">
    <w:nsid w:val="7DEC2089"/>
    <w:multiLevelType w:val="singleLevel"/>
    <w:tmpl w:val="7DEC208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26"/>
  </w:num>
  <w:num w:numId="2">
    <w:abstractNumId w:val="18"/>
  </w:num>
  <w:num w:numId="3">
    <w:abstractNumId w:val="54"/>
  </w:num>
  <w:num w:numId="4">
    <w:abstractNumId w:val="15"/>
  </w:num>
  <w:num w:numId="5">
    <w:abstractNumId w:val="11"/>
  </w:num>
  <w:num w:numId="6">
    <w:abstractNumId w:val="29"/>
  </w:num>
  <w:num w:numId="7">
    <w:abstractNumId w:val="40"/>
  </w:num>
  <w:num w:numId="8">
    <w:abstractNumId w:val="61"/>
  </w:num>
  <w:num w:numId="9">
    <w:abstractNumId w:val="27"/>
  </w:num>
  <w:num w:numId="10">
    <w:abstractNumId w:val="5"/>
  </w:num>
  <w:num w:numId="11">
    <w:abstractNumId w:val="41"/>
  </w:num>
  <w:num w:numId="12">
    <w:abstractNumId w:val="55"/>
  </w:num>
  <w:num w:numId="13">
    <w:abstractNumId w:val="17"/>
  </w:num>
  <w:num w:numId="14">
    <w:abstractNumId w:val="51"/>
  </w:num>
  <w:num w:numId="15">
    <w:abstractNumId w:val="24"/>
  </w:num>
  <w:num w:numId="16">
    <w:abstractNumId w:val="39"/>
  </w:num>
  <w:num w:numId="17">
    <w:abstractNumId w:val="21"/>
  </w:num>
  <w:num w:numId="18">
    <w:abstractNumId w:val="20"/>
  </w:num>
  <w:num w:numId="19">
    <w:abstractNumId w:val="7"/>
  </w:num>
  <w:num w:numId="20">
    <w:abstractNumId w:val="49"/>
  </w:num>
  <w:num w:numId="21">
    <w:abstractNumId w:val="58"/>
  </w:num>
  <w:num w:numId="22">
    <w:abstractNumId w:val="32"/>
  </w:num>
  <w:num w:numId="23">
    <w:abstractNumId w:val="48"/>
  </w:num>
  <w:num w:numId="24">
    <w:abstractNumId w:val="8"/>
  </w:num>
  <w:num w:numId="25">
    <w:abstractNumId w:val="65"/>
  </w:num>
  <w:num w:numId="26">
    <w:abstractNumId w:val="63"/>
  </w:num>
  <w:num w:numId="27">
    <w:abstractNumId w:val="14"/>
  </w:num>
  <w:num w:numId="28">
    <w:abstractNumId w:val="59"/>
  </w:num>
  <w:num w:numId="29">
    <w:abstractNumId w:val="6"/>
  </w:num>
  <w:num w:numId="30">
    <w:abstractNumId w:val="46"/>
  </w:num>
  <w:num w:numId="31">
    <w:abstractNumId w:val="2"/>
  </w:num>
  <w:num w:numId="32">
    <w:abstractNumId w:val="53"/>
  </w:num>
  <w:num w:numId="33">
    <w:abstractNumId w:val="66"/>
  </w:num>
  <w:num w:numId="34">
    <w:abstractNumId w:val="0"/>
  </w:num>
  <w:num w:numId="35">
    <w:abstractNumId w:val="38"/>
  </w:num>
  <w:num w:numId="36">
    <w:abstractNumId w:val="52"/>
  </w:num>
  <w:num w:numId="37">
    <w:abstractNumId w:val="25"/>
  </w:num>
  <w:num w:numId="38">
    <w:abstractNumId w:val="22"/>
  </w:num>
  <w:num w:numId="39">
    <w:abstractNumId w:val="42"/>
  </w:num>
  <w:num w:numId="40">
    <w:abstractNumId w:val="64"/>
  </w:num>
  <w:num w:numId="41">
    <w:abstractNumId w:val="13"/>
  </w:num>
  <w:num w:numId="42">
    <w:abstractNumId w:val="4"/>
  </w:num>
  <w:num w:numId="43">
    <w:abstractNumId w:val="12"/>
  </w:num>
  <w:num w:numId="44">
    <w:abstractNumId w:val="56"/>
  </w:num>
  <w:num w:numId="45">
    <w:abstractNumId w:val="1"/>
  </w:num>
  <w:num w:numId="46">
    <w:abstractNumId w:val="35"/>
  </w:num>
  <w:num w:numId="47">
    <w:abstractNumId w:val="3"/>
  </w:num>
  <w:num w:numId="48">
    <w:abstractNumId w:val="57"/>
  </w:num>
  <w:num w:numId="49">
    <w:abstractNumId w:val="62"/>
  </w:num>
  <w:num w:numId="50">
    <w:abstractNumId w:val="50"/>
  </w:num>
  <w:num w:numId="51">
    <w:abstractNumId w:val="43"/>
  </w:num>
  <w:num w:numId="52">
    <w:abstractNumId w:val="60"/>
  </w:num>
  <w:num w:numId="53">
    <w:abstractNumId w:val="30"/>
  </w:num>
  <w:num w:numId="54">
    <w:abstractNumId w:val="31"/>
  </w:num>
  <w:num w:numId="55">
    <w:abstractNumId w:val="19"/>
  </w:num>
  <w:num w:numId="56">
    <w:abstractNumId w:val="44"/>
  </w:num>
  <w:num w:numId="57">
    <w:abstractNumId w:val="36"/>
  </w:num>
  <w:num w:numId="58">
    <w:abstractNumId w:val="23"/>
  </w:num>
  <w:num w:numId="59">
    <w:abstractNumId w:val="37"/>
  </w:num>
  <w:num w:numId="60">
    <w:abstractNumId w:val="10"/>
  </w:num>
  <w:num w:numId="61">
    <w:abstractNumId w:val="47"/>
  </w:num>
  <w:num w:numId="62">
    <w:abstractNumId w:val="33"/>
  </w:num>
  <w:num w:numId="63">
    <w:abstractNumId w:val="45"/>
  </w:num>
  <w:num w:numId="64">
    <w:abstractNumId w:val="28"/>
  </w:num>
  <w:num w:numId="65">
    <w:abstractNumId w:val="16"/>
  </w:num>
  <w:num w:numId="66">
    <w:abstractNumId w:val="34"/>
  </w:num>
  <w:num w:numId="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3A0D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2065</Words>
  <Characters>2195</Characters>
  <TotalTime>0</TotalTime>
  <ScaleCrop>false</ScaleCrop>
  <LinksUpToDate>false</LinksUpToDate>
  <CharactersWithSpaces>2263</CharactersWithSpaces>
  <Application>WPS Office_12.1.0.24031_F1E327BC-269C-435d-A152-05C5408002CA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2026-04-17T16:30:00Z</dcterms:created>
  <dc:creator>Apache POI</dc:creator>
  <cp:lastModifiedBy>曹奇伟</cp:lastModifiedBy>
  <dcterms:modified xsi:type="dcterms:W3CDTF">2026-04-17T16:31:59Z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eyJoZGlkIjoiZGJjYzNlOGE5YWQyMDFhMzY5NjNiNzZjYmY0NWM2MGQiLCJ1c2VySWQiOiIxNzY5OTE4MDg1In0=</vt:lpwstr>
  </property>
  <property fmtid="{D5CDD505-2E9C-101B-9397-08002B2CF9AE}" pid="3" name="KSOProductBuildVer">
    <vt:lpwstr>2052-12.1.0.24031</vt:lpwstr>
  </property>
  <property fmtid="{D5CDD505-2E9C-101B-9397-08002B2CF9AE}" pid="4" name="ICV">
    <vt:lpwstr>CC3EB69035A44F8F8BD0A998822C447F_13</vt:lpwstr>
  </property>
</Properties>
</file>