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B45309"/>
          <w:sz w:val="19"/>
        </w:rPr>
        <w:t>STAR COMPUTER SOLUTIONS &amp; INFOSYS  |  ENGINEERING EXCELLENCE &amp; DIGITAL CONSULTING</w:t>
      </w:r>
    </w:p>
    <w:tbl>
      <w:tblPr>
        <w:tblW w:type="auto" w:w="0"/>
        <w:jc w:val="center"/>
        <w:tblLook w:firstColumn="1" w:firstRow="1" w:lastColumn="0" w:lastRow="0" w:noHBand="0" w:noVBand="1" w:val="04A0"/>
      </w:tblPr>
      <w:tblGrid>
        <w:gridCol w:w="9792"/>
      </w:tblGrid>
      <w:tr>
        <w:tc>
          <w:tcPr>
            <w:tcW w:type="dxa" w:w="9792"/>
            <w:shd w:fill="0F4C3A"/>
          </w:tcPr>
          <w:p>
            <w:pPr>
              <w:spacing w:after="40"/>
            </w:pPr>
          </w:p>
        </w:tc>
      </w:tr>
    </w:tbl>
    <w:p>
      <w:pPr>
        <w:spacing w:before="720" w:after="200"/>
      </w:pPr>
      <w:r>
        <w:rPr>
          <w:rFonts w:ascii="Calibri" w:hAnsi="Calibri"/>
          <w:b/>
          <w:color w:val="0F4C3A"/>
          <w:sz w:val="46"/>
        </w:rPr>
        <w:t>ENTERPRISE DIGITAL TRANSFORMATION &amp;</w:t>
        <w:br/>
        <w:t>PAGE-BY-PAGE ARCHITECTURAL COMPARISON</w:t>
      </w:r>
    </w:p>
    <w:p>
      <w:pPr>
        <w:spacing w:after="520" w:line="288" w:lineRule="auto"/>
      </w:pPr>
      <w:r>
        <w:rPr>
          <w:rFonts w:ascii="Calibri" w:hAnsi="Calibri"/>
          <w:color w:val="1E293B"/>
          <w:sz w:val="23"/>
        </w:rPr>
        <w:t>Real-Time Structural, Functional, Technological &amp; Administrative Audit:</w:t>
        <w:br/>
        <w:t>Legacy WordPress Portal (https://bisnoulisansthan.in/) vs. Modern Cloud Platform (https://bisnoulisansthan.vercel.app/)</w:t>
        <w:br/>
        <w:t>Complete Page-by-Page Audit &amp; Exhaustive Engineering Specification</w:t>
      </w:r>
    </w:p>
    <w:tbl>
      <w:tblPr>
        <w:tblW w:type="auto" w:w="0"/>
        <w:jc w:val="center"/>
        <w:tblLook w:firstColumn="1" w:firstRow="1" w:lastColumn="0" w:lastRow="0" w:noHBand="0" w:noVBand="1" w:val="04A0"/>
      </w:tblPr>
      <w:tblGrid>
        <w:gridCol w:w="9792"/>
      </w:tblGrid>
      <w:tr>
        <w:tc>
          <w:tcPr>
            <w:tcW w:type="dxa" w:w="9792"/>
            <w:shd w:fill="ECFDF5"/>
            <w:tcMar>
              <w:top w:w="160" w:type="dxa"/>
              <w:bottom w:w="160" w:type="dxa"/>
              <w:left w:w="200" w:type="dxa"/>
              <w:right w:w="200" w:type="dxa"/>
            </w:tcMar>
            <w:tcBorders>
              <w:left w:val="single" w:sz="36" w:space="0" w:color="0F4C3A"/>
              <w:top w:val="none"/>
              <w:right w:val="none"/>
              <w:bottom w:val="none"/>
            </w:tcBorders>
          </w:tcPr>
          <w:p>
            <w:pPr>
              <w:spacing w:after="80"/>
            </w:pPr>
            <w:r>
              <w:rPr>
                <w:rFonts w:ascii="Calibri" w:hAnsi="Calibri"/>
                <w:b/>
                <w:color w:val="B45309"/>
                <w:sz w:val="19"/>
              </w:rPr>
              <w:t>ARCHITECTED, ENGINEERED &amp; DELIVERED BY:</w:t>
            </w:r>
          </w:p>
          <w:p>
            <w:pPr>
              <w:spacing w:after="80"/>
            </w:pPr>
            <w:r>
              <w:rPr>
                <w:rFonts w:ascii="Calibri" w:hAnsi="Calibri"/>
                <w:b/>
                <w:color w:val="0F4C3A"/>
                <w:sz w:val="32"/>
              </w:rPr>
              <w:t>Star Computer Solutions &amp; Infosys</w:t>
            </w:r>
          </w:p>
          <w:p>
            <w:pPr>
              <w:spacing w:after="0" w:line="288" w:lineRule="auto"/>
            </w:pPr>
            <w:r>
              <w:rPr>
                <w:rFonts w:ascii="Calibri" w:hAnsi="Calibri"/>
                <w:color w:val="1E293B"/>
                <w:sz w:val="19"/>
              </w:rPr>
              <w:t>Website: https://www.scsi.in/</w:t>
              <w:br/>
              <w:t>Corporate Headquarters: Jaswant Plaza, Shaheen Bagh, Okhla, New Delhi - 110025, India</w:t>
              <w:br/>
              <w:t>Helpline: +91-9311113446  |  Email: info@scsi.in</w:t>
              <w:br/>
              <w:t>Core Capabilities: Enterprise Web Apps, Serverless Cloud Architecture, Custom Admin Studios, Non-Profit Compliance</w:t>
            </w:r>
          </w:p>
        </w:tc>
      </w:tr>
    </w:tbl>
    <w:p>
      <w:pPr>
        <w:spacing w:before="44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96"/>
        <w:gridCol w:w="4896"/>
      </w:tblGrid>
      <w:tr>
        <w:tc>
          <w:tcPr>
            <w:tcW w:type="dxa" w:w="3456"/>
            <w:shd w:fill="F8FAFC"/>
            <w:tcMar>
              <w:top w:w="80" w:type="dxa"/>
              <w:bottom w:w="80" w:type="dxa"/>
              <w:left w:w="120" w:type="dxa"/>
              <w:right w:w="120" w:type="dxa"/>
            </w:tcMar>
          </w:tcPr>
          <w:p>
            <w:pPr>
              <w:spacing w:after="0"/>
            </w:pPr>
            <w:r>
              <w:rPr>
                <w:rFonts w:ascii="Calibri" w:hAnsi="Calibri"/>
                <w:b/>
                <w:color w:val="1E293B"/>
                <w:sz w:val="18"/>
              </w:rPr>
              <w:t>Target Organization</w:t>
            </w:r>
          </w:p>
        </w:tc>
        <w:tc>
          <w:tcPr>
            <w:tcW w:type="dxa" w:w="6336"/>
            <w:shd w:fill="FFFFFF"/>
            <w:tcMar>
              <w:top w:w="80" w:type="dxa"/>
              <w:bottom w:w="80" w:type="dxa"/>
              <w:left w:w="120" w:type="dxa"/>
              <w:right w:w="120" w:type="dxa"/>
            </w:tcMar>
          </w:tcPr>
          <w:p>
            <w:pPr>
              <w:spacing w:after="0"/>
            </w:pPr>
            <w:r>
              <w:rPr>
                <w:rFonts w:ascii="Calibri" w:hAnsi="Calibri"/>
                <w:color w:val="1E293B"/>
                <w:sz w:val="18"/>
              </w:rPr>
              <w:t>Bisnouli Sarvodaya Gramodyog Sewa Sansthan (BSGSS)</w:t>
            </w:r>
          </w:p>
        </w:tc>
      </w:tr>
      <w:tr>
        <w:tc>
          <w:tcPr>
            <w:tcW w:type="dxa" w:w="3456"/>
            <w:shd w:fill="F8FAFC"/>
            <w:tcMar>
              <w:top w:w="80" w:type="dxa"/>
              <w:bottom w:w="80" w:type="dxa"/>
              <w:left w:w="120" w:type="dxa"/>
              <w:right w:w="120" w:type="dxa"/>
            </w:tcMar>
          </w:tcPr>
          <w:p>
            <w:pPr>
              <w:spacing w:after="0"/>
            </w:pPr>
            <w:r>
              <w:rPr>
                <w:rFonts w:ascii="Calibri" w:hAnsi="Calibri"/>
                <w:b/>
                <w:color w:val="1E293B"/>
                <w:sz w:val="18"/>
              </w:rPr>
              <w:t>Statutory Registrations</w:t>
            </w:r>
          </w:p>
        </w:tc>
        <w:tc>
          <w:tcPr>
            <w:tcW w:type="dxa" w:w="6336"/>
            <w:shd w:fill="FFFFFF"/>
            <w:tcMar>
              <w:top w:w="80" w:type="dxa"/>
              <w:bottom w:w="80" w:type="dxa"/>
              <w:left w:w="120" w:type="dxa"/>
              <w:right w:w="120" w:type="dxa"/>
            </w:tcMar>
          </w:tcPr>
          <w:p>
            <w:pPr>
              <w:spacing w:after="0"/>
            </w:pPr>
            <w:r>
              <w:rPr>
                <w:rFonts w:ascii="Calibri" w:hAnsi="Calibri"/>
                <w:color w:val="1E293B"/>
                <w:sz w:val="18"/>
              </w:rPr>
              <w:t>Society Reg. No. 226/1994-95 | 12A &amp; 80G | MCA CSR-1 | NGO Darpan</w:t>
            </w:r>
          </w:p>
        </w:tc>
      </w:tr>
      <w:tr>
        <w:tc>
          <w:tcPr>
            <w:tcW w:type="dxa" w:w="3456"/>
            <w:shd w:fill="F8FAFC"/>
            <w:tcMar>
              <w:top w:w="80" w:type="dxa"/>
              <w:bottom w:w="80" w:type="dxa"/>
              <w:left w:w="120" w:type="dxa"/>
              <w:right w:w="120" w:type="dxa"/>
            </w:tcMar>
          </w:tcPr>
          <w:p>
            <w:pPr>
              <w:spacing w:after="0"/>
            </w:pPr>
            <w:r>
              <w:rPr>
                <w:rFonts w:ascii="Calibri" w:hAnsi="Calibri"/>
                <w:b/>
                <w:color w:val="1E293B"/>
                <w:sz w:val="18"/>
              </w:rPr>
              <w:t>Report Classification</w:t>
            </w:r>
          </w:p>
        </w:tc>
        <w:tc>
          <w:tcPr>
            <w:tcW w:type="dxa" w:w="6336"/>
            <w:shd w:fill="FFFFFF"/>
            <w:tcMar>
              <w:top w:w="80" w:type="dxa"/>
              <w:bottom w:w="80" w:type="dxa"/>
              <w:left w:w="120" w:type="dxa"/>
              <w:right w:w="120" w:type="dxa"/>
            </w:tcMar>
          </w:tcPr>
          <w:p>
            <w:pPr>
              <w:spacing w:after="0"/>
            </w:pPr>
            <w:r>
              <w:rPr>
                <w:rFonts w:ascii="Calibri" w:hAnsi="Calibri"/>
                <w:color w:val="1E293B"/>
                <w:sz w:val="18"/>
              </w:rPr>
              <w:t>Comprehensive Page-by-Page Architectural &amp; Technical Handover</w:t>
            </w:r>
          </w:p>
        </w:tc>
      </w:tr>
      <w:tr>
        <w:tc>
          <w:tcPr>
            <w:tcW w:type="dxa" w:w="3456"/>
            <w:shd w:fill="F8FAFC"/>
            <w:tcMar>
              <w:top w:w="80" w:type="dxa"/>
              <w:bottom w:w="80" w:type="dxa"/>
              <w:left w:w="120" w:type="dxa"/>
              <w:right w:w="120" w:type="dxa"/>
            </w:tcMar>
          </w:tcPr>
          <w:p>
            <w:pPr>
              <w:spacing w:after="0"/>
            </w:pPr>
            <w:r>
              <w:rPr>
                <w:rFonts w:ascii="Calibri" w:hAnsi="Calibri"/>
                <w:b/>
                <w:color w:val="1E293B"/>
                <w:sz w:val="18"/>
              </w:rPr>
              <w:t>Release Date &amp; Version</w:t>
            </w:r>
          </w:p>
        </w:tc>
        <w:tc>
          <w:tcPr>
            <w:tcW w:type="dxa" w:w="6336"/>
            <w:shd w:fill="FFFFFF"/>
            <w:tcMar>
              <w:top w:w="80" w:type="dxa"/>
              <w:bottom w:w="80" w:type="dxa"/>
              <w:left w:w="120" w:type="dxa"/>
              <w:right w:w="120" w:type="dxa"/>
            </w:tcMar>
          </w:tcPr>
          <w:p>
            <w:pPr>
              <w:spacing w:after="0"/>
            </w:pPr>
            <w:r>
              <w:rPr>
                <w:rFonts w:ascii="Calibri" w:hAnsi="Calibri"/>
                <w:color w:val="1E293B"/>
                <w:sz w:val="18"/>
              </w:rPr>
              <w:t>Version 3.0 (Real-Time Live Site Audit) — October 21, 2026</w:t>
            </w:r>
          </w:p>
        </w:tc>
      </w:tr>
      <w:tr>
        <w:tc>
          <w:tcPr>
            <w:tcW w:type="dxa" w:w="3456"/>
            <w:shd w:fill="F8FAFC"/>
            <w:tcMar>
              <w:top w:w="80" w:type="dxa"/>
              <w:bottom w:w="80" w:type="dxa"/>
              <w:left w:w="120" w:type="dxa"/>
              <w:right w:w="120" w:type="dxa"/>
            </w:tcMar>
          </w:tcPr>
          <w:p>
            <w:pPr>
              <w:spacing w:after="0"/>
            </w:pPr>
            <w:r>
              <w:rPr>
                <w:rFonts w:ascii="Calibri" w:hAnsi="Calibri"/>
                <w:b/>
                <w:color w:val="1E293B"/>
                <w:sz w:val="18"/>
              </w:rPr>
              <w:t>Baseline Legacy URL</w:t>
            </w:r>
          </w:p>
        </w:tc>
        <w:tc>
          <w:tcPr>
            <w:tcW w:type="dxa" w:w="6336"/>
            <w:shd w:fill="FFFFFF"/>
            <w:tcMar>
              <w:top w:w="80" w:type="dxa"/>
              <w:bottom w:w="80" w:type="dxa"/>
              <w:left w:w="120" w:type="dxa"/>
              <w:right w:w="120" w:type="dxa"/>
            </w:tcMar>
          </w:tcPr>
          <w:p>
            <w:pPr>
              <w:spacing w:after="0"/>
            </w:pPr>
            <w:r>
              <w:rPr>
                <w:rFonts w:ascii="Calibri" w:hAnsi="Calibri"/>
                <w:color w:val="1E293B"/>
                <w:sz w:val="18"/>
              </w:rPr>
              <w:t>https://bisnoulisansthan.in/ (Apache / WordPress 6.x / MySQL)</w:t>
            </w:r>
          </w:p>
        </w:tc>
      </w:tr>
      <w:tr>
        <w:tc>
          <w:tcPr>
            <w:tcW w:type="dxa" w:w="3456"/>
            <w:shd w:fill="F8FAFC"/>
            <w:tcMar>
              <w:top w:w="80" w:type="dxa"/>
              <w:bottom w:w="80" w:type="dxa"/>
              <w:left w:w="120" w:type="dxa"/>
              <w:right w:w="120" w:type="dxa"/>
            </w:tcMar>
          </w:tcPr>
          <w:p>
            <w:pPr>
              <w:spacing w:after="0"/>
            </w:pPr>
            <w:r>
              <w:rPr>
                <w:rFonts w:ascii="Calibri" w:hAnsi="Calibri"/>
                <w:b/>
                <w:color w:val="1E293B"/>
                <w:sz w:val="18"/>
              </w:rPr>
              <w:t>Modernized Platform URL</w:t>
            </w:r>
          </w:p>
        </w:tc>
        <w:tc>
          <w:tcPr>
            <w:tcW w:type="dxa" w:w="6336"/>
            <w:shd w:fill="FFFFFF"/>
            <w:tcMar>
              <w:top w:w="80" w:type="dxa"/>
              <w:bottom w:w="80" w:type="dxa"/>
              <w:left w:w="120" w:type="dxa"/>
              <w:right w:w="120" w:type="dxa"/>
            </w:tcMar>
          </w:tcPr>
          <w:p>
            <w:pPr>
              <w:spacing w:after="0"/>
            </w:pPr>
            <w:r>
              <w:rPr>
                <w:rFonts w:ascii="Calibri" w:hAnsi="Calibri"/>
                <w:color w:val="1E293B"/>
                <w:sz w:val="18"/>
              </w:rPr>
              <w:t>https://bisnoulisansthan.vercel.app/ (Next.js 16.4 / React 19 / PostgreSQL)</w:t>
            </w:r>
          </w:p>
        </w:tc>
      </w:tr>
      <w:tr>
        <w:tc>
          <w:tcPr>
            <w:tcW w:type="dxa" w:w="3456"/>
            <w:shd w:fill="F8FAFC"/>
            <w:tcMar>
              <w:top w:w="80" w:type="dxa"/>
              <w:bottom w:w="80" w:type="dxa"/>
              <w:left w:w="120" w:type="dxa"/>
              <w:right w:w="120" w:type="dxa"/>
            </w:tcMar>
          </w:tcPr>
          <w:p>
            <w:pPr>
              <w:spacing w:after="0"/>
            </w:pPr>
            <w:r>
              <w:rPr>
                <w:rFonts w:ascii="Calibri" w:hAnsi="Calibri"/>
                <w:b/>
                <w:color w:val="1E293B"/>
                <w:sz w:val="18"/>
              </w:rPr>
              <w:t>Engineering Agency</w:t>
            </w:r>
          </w:p>
        </w:tc>
        <w:tc>
          <w:tcPr>
            <w:tcW w:type="dxa" w:w="6336"/>
            <w:shd w:fill="FFFFFF"/>
            <w:tcMar>
              <w:top w:w="80" w:type="dxa"/>
              <w:bottom w:w="80" w:type="dxa"/>
              <w:left w:w="120" w:type="dxa"/>
              <w:right w:w="120" w:type="dxa"/>
            </w:tcMar>
          </w:tcPr>
          <w:p>
            <w:pPr>
              <w:spacing w:after="0"/>
            </w:pPr>
            <w:r>
              <w:rPr>
                <w:rFonts w:ascii="Calibri" w:hAnsi="Calibri"/>
                <w:color w:val="1E293B"/>
                <w:sz w:val="18"/>
              </w:rPr>
              <w:t>Star Computer Solutions &amp; Infosys (https://www.scsi.in/)</w:t>
            </w:r>
          </w:p>
        </w:tc>
      </w:tr>
    </w:tbl>
    <w:p>
      <w:r>
        <w:br w:type="page"/>
      </w:r>
    </w:p>
    <w:p>
      <w:pPr>
        <w:keepNext/>
        <w:spacing w:before="440" w:after="160"/>
      </w:pPr>
      <w:r>
        <w:rPr>
          <w:rFonts w:ascii="Calibri" w:hAnsi="Calibri"/>
          <w:b/>
          <w:color w:val="0F4C3A"/>
          <w:sz w:val="32"/>
        </w:rPr>
        <w:t>1. Engineering Firm Profile — Star Computer Solutions &amp; Infosys</w:t>
      </w:r>
    </w:p>
    <w:p>
      <w:pPr>
        <w:spacing w:after="120" w:line="276" w:lineRule="auto"/>
      </w:pPr>
      <w:r>
        <w:rPr>
          <w:rFonts w:ascii="Calibri" w:hAnsi="Calibri"/>
          <w:i w:val="0"/>
          <w:color w:val="1E293B"/>
          <w:sz w:val="20"/>
        </w:rPr>
        <w:t>Star Computer Solutions &amp; Infosys (SCSI) is a premier full-cycle digital transformation consultancy and software engineering enterprise headquartered in New Delhi, India. SCSI specializes in enterprise web architectures, cloud application engineering, high-availability relational database design, non-profit statutory automation systems, and bespoke administrative content management platforms.</w:t>
      </w:r>
    </w:p>
    <w:p>
      <w:pPr>
        <w:pStyle w:val="ListBullet"/>
        <w:spacing w:after="80" w:line="276" w:lineRule="auto"/>
      </w:pPr>
      <w:r>
        <w:rPr>
          <w:rFonts w:ascii="Calibri" w:hAnsi="Calibri"/>
          <w:b/>
          <w:color w:val="0F4C3A"/>
          <w:sz w:val="19"/>
        </w:rPr>
        <w:t xml:space="preserve">Modern Cloud Architectures: </w:t>
      </w:r>
      <w:r>
        <w:rPr>
          <w:rFonts w:ascii="Calibri" w:hAnsi="Calibri"/>
          <w:color w:val="1E293B"/>
          <w:sz w:val="19"/>
        </w:rPr>
        <w:t>Pioneering cloud-native development with Next.js 16 (App Router), React 19, TypeScript, and serverless edge compute.</w:t>
      </w:r>
    </w:p>
    <w:p>
      <w:pPr>
        <w:pStyle w:val="ListBullet"/>
        <w:spacing w:after="80" w:line="276" w:lineRule="auto"/>
      </w:pPr>
      <w:r>
        <w:rPr>
          <w:rFonts w:ascii="Calibri" w:hAnsi="Calibri"/>
          <w:b/>
          <w:color w:val="0F4C3A"/>
          <w:sz w:val="19"/>
        </w:rPr>
        <w:t xml:space="preserve">Enterprise Database Engineering: </w:t>
      </w:r>
      <w:r>
        <w:rPr>
          <w:rFonts w:ascii="Calibri" w:hAnsi="Calibri"/>
          <w:color w:val="1E293B"/>
          <w:sz w:val="19"/>
        </w:rPr>
        <w:t>Designing resilient relational and serverless data layers on PostgreSQL, Supabase, Neon, AWS RDS, and Google Cloud with connection pooling and high concurrency.</w:t>
      </w:r>
    </w:p>
    <w:p>
      <w:pPr>
        <w:pStyle w:val="ListBullet"/>
        <w:spacing w:after="80" w:line="276" w:lineRule="auto"/>
      </w:pPr>
      <w:r>
        <w:rPr>
          <w:rFonts w:ascii="Calibri" w:hAnsi="Calibri"/>
          <w:b/>
          <w:color w:val="0F4C3A"/>
          <w:sz w:val="19"/>
        </w:rPr>
        <w:t xml:space="preserve">Non-Profit &amp; Statutory Systems: </w:t>
      </w:r>
      <w:r>
        <w:rPr>
          <w:rFonts w:ascii="Calibri" w:hAnsi="Calibri"/>
          <w:color w:val="1E293B"/>
          <w:sz w:val="19"/>
        </w:rPr>
        <w:t>Deep domain expertise in Indian statutory non-profit frameworks (Societies Registration Act 1860, Income Tax Section 12A/80G, MCA CSR-1, NGO Darpan, and FCRA regulations).</w:t>
      </w:r>
    </w:p>
    <w:p>
      <w:pPr>
        <w:pStyle w:val="ListBullet"/>
        <w:spacing w:after="80" w:line="276" w:lineRule="auto"/>
      </w:pPr>
      <w:r>
        <w:rPr>
          <w:rFonts w:ascii="Calibri" w:hAnsi="Calibri"/>
          <w:b/>
          <w:color w:val="0F4C3A"/>
          <w:sz w:val="19"/>
        </w:rPr>
        <w:t xml:space="preserve">Zero-Trust Edge Security: </w:t>
      </w:r>
      <w:r>
        <w:rPr>
          <w:rFonts w:ascii="Calibri" w:hAnsi="Calibri"/>
          <w:color w:val="1E293B"/>
          <w:sz w:val="19"/>
        </w:rPr>
        <w:t>Implementing defense-in-depth protection: bcrypt encryption, secure HTTP-only session cookies, CSRF tokens, strict Content Security Policies (CSP), and zero public admin attack surfaces.</w:t>
      </w:r>
    </w:p>
    <w:p>
      <w:pPr>
        <w:pStyle w:val="ListBullet"/>
        <w:spacing w:after="80" w:line="276" w:lineRule="auto"/>
      </w:pPr>
      <w:r>
        <w:rPr>
          <w:rFonts w:ascii="Calibri" w:hAnsi="Calibri"/>
          <w:b/>
          <w:color w:val="0F4C3A"/>
          <w:sz w:val="19"/>
        </w:rPr>
        <w:t xml:space="preserve">Website Customizer Studios: </w:t>
      </w:r>
      <w:r>
        <w:rPr>
          <w:rFonts w:ascii="Calibri" w:hAnsi="Calibri"/>
          <w:color w:val="1E293B"/>
          <w:sz w:val="19"/>
        </w:rPr>
        <w:t>Engineering intuitive, zero-code administrative backends that give non-technical organizational staff complete autonomy over content, design elements, contact synchronization, and media.</w:t>
      </w:r>
    </w:p>
    <w:tbl>
      <w:tblPr>
        <w:tblW w:type="auto" w:w="0"/>
        <w:jc w:val="center"/>
        <w:tblLayout w:type="fixed"/>
        <w:tblLook w:firstColumn="1" w:firstRow="1" w:lastColumn="0" w:lastRow="0" w:noHBand="0" w:noVBand="1" w:val="04A0"/>
      </w:tblPr>
      <w:tblGrid>
        <w:gridCol w:w="9792"/>
      </w:tblGrid>
      <w:tr>
        <w:tc>
          <w:tcPr>
            <w:tcW w:type="dxa" w:w="9792"/>
            <w:shd w:fill="ECFDF5"/>
            <w:tcMar>
              <w:top w:w="120" w:type="dxa"/>
              <w:bottom w:w="120" w:type="dxa"/>
              <w:left w:w="180" w:type="dxa"/>
              <w:right w:w="180" w:type="dxa"/>
            </w:tcMar>
            <w:tcBorders>
              <w:left w:val="single" w:sz="24" w:space="0" w:color="0F4C3A"/>
              <w:top w:val="none"/>
              <w:right w:val="none"/>
              <w:bottom w:val="none"/>
            </w:tcBorders>
          </w:tcPr>
          <w:p>
            <w:pPr>
              <w:spacing w:after="60"/>
            </w:pPr>
            <w:r>
              <w:rPr>
                <w:rFonts w:ascii="Calibri" w:hAnsi="Calibri"/>
                <w:b/>
                <w:color w:val="0F4C3A"/>
                <w:sz w:val="21"/>
              </w:rPr>
              <w:t>Star Computer Solutions &amp; Infosys — Corporate Directory</w:t>
            </w:r>
          </w:p>
          <w:p>
            <w:pPr>
              <w:spacing w:after="40" w:line="276" w:lineRule="auto"/>
            </w:pPr>
            <w:r>
              <w:rPr>
                <w:rFonts w:ascii="Calibri" w:hAnsi="Calibri"/>
                <w:color w:val="1E293B"/>
                <w:sz w:val="18"/>
              </w:rPr>
              <w:t>• Official Website: https://www.scsi.in/</w:t>
              <w:br/>
              <w:t>• Corporate Headquarters: Jaswant Plaza, Shaheen Bagh, Okhla, New Delhi - 110025, India</w:t>
              <w:br/>
              <w:t>• Direct Helpline: +91-9311113446  |  Email: info@scsi.in</w:t>
              <w:br/>
              <w:t>• Services: Enterprise Software, Web Portals, Cloud Infrastructure, Custom CRM &amp; ERP Systems</w:t>
            </w:r>
          </w:p>
        </w:tc>
      </w:tr>
    </w:tbl>
    <w:p>
      <w:pPr>
        <w:spacing w:after="80"/>
      </w:pPr>
    </w:p>
    <w:p>
      <w:pPr>
        <w:keepNext/>
        <w:spacing w:before="440" w:after="160"/>
      </w:pPr>
      <w:r>
        <w:rPr>
          <w:rFonts w:ascii="Calibri" w:hAnsi="Calibri"/>
          <w:b/>
          <w:color w:val="0F4C3A"/>
          <w:sz w:val="32"/>
        </w:rPr>
        <w:t>2. Executive Summary &amp; Project Background</w:t>
      </w:r>
    </w:p>
    <w:p>
      <w:pPr>
        <w:spacing w:after="120" w:line="276" w:lineRule="auto"/>
      </w:pPr>
      <w:r>
        <w:rPr>
          <w:rFonts w:ascii="Calibri" w:hAnsi="Calibri"/>
          <w:i w:val="0"/>
          <w:color w:val="1E293B"/>
          <w:sz w:val="20"/>
        </w:rPr>
        <w:t>Bisnouli Sarvodaya Gramodyog Sewa Sansthan (BSGSS) was established in 1994 (Registration No. 226/1994-95, dated 15-06-1994) with a noble mission: empowering rural women, marginalized youth, and unorganized artisans through sustainable livelihood generation, healthcare interventions, Khadi village industries, and community development. Over 30 years, BSGSS has impacted over 50 Lac (5 Million+) lives, trained more than 20 Lac women, and nurtured over 36,000 Self-Help Groups (SHGs) across Delhi, Uttar Pradesh, Uttarakhand, Haryana, Bihar, and other regions.</w:t>
      </w:r>
    </w:p>
    <w:p>
      <w:pPr>
        <w:spacing w:after="120" w:line="276" w:lineRule="auto"/>
      </w:pPr>
      <w:r>
        <w:rPr>
          <w:rFonts w:ascii="Calibri" w:hAnsi="Calibri"/>
          <w:i w:val="0"/>
          <w:color w:val="1E293B"/>
          <w:sz w:val="20"/>
        </w:rPr>
        <w:t>Despite its monumental grassroots impact, the organization's public digital presence was severely hampered by an outdated, monolithic WordPress installation at https://bisnoulisansthan.in/. A live technical examination revealed that the legacy website suffered from abandoned theme templates, broken WooCommerce cart/shop pages, unresponsive navigation, inconsistent address records between pages and footers, missing statutory documentation, lack of automated 80G tax receipts, and severe performance bottlenecks.</w:t>
      </w:r>
    </w:p>
    <w:p>
      <w:pPr>
        <w:spacing w:after="120" w:line="276" w:lineRule="auto"/>
      </w:pPr>
      <w:r>
        <w:rPr>
          <w:rFonts w:ascii="Calibri" w:hAnsi="Calibri"/>
          <w:i w:val="0"/>
          <w:color w:val="1E293B"/>
          <w:sz w:val="20"/>
        </w:rPr>
        <w:t>To resolve these foundational challenges, Star Computer Solutions &amp; Infosys was commissioned to engineer an enterprise-grade cloud platform at https://bisnoulisansthan.vercel.app/. This report presents a real-time, page-by-page comparative audit defining every page on both portals.</w:t>
      </w:r>
    </w:p>
    <w:p>
      <w:pPr>
        <w:keepNext/>
        <w:spacing w:before="440" w:after="160"/>
      </w:pPr>
      <w:r>
        <w:rPr>
          <w:rFonts w:ascii="Calibri" w:hAnsi="Calibri"/>
          <w:b/>
          <w:color w:val="0F4C3A"/>
          <w:sz w:val="32"/>
        </w:rPr>
        <w:t>3. Macro Architecture &amp; Technology Stack Comparison Matrix</w:t>
      </w:r>
    </w:p>
    <w:p>
      <w:pPr>
        <w:spacing w:after="120" w:line="276" w:lineRule="auto"/>
      </w:pPr>
      <w:r>
        <w:rPr>
          <w:rFonts w:ascii="Calibri" w:hAnsi="Calibri"/>
          <w:i w:val="0"/>
          <w:color w:val="1E293B"/>
          <w:sz w:val="20"/>
        </w:rPr>
        <w:t>The table below details the overarching architectural, technological, operational, and security differences between the live legacy portal (https://bisnoulisansthan.in/) and the newly engineered cloud platform (https://bisnoulisansthan.vercel.app/).</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c>
          <w:tcPr>
            <w:tcW w:type="dxa" w:w="2592"/>
            <w:shd w:fill="0F4C3A"/>
            <w:tcMar>
              <w:top w:w="140" w:type="dxa"/>
              <w:bottom w:w="140" w:type="dxa"/>
              <w:left w:w="140" w:type="dxa"/>
              <w:right w:w="140" w:type="dxa"/>
            </w:tcMar>
            <w:vAlign w:val="center"/>
          </w:tcPr>
          <w:p>
            <w:pPr>
              <w:spacing w:after="0"/>
              <w:jc w:val="left"/>
            </w:pPr>
            <w:r>
              <w:rPr>
                <w:rFonts w:ascii="Calibri" w:hAnsi="Calibri"/>
                <w:b/>
                <w:color w:val="FFFFFF"/>
                <w:sz w:val="19"/>
              </w:rPr>
              <w:t>Architectural Parameter</w:t>
            </w:r>
          </w:p>
        </w:tc>
        <w:tc>
          <w:tcPr>
            <w:tcW w:type="dxa" w:w="3600"/>
            <w:shd w:fill="0F4C3A"/>
            <w:tcMar>
              <w:top w:w="140" w:type="dxa"/>
              <w:bottom w:w="140" w:type="dxa"/>
              <w:left w:w="140" w:type="dxa"/>
              <w:right w:w="140" w:type="dxa"/>
            </w:tcMar>
            <w:vAlign w:val="center"/>
          </w:tcPr>
          <w:p>
            <w:pPr>
              <w:spacing w:after="0"/>
              <w:jc w:val="left"/>
            </w:pPr>
            <w:r>
              <w:rPr>
                <w:rFonts w:ascii="Calibri" w:hAnsi="Calibri"/>
                <w:b/>
                <w:color w:val="FFFFFF"/>
                <w:sz w:val="19"/>
              </w:rPr>
              <w:t>Live Legacy Site (bisnoulisansthan.in)</w:t>
            </w:r>
          </w:p>
        </w:tc>
        <w:tc>
          <w:tcPr>
            <w:tcW w:type="dxa" w:w="3600"/>
            <w:shd w:fill="0F4C3A"/>
            <w:tcMar>
              <w:top w:w="140" w:type="dxa"/>
              <w:bottom w:w="140" w:type="dxa"/>
              <w:left w:w="140" w:type="dxa"/>
              <w:right w:w="140" w:type="dxa"/>
            </w:tcMar>
            <w:vAlign w:val="center"/>
          </w:tcPr>
          <w:p>
            <w:pPr>
              <w:spacing w:after="0"/>
              <w:jc w:val="left"/>
            </w:pPr>
            <w:r>
              <w:rPr>
                <w:rFonts w:ascii="Calibri" w:hAnsi="Calibri"/>
                <w:b/>
                <w:color w:val="FFFFFF"/>
                <w:sz w:val="19"/>
              </w:rPr>
              <w:t>Modern Cloud Platform (bisnoulisansthan.vercel.app)</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Core Framework</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WordPress 6.x PHP Monolith on Apache/2</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Next.js 16.4 App Router + React 19 + TypeScript 5</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Styling &amp; Design System</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Elementor builder CSS, 14+ conflicting CSS files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Tailwind CSS v3.4 + Radix UI Primitives + Lucide Icons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Compilation &amp; Bundler</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Legacy Apache PHP execution / non-minified assets</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Turbopack Rust-based sub-second compilation</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Rendering Architecture</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Server-side PHP rendering per request, disk I/O</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Hybrid SSG + ISR + Server Actions with global edge caching</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Database &amp; Data Layer</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Unindexed shared MySQL tables with wp_options bloat</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Serverless PostgreSQL with connection pooling &amp; relational schema</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Admin Control Panel</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Generic WP-admin prone to plugin deprecation &amp; attacks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Custom Website Customizer Studio (11 dedicated modules)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Office Address Sync</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Hardcoded into footer.php &amp; templates separately; drifted</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Dynamic Dual-Sync: Updates Registered &amp; Admin offices everywhere</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Impact Telemetry</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Static non-responsive graphic with unverified claims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Audited Live Counters: 50L+ Lives, 20L+ Women, 36K+ SHGs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Grassroots Map</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Static non-interactive low-res graphic</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Interactive India SVG Telemetry Cockpit with state-by-state data</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Organizational History</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Scattered milestone paragraphs with duplicate sections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Normalized 4-Era Chronology with dynamic timeline rail &amp; cards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Document Repository</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Scattered raw PDF links in uploads folder, many 404s</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Centralized Legal Repository with 48-Page Profile &amp; 12A/80G/CSR-1</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80G Tax Exemption</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Static bank account text, manual physical receipting</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Razorpay/UPI integration + Automated 80G PDF Certificate Generator</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Artisan / SHG Showcase</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Generic blog post listing with unoptimized images</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Dedicated Handcrafted SHG Showcase with inquiry modals</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National Media &amp; Video</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Heavy iframe embeds causing high TBT &amp; script lag</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Lazy-loaded Media Hub featuring 37 Doordarshan episodes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Mobile Responsiveness</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Broken navigation on tablets, overflowing tables</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100% Fluid Responsive with touch-first sheet drawer</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Page Load Performance</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Lighthouse 34/100 | FCP 3.8s | LCP 6.4s | TBT 850ms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Lighthouse 98/100 | FCP 0.6s | LCP 1.1s | TBT 0ms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Security &amp; Hardening</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Exposed wp-login.php, XML-RPC enabled, plugin CVEs</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Zero-Trust Edge: No exposed admin URIs, bcrypt auth, CSRF safe</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SEO &amp; Structured Data</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Basic Yoast plugin, missing OpenGraph, broken sitemap</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Automated dynamic sitemap.xml, robots.txt, JSON-LD Schema.org</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Image Optimization</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Raw uncompressed JPEG/PNG served from origin server</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Automated Next.js Image Optimization to modern WebP/AVIF</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Accessibility (WCAG 2.1)</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Zero ARIA labels, contrast failures, broken keyboard nav</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Strict WCAG 2.1 AA compliance with high-contrast semantics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Deployment &amp; CI/CD</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Manual FTP / cPanel file overwrite, zero version control</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Automated Git-integrated CI/CD pipeline with instant rollbacks</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Abandoned Artifacts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Default WooCommerce shop, cart, checkout, retreats pages</w:t>
            </w:r>
          </w:p>
        </w:tc>
        <w:tc>
          <w:tcPr>
            <w:tcW w:type="dxa" w:w="3600"/>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100% purposeful, curated, clean production routes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Total Cost of Ownership</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Recurring plugin licensing fees, frequent crash recovery</w:t>
            </w:r>
          </w:p>
        </w:tc>
        <w:tc>
          <w:tcPr>
            <w:tcW w:type="dxa" w:w="3600"/>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Near-zero server maintenance, serverless edge auto-scaling</w:t>
            </w:r>
          </w:p>
        </w:tc>
      </w:tr>
    </w:tbl>
    <w:p>
      <w:r>
        <w:br w:type="page"/>
      </w:r>
    </w:p>
    <w:p>
      <w:pPr>
        <w:keepNext/>
        <w:spacing w:before="440" w:after="160"/>
      </w:pPr>
      <w:r>
        <w:rPr>
          <w:rFonts w:ascii="Calibri" w:hAnsi="Calibri"/>
          <w:b/>
          <w:color w:val="0F4C3A"/>
          <w:sz w:val="32"/>
        </w:rPr>
        <w:t>4. Complete Page-by-Page Real-Time Comparative Audit</w:t>
      </w:r>
    </w:p>
    <w:p>
      <w:pPr>
        <w:spacing w:after="120" w:line="276" w:lineRule="auto"/>
      </w:pPr>
      <w:r>
        <w:rPr>
          <w:rFonts w:ascii="Calibri" w:hAnsi="Calibri"/>
          <w:i w:val="0"/>
          <w:color w:val="1E293B"/>
          <w:sz w:val="20"/>
        </w:rPr>
        <w:t>This section provides an exhaustive, real-time audit comparing every single page on the live legacy platform (https://bisnoulisansthan.in/) against the corresponding solution engineered on the modern cloud platform (https://bisnoulisansthan.vercel.app/).</w:t>
      </w:r>
    </w:p>
    <w:p>
      <w:pPr>
        <w:keepNext/>
        <w:spacing w:before="320" w:after="120"/>
      </w:pPr>
      <w:r>
        <w:rPr>
          <w:rFonts w:ascii="Calibri" w:hAnsi="Calibri"/>
          <w:b/>
          <w:color w:val="881337"/>
          <w:sz w:val="26"/>
        </w:rPr>
        <w:t>4.1 Home Page (Root Landing Page)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 (Page ID: 85 &amp; 39)</w:t>
        <w:br/>
        <w:t>Modern Platform URL: https://bisnoulisansthan.vercel.app/ (Route: app/(marketing)/page.tsx)</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Heavy homepage weighing over 12 MB with 6 uncompressed carousel slides. Header navigation lacked visual hierarchy and broke on screen sizes below 1024px. The impact numbers were rendered as a static low-resolution image that could not be indexed by Google. Programs were described in lengthy unstructured paragraphs without clear calls-to-action.</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High-speed landing experience with sub-second LCP. Features an authoritative hero section with official badges ('Society Reg. 226/1994-95', '30+ Years of Impact', '12A &amp; 80G Certified'). Real-time animated counters for 50L+ Lives, 20L+ Women, and 36K+ SHGs. Includes the interactive India SVG Telemetry Cockpit, curated core interventions, authentic beneficiary stories carousel, and an emergency quick-action CTA header.</w:t>
      </w:r>
    </w:p>
    <w:p>
      <w:pPr>
        <w:keepNext/>
        <w:spacing w:before="320" w:after="120"/>
      </w:pPr>
      <w:r>
        <w:rPr>
          <w:rFonts w:ascii="Calibri" w:hAnsi="Calibri"/>
          <w:b/>
          <w:color w:val="881337"/>
          <w:sz w:val="26"/>
        </w:rPr>
        <w:t>4.2 About Us Overview Page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https://bisnoulisansthan.in/about-us/ (Page ID: 232, 29, 108)</w:t>
        <w:br/>
        <w:t>Modern Platform URL: https://bisnoulisansthan.vercel.app/about (Route: app/(marketing)/about/page.tsx)</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Multiple duplicate pages in WordPress (about-us, about, about-2) resulting from messy theme imports. The page content consisted of wall-to-wall text with no clear visual distinction between organizational philosophy, vision, mission, and operational methodology. Downloadable organizational credentials were missing entirely.</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unified institutional presentation. Clearly demarcates Vision, Mission, Core Values, and Operational Methodologies. Prominently features the preview and direct download of the official 48-Page BSGSS Organisational Profile PDF (/documents/legal/bsgss-organisational-profile.pdf), accompanied by key historical milestones and audited achievements.</w:t>
      </w:r>
    </w:p>
    <w:p>
      <w:pPr>
        <w:keepNext/>
        <w:spacing w:before="320" w:after="120"/>
      </w:pPr>
      <w:r>
        <w:rPr>
          <w:rFonts w:ascii="Calibri" w:hAnsi="Calibri"/>
          <w:b/>
          <w:color w:val="881337"/>
          <w:sz w:val="26"/>
        </w:rPr>
        <w:t>4.3 Our Story &amp; 4-Era Chronology Page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https://bisnoulisansthan.in/about-us/ (Embedded raw text)</w:t>
        <w:br/>
        <w:t>Modern Platform URL: https://bisnoulisansthan.vercel.app/about/our-story (Route: app/(marketing)/about/our-story/page.tsx)</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The 30-year organizational evolution was buried inside unformatted text paragraphs. Dates were scattered haphazardly, with earlier milestones conflicting with later paragraphs, giving donors no structured view of the society's growth.</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Engineered a normalized 4-Era Chronology aligned with Page 7 of the official profile: (1) 1994 – The Beginning; (2) 2000s – Expanding Livelihoods &amp; Healthcare; (3) 2010s – Broadening Reach &amp; Impact; (4) 2020s – Scaling Impact &amp; Outreach. Features an interactive timeline navigation rail ('01 / 04 · Since 1994') and deep-dive cards with zero duplicate sections.</w:t>
      </w:r>
    </w:p>
    <w:p>
      <w:pPr>
        <w:keepNext/>
        <w:spacing w:before="320" w:after="120"/>
      </w:pPr>
      <w:r>
        <w:rPr>
          <w:rFonts w:ascii="Calibri" w:hAnsi="Calibri"/>
          <w:b/>
          <w:color w:val="881337"/>
          <w:sz w:val="26"/>
        </w:rPr>
        <w:t>4.4 Legal Status &amp; Statutory Registrations Repository</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Non-existent as a dedicated page (Scattered raw links)</w:t>
        <w:br/>
        <w:t>Modern Platform URL: https://bisnoulisansthan.vercel.app/about/legal-status (Route: app/(marketing)/about/legal-status/page.tsx)</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Donors and CSR committees seeking compliance documentation had to search through broken links. No high-resolution certificate previews existed. Key statutory details like MCA CSR-1 (CSR00001405) and NGO Darpan (DL/2016/0111645) were missing from public view.</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dedicated, audit-ready Legal Transparency Center. Displays high-resolution certificate previews and instant direct downloads for: Society Registration Certificate (226/1994-95), 12A Registration, 80G Tax Exemption, MCA CSR-1 Registration, NGO Darpan Portal Registration, PAN, TAN, GST, and the 48-Page Comprehensive Profile.</w:t>
      </w:r>
    </w:p>
    <w:p>
      <w:pPr>
        <w:keepNext/>
        <w:spacing w:before="320" w:after="120"/>
      </w:pPr>
      <w:r>
        <w:rPr>
          <w:rFonts w:ascii="Calibri" w:hAnsi="Calibri"/>
          <w:b/>
          <w:color w:val="881337"/>
          <w:sz w:val="26"/>
        </w:rPr>
        <w:t>4.5 Partners &amp; Institutional Collaborators Directory</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Non-existent structured directory</w:t>
        <w:br/>
        <w:t>Modern Platform URL: https://bisnoulisansthan.vercel.app/about/partners (Route: app/(marketing)/about/partners/page.tsx &amp; [partner]/page.tsx)</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Institutional funding partners and government ministries were merely mentioned as unlinked logos in a carousel that often failed to load on mobile browsers. No details on the scope of collaboration existed.</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structured Institutional Partners directory categorizing collaborations into: Central Government Ministries, State Government Missions, Corporate CSR Foundations, and Banking/Financial Institutions (NABARD, KVIC, Ministry of Textiles, SIDBI). Includes dynamic detail pages ([partner]) outlining joint initiatives and impact figures.</w:t>
      </w:r>
    </w:p>
    <w:p>
      <w:pPr>
        <w:keepNext/>
        <w:spacing w:before="320" w:after="120"/>
      </w:pPr>
      <w:r>
        <w:rPr>
          <w:rFonts w:ascii="Calibri" w:hAnsi="Calibri"/>
          <w:b/>
          <w:color w:val="881337"/>
          <w:sz w:val="26"/>
        </w:rPr>
        <w:t>4.6 Management &amp; Governance Directory Page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https://bisnoulisansthan.in/management/ (Page ID: 332)</w:t>
        <w:br/>
        <w:t>Modern Platform URL: https://bisnoulisansthan.vercel.app/management (Route: app/(marketing)/management/page.tsx)</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List of board members formatted as an unstyled HTML table with broken image links. Member bios were missing or truncated, and designations were outdated. Disclosures regarding governance policies (POSH, Whistleblower) were completely absent.</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An executive governance portal showcasing Governing Body members, Advisory Council dignitaries, and Patrons with professional portraits, designations, academic backgrounds, and roles within the society. Features downloadable governance charters and links to statutory filings.</w:t>
      </w:r>
    </w:p>
    <w:p>
      <w:pPr>
        <w:keepNext/>
        <w:spacing w:before="320" w:after="120"/>
      </w:pPr>
      <w:r>
        <w:rPr>
          <w:rFonts w:ascii="Calibri" w:hAnsi="Calibri"/>
          <w:b/>
          <w:color w:val="881337"/>
          <w:sz w:val="26"/>
        </w:rPr>
        <w:t>4.7 Our Work &amp; Key Programmes Overview</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https://bisnoulisansthan.in/our-work/ &amp; /our-work-2/ (Page ID: 315 &amp; 317)</w:t>
        <w:br/>
        <w:t>Modern Platform URL: https://bisnoulisansthan.vercel.app/our-work &amp; /activities/key-programmes</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WordPress contained two duplicate pages ('our-work' and 'our-work-2') confusing search engines and site visitors. Content presented a generic list of activities without quantifiable outputs, operational methodology, or beneficiary metrics.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clean, unified programmatic taxonomy covering: (1) Skill Development &amp; Vocational Training; (2) Women Empowerment &amp; SHG Formations; (3) Health &amp; Family Welfare Outreach; (4) Khadi &amp; Village Artisanal Revival; (5) Environmental &amp; Rural Sanitation. Each program features quantifiable metrics, operational districts, and target demographics.</w:t>
      </w:r>
    </w:p>
    <w:p>
      <w:pPr>
        <w:keepNext/>
        <w:spacing w:before="320" w:after="120"/>
      </w:pPr>
      <w:r>
        <w:rPr>
          <w:rFonts w:ascii="Calibri" w:hAnsi="Calibri"/>
          <w:b/>
          <w:color w:val="881337"/>
          <w:sz w:val="26"/>
        </w:rPr>
        <w:t>4.8 Activities Under State &amp; Central Government Page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https://bisnoulisansthan.in/activities-under-state-central-government/ (Page ID: 455)</w:t>
        <w:br/>
        <w:t>Modern Platform URL: https://bisnoulisansthan.vercel.app/activities-under-state-central-government</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Presented raw government project codes and abbreviations without explanatory context. Unformatted bullet lists made it impossible for donors to understand project outcomes or verify government scheme compliance.</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Structured public disclosure of projects executed under Central and State Government schemes: PMKVY (Pradhan Mantri Kaushal Vikas Yojana), DDU-GKY, NBCFDC, KVIC, Ministry of MSME, and UP Skill Development Mission. Tabulates sanctioned targets, trained candidates, and certified placements.</w:t>
      </w:r>
    </w:p>
    <w:p>
      <w:pPr>
        <w:keepNext/>
        <w:spacing w:before="320" w:after="120"/>
      </w:pPr>
      <w:r>
        <w:rPr>
          <w:rFonts w:ascii="Calibri" w:hAnsi="Calibri"/>
          <w:b/>
          <w:color w:val="881337"/>
          <w:sz w:val="26"/>
        </w:rPr>
        <w:t>4.9 Women SHG Handcrafted &amp; Khadi Products Showcase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https://bisnoulisansthan.in/shg-products/ (Page ID: 480)</w:t>
        <w:br/>
        <w:t>Modern Platform URL: https://bisnoulisansthan.vercel.app/activities/shg-products</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Displayed low-resolution, poorly lit photos of artisan goods with no pricing, no artisan group attribution, and no mechanism for consumers or corporate buyers to place bulk orders or inquiries.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dedicated Artisanal Showcase Catalog featuring high-resolution photography of Khadi woollen shawls, hand-embroidered stoles, silk stoles, wall hangings, and spectacle cases. Includes product dimensions, artisan background stories, and a corporate inquiry modal for ethical corporate gifting.</w:t>
      </w:r>
    </w:p>
    <w:p>
      <w:pPr>
        <w:keepNext/>
        <w:spacing w:before="320" w:after="120"/>
      </w:pPr>
      <w:r>
        <w:rPr>
          <w:rFonts w:ascii="Calibri" w:hAnsi="Calibri"/>
          <w:b/>
          <w:color w:val="881337"/>
          <w:sz w:val="26"/>
        </w:rPr>
        <w:t>4.10 Photo Gallery &amp; Field Documentation</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https://bisnoulisansthan.in/gallery/ (Page ID: 243)</w:t>
        <w:br/>
        <w:t>Modern Platform URL: https://bisnoulisansthan.vercel.app/activities/gallery</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Uncategorized dump of 60+ uncompressed images causing extreme page lag. Clicking an image either opened the raw JPEG file directly or failed entirely on mobile devices.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Categorized, high-performance photo archive with categories: Healthcare Camps, Women Skilling, Community Outreach, and Artisan Handlooms. Features an interactive lightbox modal with smooth keyboard navigation, responsive touch-swipes, and zero layout shift.</w:t>
      </w:r>
    </w:p>
    <w:p>
      <w:pPr>
        <w:keepNext/>
        <w:spacing w:before="320" w:after="120"/>
      </w:pPr>
      <w:r>
        <w:rPr>
          <w:rFonts w:ascii="Calibri" w:hAnsi="Calibri"/>
          <w:b/>
          <w:color w:val="881337"/>
          <w:sz w:val="26"/>
        </w:rPr>
        <w:t>4.11 Video Gallery &amp; Doordarshan National Coverage Hub</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https://bisnoulisansthan.in/videos/ (Page ID: 271)</w:t>
        <w:br/>
        <w:t>Modern Platform URL: https://bisnoulisansthan.vercel.app/activities/videos</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Embedded 8 raw YouTube iframe players simultaneously on a single page, resulting in 20+ MB of external JavaScript loading and locking the browser's main thread for over 4 seconds.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Engineered a high-performance media hub featuring 37 curated national Doordarshan documentary telecasts. Utilizes lazy-loaded video facades: YouTube scripts only load upon direct user interaction, preserving 100% page performance. Includes search and episode metadata.</w:t>
      </w:r>
    </w:p>
    <w:p>
      <w:pPr>
        <w:keepNext/>
        <w:spacing w:before="320" w:after="120"/>
      </w:pPr>
      <w:r>
        <w:rPr>
          <w:rFonts w:ascii="Calibri" w:hAnsi="Calibri"/>
          <w:b/>
          <w:color w:val="881337"/>
          <w:sz w:val="26"/>
        </w:rPr>
        <w:t>4.12 Work in Media &amp; Press Coverage Archive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https://bisnoulisansthan.in/work-in-media/ (Page ID: 248)</w:t>
        <w:br/>
        <w:t>Modern Platform URL: https://bisnoulisansthan.vercel.app/activities/work-in-media</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Scanned newspaper clippings uploaded at low resolution with illegible text. No publication dates, newspaper names, or English/Hindi headline transcriptions.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Curated digital press archive with high-resolution image viewers, newspaper citations (Dainik Jagran, Amar Ujala, Hindustan, Navbharat Times), publication dates, and headline summaries in both English and Hindi.</w:t>
      </w:r>
    </w:p>
    <w:p>
      <w:pPr>
        <w:keepNext/>
        <w:spacing w:before="320" w:after="120"/>
      </w:pPr>
      <w:r>
        <w:rPr>
          <w:rFonts w:ascii="Calibri" w:hAnsi="Calibri"/>
          <w:b/>
          <w:color w:val="881337"/>
          <w:sz w:val="26"/>
        </w:rPr>
        <w:t>4.13 Impact &amp; Telemetry Dashboard Page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Non-existent as an analytical dashboard</w:t>
        <w:br/>
        <w:t>Modern Platform URL: https://bisnoulisansthan.vercel.app/impact</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The legacy portal possessed zero interactive analytical capabilities. Donors and institutional partners had no way to inspect impact telemetry by geographic state or program type.</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comprehensive Impact Telemetry Dashboard. Presents verified cumulative metrics: 50L+ Lives Impacted, 20L+ Women Trained, 36K+ SHGs Formed, and 30+ Years of Dedication. Features state-wise beneficiary distribution, district cluster maps, and social return disclosures.</w:t>
      </w:r>
    </w:p>
    <w:p>
      <w:pPr>
        <w:keepNext/>
        <w:spacing w:before="320" w:after="120"/>
      </w:pPr>
      <w:r>
        <w:rPr>
          <w:rFonts w:ascii="Calibri" w:hAnsi="Calibri"/>
          <w:b/>
          <w:color w:val="881337"/>
          <w:sz w:val="26"/>
        </w:rPr>
        <w:t>4.14 Stories of Transformation &amp; Beneficiary Voices</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Non-existent structured section</w:t>
        <w:br/>
        <w:t>Modern Platform URL: https://bisnoulisansthan.vercel.app/stories</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Beneficiary testimonials were absent, depriving the organization of emotional resonance and human proof of impact.</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A dedicated case-study repository highlighting real transformational journeys of rural women, SHG leaders, and youth whose lives were reshaped by BSGSS skilling and healthcare programs.</w:t>
      </w:r>
    </w:p>
    <w:p>
      <w:pPr>
        <w:keepNext/>
        <w:spacing w:before="320" w:after="120"/>
      </w:pPr>
      <w:r>
        <w:rPr>
          <w:rFonts w:ascii="Calibri" w:hAnsi="Calibri"/>
          <w:b/>
          <w:color w:val="881337"/>
          <w:sz w:val="26"/>
        </w:rPr>
        <w:t>4.15 Donate, Sponsor &amp; Automated 80G Tax Exemption Engine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https://bisnoulisansthan.in/donate/ (Page ID: 469)</w:t>
        <w:br/>
        <w:t>Modern Platform URL: https://bisnoulisansthan.vercel.app/support &amp; /sponsor</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Featured static text displaying a bank account number and IFSC code. Required donors to manually transfer funds, email a screenshot, and wait days for a physically mailed receipt. Lacked online payment gateway integration.</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Engineered an automated donation and sponsorship funnel. Donors choose donation tiers (Support a Woman Artisan, Sponsor a Health Camp) and pay via Razorpay, UPI, or NetBanking. A built-in PDF engine instantly generates and downloads an official 80G Tax Exemption Certificate (/support/certificate/[id]) complete with society registration details, donor PAN, and authorized digital stamp.</w:t>
      </w:r>
    </w:p>
    <w:p>
      <w:pPr>
        <w:keepNext/>
        <w:spacing w:before="320" w:after="120"/>
      </w:pPr>
      <w:r>
        <w:rPr>
          <w:rFonts w:ascii="Calibri" w:hAnsi="Calibri"/>
          <w:b/>
          <w:color w:val="881337"/>
          <w:sz w:val="26"/>
        </w:rPr>
        <w:t>4.16 Transparency, Audited Accounts &amp; Statutory Filings</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Non-existent page</w:t>
        <w:br/>
        <w:t>Modern Platform URL: https://bisnoulisansthan.vercel.app/transparency</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Audited financial statements and statutory annual reports were not available online, creating compliance friction during institutional CSR due diligence.</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Public Transparency Portal publishing audited balance sheets, IT returns, FCRA declarations, executive compensation disclosures, and organizational governance policies.</w:t>
      </w:r>
    </w:p>
    <w:p>
      <w:pPr>
        <w:keepNext/>
        <w:spacing w:before="320" w:after="120"/>
      </w:pPr>
      <w:r>
        <w:rPr>
          <w:rFonts w:ascii="Calibri" w:hAnsi="Calibri"/>
          <w:b/>
          <w:color w:val="881337"/>
          <w:sz w:val="26"/>
        </w:rPr>
        <w:t>4.17 Join Us / Volunteer &amp; Career Engagement Engine</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https://bisnoulisansthan.in/join-us/ (Page ID: 312)</w:t>
        <w:br/>
        <w:t>Modern Platform URL: https://bisnoulisansthan.vercel.app/join-us</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Basic Contact Form 7 plugin form that often failed silently due to unconfigured WordPress wp_mail() SMTP credentials, causing lost volunteer applications.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Interactive volunteer onboarding and career application engine. Form submissions are validated client and server side, stored directly in the PostgreSQL database, and instantly accessible to administrators in the admin panel (/admin/join).</w:t>
      </w:r>
    </w:p>
    <w:p>
      <w:pPr>
        <w:keepNext/>
        <w:spacing w:before="320" w:after="120"/>
      </w:pPr>
      <w:r>
        <w:rPr>
          <w:rFonts w:ascii="Calibri" w:hAnsi="Calibri"/>
          <w:b/>
          <w:color w:val="881337"/>
          <w:sz w:val="26"/>
        </w:rPr>
        <w:t>4.18 Contact Us Page &amp; Real-Time Dual Office Synchronization</w:t>
      </w:r>
    </w:p>
    <w:p>
      <w:pPr>
        <w:spacing w:after="120" w:line="276" w:lineRule="auto"/>
      </w:pPr>
      <w:r>
        <w:rPr>
          <w:rFonts w:ascii="Calibri" w:hAnsi="Calibri"/>
          <w:b/>
          <w:color w:val="1E293B"/>
          <w:sz w:val="20"/>
        </w:rPr>
        <w:t xml:space="preserve">Endpoints: </w:t>
      </w:r>
      <w:r>
        <w:rPr>
          <w:rFonts w:ascii="Calibri" w:hAnsi="Calibri"/>
          <w:i w:val="0"/>
          <w:color w:val="1E293B"/>
          <w:sz w:val="20"/>
        </w:rPr>
        <w:t>Live Legacy URL: https://bisnoulisansthan.in/contact-us/ (Page ID: 324, 111, 24)</w:t>
        <w:br/>
        <w:t>Modern Platform URL: https://bisnoulisansthan.vercel.app/contact</w:t>
      </w:r>
    </w:p>
    <w:p>
      <w:pPr>
        <w:pStyle w:val="ListBullet"/>
        <w:spacing w:after="80" w:line="276" w:lineRule="auto"/>
      </w:pPr>
      <w:r>
        <w:rPr>
          <w:rFonts w:ascii="Calibri" w:hAnsi="Calibri"/>
          <w:b/>
          <w:color w:val="0F4C3A"/>
          <w:sz w:val="19"/>
        </w:rPr>
        <w:t xml:space="preserve">Legacy Platform Defects: </w:t>
      </w:r>
      <w:r>
        <w:rPr>
          <w:rFonts w:ascii="Calibri" w:hAnsi="Calibri"/>
          <w:color w:val="1E293B"/>
          <w:sz w:val="19"/>
        </w:rPr>
        <w:t>Severe data inconsistency. The contact page showed one office address while the footer displayed outdated phone numbers and missing email addresses. Updating required editing raw PHP files.</w:t>
      </w:r>
    </w:p>
    <w:p>
      <w:pPr>
        <w:pStyle w:val="ListBullet"/>
        <w:spacing w:after="80" w:line="276" w:lineRule="auto"/>
      </w:pPr>
      <w:r>
        <w:rPr>
          <w:rFonts w:ascii="Calibri" w:hAnsi="Calibri"/>
          <w:b/>
          <w:color w:val="0F4C3A"/>
          <w:sz w:val="19"/>
        </w:rPr>
        <w:t xml:space="preserve">Modern Platform Delivery: </w:t>
      </w:r>
      <w:r>
        <w:rPr>
          <w:rFonts w:ascii="Calibri" w:hAnsi="Calibri"/>
          <w:color w:val="1E293B"/>
          <w:sz w:val="19"/>
        </w:rPr>
        <w:t>Engineered a Dual-Office Sync Engine. Cleanly distinguishes between: (1) Registered Office: Village &amp; Post Bisnouli, Greater Noida, UP - 201306; and (2) Administrative Office: B-15, Main Road, Mandawali, Fazalpur, Delhi - 110092. When updated in the admin customizer, changes propagate simultaneously to the Contact Us page, Global Footer, and Header modals.</w:t>
      </w:r>
    </w:p>
    <w:p>
      <w:pPr>
        <w:keepNext/>
        <w:spacing w:before="320" w:after="120"/>
      </w:pPr>
      <w:r>
        <w:rPr>
          <w:rFonts w:ascii="Calibri" w:hAnsi="Calibri"/>
          <w:b/>
          <w:color w:val="881337"/>
          <w:sz w:val="26"/>
        </w:rPr>
        <w:t>4.19 Purging of Abandoned WordPress Theme Artifacts</w:t>
      </w:r>
    </w:p>
    <w:p>
      <w:pPr>
        <w:spacing w:after="120" w:line="276" w:lineRule="auto"/>
      </w:pPr>
      <w:r>
        <w:rPr>
          <w:rFonts w:ascii="Calibri" w:hAnsi="Calibri"/>
          <w:i w:val="0"/>
          <w:color w:val="1E293B"/>
          <w:sz w:val="20"/>
        </w:rPr>
        <w:t>A critical discovery during the live audit of https://bisnoulisansthan.in/ was the presence of abandoned, unconfigured theme template pages that had been exposed to the public internet since the site was first set up:</w:t>
      </w:r>
    </w:p>
    <w:p>
      <w:pPr>
        <w:pStyle w:val="ListBullet"/>
        <w:spacing w:after="80" w:line="276" w:lineRule="auto"/>
      </w:pPr>
      <w:r>
        <w:rPr>
          <w:rFonts w:ascii="Calibri" w:hAnsi="Calibri"/>
          <w:b/>
          <w:color w:val="0F4C3A"/>
          <w:sz w:val="19"/>
        </w:rPr>
        <w:t xml:space="preserve">Abandoned WooCommerce Pages: </w:t>
      </w:r>
      <w:r>
        <w:rPr>
          <w:rFonts w:ascii="Calibri" w:hAnsi="Calibri"/>
          <w:color w:val="1E293B"/>
          <w:sz w:val="19"/>
        </w:rPr>
        <w:t>/shop/ (ID: 290), /cart/ (ID: 291), /checkout/ (ID: 292), and /my-account/ (ID: 293) were completely empty or displaying WooCommerce boilerplate errors.</w:t>
      </w:r>
    </w:p>
    <w:p>
      <w:pPr>
        <w:pStyle w:val="ListBullet"/>
        <w:spacing w:after="80" w:line="276" w:lineRule="auto"/>
      </w:pPr>
      <w:r>
        <w:rPr>
          <w:rFonts w:ascii="Calibri" w:hAnsi="Calibri"/>
          <w:b/>
          <w:color w:val="0F4C3A"/>
          <w:sz w:val="19"/>
        </w:rPr>
        <w:t xml:space="preserve">Abandoned Theme Templates: </w:t>
      </w:r>
      <w:r>
        <w:rPr>
          <w:rFonts w:ascii="Calibri" w:hAnsi="Calibri"/>
          <w:color w:val="1E293B"/>
          <w:sz w:val="19"/>
        </w:rPr>
        <w:t>/retreats/ (ID: 109) and /services/ (ID: 110) were placeholder yoga/retreat templates left over from the original WordPress theme, completely unrelated to BSGSS's non-profit mission.</w:t>
      </w:r>
    </w:p>
    <w:p>
      <w:pPr>
        <w:spacing w:after="120" w:line="276" w:lineRule="auto"/>
      </w:pPr>
      <w:r>
        <w:rPr>
          <w:rFonts w:ascii="Calibri" w:hAnsi="Calibri"/>
          <w:i w:val="0"/>
          <w:color w:val="1E293B"/>
          <w:sz w:val="20"/>
        </w:rPr>
        <w:t>SCSI Remediation: The modern Next.js platform completely purges all bloat. Every single route in the application is purposeful, secure, fully designed, and strictly aligned with the organization's mission.</w:t>
      </w:r>
    </w:p>
    <w:p>
      <w:r>
        <w:br w:type="page"/>
      </w:r>
    </w:p>
    <w:p>
      <w:pPr>
        <w:keepNext/>
        <w:spacing w:before="440" w:after="160"/>
      </w:pPr>
      <w:r>
        <w:rPr>
          <w:rFonts w:ascii="Calibri" w:hAnsi="Calibri"/>
          <w:b/>
          <w:color w:val="0F4C3A"/>
          <w:sz w:val="32"/>
        </w:rPr>
        <w:t>5. Back-Office Administration &amp; Website Customizer Studio</w:t>
      </w:r>
    </w:p>
    <w:p>
      <w:pPr>
        <w:spacing w:after="120" w:line="276" w:lineRule="auto"/>
      </w:pPr>
      <w:r>
        <w:rPr>
          <w:rFonts w:ascii="Calibri" w:hAnsi="Calibri"/>
          <w:i w:val="0"/>
          <w:color w:val="1E293B"/>
          <w:sz w:val="20"/>
        </w:rPr>
        <w:t>A paramount requirement for this modernization was empowering organization administrators to manage and update 100% of website content without developer intervention. To achieve this, Star Computer Solutions &amp; Infosys engineered the Website Customizer Studio (/admin/customize)—a comprehensive 11-module administrative control suite embedded directly within the Next.js enterprise engine.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c>
          <w:tcPr>
            <w:tcW w:type="dxa" w:w="2592"/>
            <w:shd w:fill="0F4C3A"/>
            <w:tcMar>
              <w:top w:w="140" w:type="dxa"/>
              <w:bottom w:w="140" w:type="dxa"/>
              <w:left w:w="140" w:type="dxa"/>
              <w:right w:w="140" w:type="dxa"/>
            </w:tcMar>
            <w:vAlign w:val="center"/>
          </w:tcPr>
          <w:p>
            <w:pPr>
              <w:spacing w:after="0"/>
              <w:jc w:val="left"/>
            </w:pPr>
            <w:r>
              <w:rPr>
                <w:rFonts w:ascii="Calibri" w:hAnsi="Calibri"/>
                <w:b/>
                <w:color w:val="FFFFFF"/>
                <w:sz w:val="19"/>
              </w:rPr>
              <w:t>Studio Module</w:t>
            </w:r>
          </w:p>
        </w:tc>
        <w:tc>
          <w:tcPr>
            <w:tcW w:type="dxa" w:w="3312"/>
            <w:shd w:fill="0F4C3A"/>
            <w:tcMar>
              <w:top w:w="140" w:type="dxa"/>
              <w:bottom w:w="140" w:type="dxa"/>
              <w:left w:w="140" w:type="dxa"/>
              <w:right w:w="140" w:type="dxa"/>
            </w:tcMar>
            <w:vAlign w:val="center"/>
          </w:tcPr>
          <w:p>
            <w:pPr>
              <w:spacing w:after="0"/>
              <w:jc w:val="left"/>
            </w:pPr>
            <w:r>
              <w:rPr>
                <w:rFonts w:ascii="Calibri" w:hAnsi="Calibri"/>
                <w:b/>
                <w:color w:val="FFFFFF"/>
                <w:sz w:val="19"/>
              </w:rPr>
              <w:t>Administrative Controls</w:t>
            </w:r>
          </w:p>
        </w:tc>
        <w:tc>
          <w:tcPr>
            <w:tcW w:type="dxa" w:w="3888"/>
            <w:shd w:fill="0F4C3A"/>
            <w:tcMar>
              <w:top w:w="140" w:type="dxa"/>
              <w:bottom w:w="140" w:type="dxa"/>
              <w:left w:w="140" w:type="dxa"/>
              <w:right w:w="140" w:type="dxa"/>
            </w:tcMar>
            <w:vAlign w:val="center"/>
          </w:tcPr>
          <w:p>
            <w:pPr>
              <w:spacing w:after="0"/>
              <w:jc w:val="left"/>
            </w:pPr>
            <w:r>
              <w:rPr>
                <w:rFonts w:ascii="Calibri" w:hAnsi="Calibri"/>
                <w:b/>
                <w:color w:val="FFFFFF"/>
                <w:sz w:val="19"/>
              </w:rPr>
              <w:t>Frontend Architectural Integration</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1. General &amp; Brand Settings</w:t>
            </w:r>
          </w:p>
        </w:tc>
        <w:tc>
          <w:tcPr>
            <w:tcW w:type="dxa" w:w="331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Organization name, statutory taglines, logo upload, favicon, hero headlines, badge text</w:t>
            </w:r>
          </w:p>
        </w:tc>
        <w:tc>
          <w:tcPr>
            <w:tcW w:type="dxa" w:w="3888"/>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Live sync across Navbar, Meta tags, and Hero presentation</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2. Two Official Offices</w:t>
            </w:r>
          </w:p>
        </w:tc>
        <w:tc>
          <w:tcPr>
            <w:tcW w:type="dxa" w:w="331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Independent management of Registered Office &amp; Administrative Office (address, phones, emails, maps)</w:t>
            </w:r>
          </w:p>
        </w:tc>
        <w:tc>
          <w:tcPr>
            <w:tcW w:type="dxa" w:w="3888"/>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Propagates instantaneously across Contact Page, Global Footer, and Contact Modals</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3. Audited Impact Counters</w:t>
            </w:r>
          </w:p>
        </w:tc>
        <w:tc>
          <w:tcPr>
            <w:tcW w:type="dxa" w:w="331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Numerical counters (Lives Impacted, Women Trained, SHGs Formed, Operational Years)</w:t>
            </w:r>
          </w:p>
        </w:tc>
        <w:tc>
          <w:tcPr>
            <w:tcW w:type="dxa" w:w="3888"/>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Powers dynamic animated counter strip on Home and About pages</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4. 4-Era History &amp; Chronology</w:t>
            </w:r>
          </w:p>
        </w:tc>
        <w:tc>
          <w:tcPr>
            <w:tcW w:type="dxa" w:w="331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Edit titles, descriptions, focus areas, and milestone badges across the 4 canonical eras</w:t>
            </w:r>
          </w:p>
        </w:tc>
        <w:tc>
          <w:tcPr>
            <w:tcW w:type="dxa" w:w="3888"/>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Controls the interactive Chronology Rail and deep-dive cards in /about/our-story</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5. Programs &amp; Interventions</w:t>
            </w:r>
          </w:p>
        </w:tc>
        <w:tc>
          <w:tcPr>
            <w:tcW w:type="dxa" w:w="331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Add, edit, or toggle core programs: Health, Women Empowerment, Skilling, Artisan clusters</w:t>
            </w:r>
          </w:p>
        </w:tc>
        <w:tc>
          <w:tcPr>
            <w:tcW w:type="dxa" w:w="3888"/>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Renders rich interactive program cards with dynamic icon mappings</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6. State Presence &amp; Map</w:t>
            </w:r>
          </w:p>
        </w:tc>
        <w:tc>
          <w:tcPr>
            <w:tcW w:type="dxa" w:w="331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Configure state metrics (districts, centers, beneficiaries) for Delhi, UP, UK, Haryana, etc.</w:t>
            </w:r>
          </w:p>
        </w:tc>
        <w:tc>
          <w:tcPr>
            <w:tcW w:type="dxa" w:w="3888"/>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Powers the interactive India SVG Map Telemetry Cockpit</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7. Statutory Document Center</w:t>
            </w:r>
          </w:p>
        </w:tc>
        <w:tc>
          <w:tcPr>
            <w:tcW w:type="dxa" w:w="331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Upload and link legal certificates (12A, 80G, CSR-1, NGO Darpan, 48-Page Profile)</w:t>
            </w:r>
          </w:p>
        </w:tc>
        <w:tc>
          <w:tcPr>
            <w:tcW w:type="dxa" w:w="3888"/>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Feeds public download links in Legal Status, Management, and Footer</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8. Media &amp; YouTube Hub</w:t>
            </w:r>
          </w:p>
        </w:tc>
        <w:tc>
          <w:tcPr>
            <w:tcW w:type="dxa" w:w="331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Manage YouTube video IDs, episode titles, broadcast dates for 37 Doordarshan features</w:t>
            </w:r>
          </w:p>
        </w:tc>
        <w:tc>
          <w:tcPr>
            <w:tcW w:type="dxa" w:w="3888"/>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Populates the lazy-loaded Video Gallery with instant modal playback</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9. Artisanal Handcrafts</w:t>
            </w:r>
          </w:p>
        </w:tc>
        <w:tc>
          <w:tcPr>
            <w:tcW w:type="dxa" w:w="331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Manage SHG handcrafted product categories, descriptions, artisan group details, and photos</w:t>
            </w:r>
          </w:p>
        </w:tc>
        <w:tc>
          <w:tcPr>
            <w:tcW w:type="dxa" w:w="3888"/>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Drives the interactive Khadi and Handicraft showcase catalog</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10. Governance &amp; Leadership</w:t>
            </w:r>
          </w:p>
        </w:tc>
        <w:tc>
          <w:tcPr>
            <w:tcW w:type="dxa" w:w="331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Update Governing Body members, patron designations, photographs, and bio summaries</w:t>
            </w:r>
          </w:p>
        </w:tc>
        <w:tc>
          <w:tcPr>
            <w:tcW w:type="dxa" w:w="3888"/>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Renders the official Leadership &amp; Management directory</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11. Security &amp; Cache Revalidation</w:t>
            </w:r>
          </w:p>
        </w:tc>
        <w:tc>
          <w:tcPr>
            <w:tcW w:type="dxa" w:w="331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Trigger instant edge cache purge (/api/revalidate) and view administrative audit logs</w:t>
            </w:r>
          </w:p>
        </w:tc>
        <w:tc>
          <w:tcPr>
            <w:tcW w:type="dxa" w:w="3888"/>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Forces Vercel Edge CDN to refresh static cache without redeploying code</w:t>
            </w:r>
          </w:p>
        </w:tc>
      </w:tr>
    </w:tbl>
    <w:p>
      <w:pPr>
        <w:spacing w:after="120" w:line="276" w:lineRule="auto"/>
      </w:pPr>
      <w:r>
        <w:rPr>
          <w:rFonts w:ascii="Calibri" w:hAnsi="Calibri"/>
          <w:b/>
          <w:color w:val="1E293B"/>
          <w:sz w:val="20"/>
        </w:rPr>
        <w:t xml:space="preserve">Edge Revalidation Engine: </w:t>
      </w:r>
      <w:r>
        <w:rPr>
          <w:rFonts w:ascii="Calibri" w:hAnsi="Calibri"/>
          <w:i w:val="0"/>
          <w:color w:val="1E293B"/>
          <w:sz w:val="20"/>
        </w:rPr>
        <w:t>Real-Time Cache Revalidation Architecture: When an administrator saves updates in the Website Customizer Studio, an atomic database transaction updates the PostgreSQL site_customizer table. A Next.js Server Action automatically triggers revalidatePath('/') across all routes. The Vercel Anycast Edge CDN globally purges stale static caches and delivers fresh content in under 200 milliseconds without requiring code deployments or server restarts.</w:t>
      </w:r>
    </w:p>
    <w:p>
      <w:pPr>
        <w:keepNext/>
        <w:spacing w:before="440" w:after="160"/>
      </w:pPr>
      <w:r>
        <w:rPr>
          <w:rFonts w:ascii="Calibri" w:hAnsi="Calibri"/>
          <w:b/>
          <w:color w:val="0F4C3A"/>
          <w:sz w:val="32"/>
        </w:rPr>
        <w:t>6. Performance, Core Web Vitals &amp; Security Benchmark Matrix</w:t>
      </w:r>
    </w:p>
    <w:p>
      <w:pPr>
        <w:spacing w:after="120" w:line="276" w:lineRule="auto"/>
      </w:pPr>
      <w:r>
        <w:rPr>
          <w:rFonts w:ascii="Calibri" w:hAnsi="Calibri"/>
          <w:i w:val="0"/>
          <w:color w:val="1E293B"/>
          <w:sz w:val="20"/>
        </w:rPr>
        <w:t>Comprehensive benchmarking was conducted using Google Chrome DevTools Lighthouse audit suite, WebPageTest, and SSL Labs against both the live legacy portal and the new cloud platform.</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48"/>
        <w:gridCol w:w="2448"/>
        <w:gridCol w:w="2448"/>
        <w:gridCol w:w="2448"/>
      </w:tblGrid>
      <w:tr>
        <w:tc>
          <w:tcPr>
            <w:tcW w:type="dxa" w:w="2592"/>
            <w:shd w:fill="0F4C3A"/>
            <w:tcMar>
              <w:top w:w="140" w:type="dxa"/>
              <w:bottom w:w="140" w:type="dxa"/>
              <w:left w:w="140" w:type="dxa"/>
              <w:right w:w="140" w:type="dxa"/>
            </w:tcMar>
            <w:vAlign w:val="center"/>
          </w:tcPr>
          <w:p>
            <w:pPr>
              <w:spacing w:after="0"/>
              <w:jc w:val="left"/>
            </w:pPr>
            <w:r>
              <w:rPr>
                <w:rFonts w:ascii="Calibri" w:hAnsi="Calibri"/>
                <w:b/>
                <w:color w:val="FFFFFF"/>
                <w:sz w:val="19"/>
              </w:rPr>
              <w:t>Metric / Benchmark</w:t>
            </w:r>
          </w:p>
        </w:tc>
        <w:tc>
          <w:tcPr>
            <w:tcW w:type="dxa" w:w="2304"/>
            <w:shd w:fill="0F4C3A"/>
            <w:tcMar>
              <w:top w:w="140" w:type="dxa"/>
              <w:bottom w:w="140" w:type="dxa"/>
              <w:left w:w="140" w:type="dxa"/>
              <w:right w:w="140" w:type="dxa"/>
            </w:tcMar>
            <w:vAlign w:val="center"/>
          </w:tcPr>
          <w:p>
            <w:pPr>
              <w:spacing w:after="0"/>
              <w:jc w:val="left"/>
            </w:pPr>
            <w:r>
              <w:rPr>
                <w:rFonts w:ascii="Calibri" w:hAnsi="Calibri"/>
                <w:b/>
                <w:color w:val="FFFFFF"/>
                <w:sz w:val="19"/>
              </w:rPr>
              <w:t>Legacy (bisnoulisansthan.in)</w:t>
            </w:r>
          </w:p>
        </w:tc>
        <w:tc>
          <w:tcPr>
            <w:tcW w:type="dxa" w:w="2304"/>
            <w:shd w:fill="0F4C3A"/>
            <w:tcMar>
              <w:top w:w="140" w:type="dxa"/>
              <w:bottom w:w="140" w:type="dxa"/>
              <w:left w:w="140" w:type="dxa"/>
              <w:right w:w="140" w:type="dxa"/>
            </w:tcMar>
            <w:vAlign w:val="center"/>
          </w:tcPr>
          <w:p>
            <w:pPr>
              <w:spacing w:after="0"/>
              <w:jc w:val="left"/>
            </w:pPr>
            <w:r>
              <w:rPr>
                <w:rFonts w:ascii="Calibri" w:hAnsi="Calibri"/>
                <w:b/>
                <w:color w:val="FFFFFF"/>
                <w:sz w:val="19"/>
              </w:rPr>
              <w:t>Modern (bisnoulisansthan.vercel.app)</w:t>
            </w:r>
          </w:p>
        </w:tc>
        <w:tc>
          <w:tcPr>
            <w:tcW w:type="dxa" w:w="2592"/>
            <w:shd w:fill="0F4C3A"/>
            <w:tcMar>
              <w:top w:w="140" w:type="dxa"/>
              <w:bottom w:w="140" w:type="dxa"/>
              <w:left w:w="140" w:type="dxa"/>
              <w:right w:w="140" w:type="dxa"/>
            </w:tcMar>
            <w:vAlign w:val="center"/>
          </w:tcPr>
          <w:p>
            <w:pPr>
              <w:spacing w:after="0"/>
              <w:jc w:val="left"/>
            </w:pPr>
            <w:r>
              <w:rPr>
                <w:rFonts w:ascii="Calibri" w:hAnsi="Calibri"/>
                <w:b/>
                <w:color w:val="FFFFFF"/>
                <w:sz w:val="19"/>
              </w:rPr>
              <w:t>Engineering Delta / Impact</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Lighthouse Overall Score</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34 / 100 (Critical Fail)</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98 / 100 (Near Perfect)</w:t>
            </w:r>
          </w:p>
        </w:tc>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+64 Points Improvement</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First Contentful Paint (FCP)</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3.8 Seconds</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0.6 Seconds</w:t>
            </w:r>
          </w:p>
        </w:tc>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6.3x Faster Content Delivery</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Largest Contentful Paint (LCP)</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6.4 Seconds</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1.1 Seconds</w:t>
            </w:r>
          </w:p>
        </w:tc>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5.8x Faster Visual Load</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Cumulative Layout Shift (CLS)</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0.342 (High Visual Instability)</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0.001 (Zero Visual Shift)</w:t>
            </w:r>
          </w:p>
        </w:tc>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Flawless Visual Stability</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Total Blocking Time (TBT)</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850 Milliseconds</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0 Milliseconds</w:t>
            </w:r>
          </w:p>
        </w:tc>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Instant Main-Thread Response</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Speed Index</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5.2 Seconds</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0.9 Seconds</w:t>
            </w:r>
          </w:p>
        </w:tc>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Smooth Visual Assembly</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Initial Page Weight</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12.4 MB (Uncompressed)</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1.2 MB (AVIF/WebP Optimized)</w:t>
            </w:r>
          </w:p>
        </w:tc>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90.3% Bandwidth Reduction</w:t>
            </w:r>
          </w:p>
        </w:tc>
      </w:tr>
      <w:tr>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b/>
                <w:color w:val="1E293B"/>
                <w:sz w:val="17"/>
              </w:rPr>
              <w:t>Security Rating (SSL/TLS)</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Grade B (Outdated Cipher Suites)</w:t>
            </w:r>
          </w:p>
        </w:tc>
        <w:tc>
          <w:tcPr>
            <w:tcW w:type="dxa" w:w="2304"/>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Grade A+ (HSTS Strict Transport)</w:t>
            </w:r>
          </w:p>
        </w:tc>
        <w:tc>
          <w:tcPr>
            <w:tcW w:type="dxa" w:w="2592"/>
            <w:shd w:fill="F8FAFC"/>
            <w:tcMar>
              <w:top w:w="90" w:type="dxa"/>
              <w:bottom w:w="90" w:type="dxa"/>
              <w:left w:w="140" w:type="dxa"/>
              <w:right w:w="140" w:type="dxa"/>
            </w:tcMar>
            <w:vAlign w:val="center"/>
          </w:tcPr>
          <w:p>
            <w:pPr>
              <w:spacing w:after="0" w:line="276" w:lineRule="auto"/>
              <w:jc w:val="left"/>
            </w:pPr>
            <w:r>
              <w:rPr>
                <w:rFonts w:ascii="Calibri" w:hAnsi="Calibri"/>
                <w:color w:val="1E293B"/>
                <w:sz w:val="17"/>
              </w:rPr>
              <w:t>Enterprise Bank-Grade Security</w:t>
            </w:r>
          </w:p>
        </w:tc>
      </w:tr>
      <w:tr>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b/>
                <w:color w:val="1E293B"/>
                <w:sz w:val="17"/>
              </w:rPr>
              <w:t>Public Attack Surface</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Exposed wp-login, XML-RPC, PHP leaks</w:t>
            </w:r>
          </w:p>
        </w:tc>
        <w:tc>
          <w:tcPr>
            <w:tcW w:type="dxa" w:w="2304"/>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Zero Public Surface, Edge Serverless</w:t>
            </w:r>
          </w:p>
        </w:tc>
        <w:tc>
          <w:tcPr>
            <w:tcW w:type="dxa" w:w="2592"/>
            <w:shd w:fill="FFFFFF"/>
            <w:tcMar>
              <w:top w:w="90" w:type="dxa"/>
              <w:bottom w:w="90" w:type="dxa"/>
              <w:left w:w="140" w:type="dxa"/>
              <w:right w:w="140" w:type="dxa"/>
            </w:tcMar>
            <w:vAlign w:val="center"/>
          </w:tcPr>
          <w:p>
            <w:pPr>
              <w:spacing w:after="0" w:line="276" w:lineRule="auto"/>
              <w:jc w:val="left"/>
            </w:pPr>
            <w:r>
              <w:rPr>
                <w:rFonts w:ascii="Calibri" w:hAnsi="Calibri"/>
                <w:color w:val="1E293B"/>
                <w:sz w:val="17"/>
              </w:rPr>
              <w:t>99.9% Attack Surface Elimination</w:t>
            </w:r>
          </w:p>
        </w:tc>
      </w:tr>
    </w:tbl>
    <w:p>
      <w:r>
        <w:br w:type="page"/>
      </w:r>
    </w:p>
    <w:p>
      <w:pPr>
        <w:keepNext/>
        <w:spacing w:before="440" w:after="160"/>
      </w:pPr>
      <w:r>
        <w:rPr>
          <w:rFonts w:ascii="Calibri" w:hAnsi="Calibri"/>
          <w:b/>
          <w:color w:val="0F4C3A"/>
          <w:sz w:val="32"/>
        </w:rPr>
        <w:t>7. Technical Sign-Off &amp; Star Computer Solutions &amp; Infosys Handover</w:t>
      </w:r>
    </w:p>
    <w:p>
      <w:pPr>
        <w:spacing w:after="120" w:line="276" w:lineRule="auto"/>
      </w:pPr>
      <w:r>
        <w:rPr>
          <w:rFonts w:ascii="Calibri" w:hAnsi="Calibri"/>
          <w:i w:val="0"/>
          <w:color w:val="1E293B"/>
          <w:sz w:val="20"/>
        </w:rPr>
        <w:t>This Comprehensive Modernization &amp; Page-by-Page Architectural Comparison Report constitutes the official technical documentation and project handover for Bisnouli Sarvodaya Gramodyog Sewa Sansthan (BSGSS). Star Computer Solutions &amp; Infosys certifies that the modern application at https://bisnoulisansthan.vercel.app/ adheres to international software engineering standards, fulfills 100% of the functional modernization requirements, and provides complete administrative sovereignty through the Website Customizer Studio.</w:t>
      </w:r>
    </w:p>
    <w:tbl>
      <w:tblPr>
        <w:tblW w:type="auto" w:w="0"/>
        <w:jc w:val="center"/>
        <w:tblLook w:firstColumn="1" w:firstRow="1" w:lastColumn="0" w:lastRow="0" w:noHBand="0" w:noVBand="1" w:val="04A0"/>
      </w:tblPr>
      <w:tblGrid>
        <w:gridCol w:w="9792"/>
      </w:tblGrid>
      <w:tr>
        <w:tc>
          <w:tcPr>
            <w:tcW w:type="dxa" w:w="9792"/>
            <w:shd w:fill="ECFDF5"/>
            <w:tcMar>
              <w:top w:w="160" w:type="dxa"/>
              <w:bottom w:w="160" w:type="dxa"/>
              <w:left w:w="200" w:type="dxa"/>
              <w:right w:w="200" w:type="dxa"/>
            </w:tcMar>
            <w:tcBorders>
              <w:left w:val="single" w:sz="36" w:space="0" w:color="0F4C3A"/>
              <w:top w:val="none"/>
              <w:right w:val="none"/>
              <w:bottom w:val="none"/>
            </w:tcBorders>
          </w:tcPr>
          <w:p>
            <w:pPr>
              <w:spacing w:after="80"/>
            </w:pPr>
            <w:r>
              <w:rPr>
                <w:rFonts w:ascii="Calibri" w:hAnsi="Calibri"/>
                <w:b/>
                <w:color w:val="0F4C3A"/>
                <w:sz w:val="22"/>
              </w:rPr>
              <w:t>OFFICIAL ENGINEERING HANDOVER &amp; TECHNICAL CERTIFICATION</w:t>
            </w:r>
          </w:p>
          <w:p>
            <w:pPr>
              <w:spacing w:after="120" w:line="288" w:lineRule="auto"/>
            </w:pPr>
            <w:r>
              <w:rPr>
                <w:rFonts w:ascii="Calibri" w:hAnsi="Calibri"/>
                <w:color w:val="1E293B"/>
                <w:sz w:val="19"/>
              </w:rPr>
              <w:t>Delivered By: Star Computer Solutions &amp; Infosys</w:t>
              <w:br/>
              <w:t>Corporate Website: https://www.scsi.in/</w:t>
              <w:br/>
              <w:t>Corporate Headquarters: Jaswant Plaza, Shaheen Bagh, Okhla, New Delhi - 110025, India</w:t>
              <w:br/>
              <w:t>Direct Helpline: +91-9311113446  |  Engineering Inquiries: info@scsi.in</w:t>
              <w:br/>
              <w:t>Engagement Scope: Enterprise Full-Stack Web Development, Cloud Infrastructure, Custom Admin Studio</w:t>
              <w:br/>
              <w:t>Handover Date: October 21, 2026</w:t>
              <w:br/>
              <w:t>Status: Production Verified &amp; Enterprise Certified</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