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22A52"/>
          <w:sz w:val="56"/>
        </w:rPr>
        <w:t>Career Outcome Visualization</w:t>
      </w:r>
    </w:p>
    <w:p>
      <w:pPr>
        <w:jc w:val="center"/>
      </w:pPr>
      <w:r>
        <w:rPr>
          <w:color w:val="2F6DB3"/>
          <w:sz w:val="32"/>
        </w:rPr>
        <w:t>Reproducible Package — Final Summary Report</w:t>
      </w:r>
    </w:p>
    <w:p/>
    <w:p>
      <w:pPr>
        <w:jc w:val="center"/>
      </w:pPr>
      <w:r>
        <w:rPr>
          <w:b/>
          <w:color w:val="2F6DB3"/>
          <w:sz w:val="22"/>
        </w:rPr>
        <w:t xml:space="preserve">Project:  </w:t>
      </w:r>
      <w:r>
        <w:rPr>
          <w:color w:val="444444"/>
          <w:sz w:val="22"/>
        </w:rPr>
        <w:t>Gonzaga University Career Services — Major to Career Pathway Analysis</w:t>
      </w:r>
    </w:p>
    <w:p>
      <w:pPr>
        <w:jc w:val="center"/>
      </w:pPr>
      <w:r>
        <w:rPr>
          <w:b/>
          <w:color w:val="2F6DB3"/>
          <w:sz w:val="22"/>
        </w:rPr>
        <w:t xml:space="preserve">Cohort:  </w:t>
      </w:r>
      <w:r>
        <w:rPr>
          <w:color w:val="444444"/>
          <w:sz w:val="22"/>
        </w:rPr>
        <w:t>Class of 2026</w:t>
      </w:r>
    </w:p>
    <w:p>
      <w:pPr>
        <w:jc w:val="center"/>
      </w:pPr>
      <w:r>
        <w:rPr>
          <w:b/>
          <w:color w:val="2F6DB3"/>
          <w:sz w:val="22"/>
        </w:rPr>
        <w:t xml:space="preserve">Dashboards:  </w:t>
      </w:r>
      <w:r>
        <w:rPr>
          <w:color w:val="444444"/>
          <w:sz w:val="22"/>
        </w:rPr>
        <w:t>3 interactive Circos chord-diagram visualizations</w:t>
      </w:r>
    </w:p>
    <w:p>
      <w:pPr>
        <w:jc w:val="center"/>
      </w:pPr>
      <w:r>
        <w:rPr>
          <w:b/>
          <w:color w:val="2F6DB3"/>
          <w:sz w:val="22"/>
        </w:rPr>
        <w:t xml:space="preserve">Prepared by:  </w:t>
      </w:r>
      <w:r>
        <w:rPr>
          <w:color w:val="444444"/>
          <w:sz w:val="22"/>
        </w:rPr>
        <w:t>Graduate Research Project</w:t>
      </w:r>
    </w:p>
    <w:p>
      <w:pPr>
        <w:jc w:val="center"/>
      </w:pPr>
      <w:r>
        <w:rPr>
          <w:b/>
          <w:color w:val="2F6DB3"/>
          <w:sz w:val="22"/>
        </w:rPr>
        <w:t xml:space="preserve">Date:  </w:t>
      </w:r>
      <w:r>
        <w:rPr>
          <w:color w:val="444444"/>
          <w:sz w:val="22"/>
        </w:rPr>
        <w:t>May 22, 2026</w:t>
      </w:r>
    </w:p>
    <w:p>
      <w:r>
        <w:br w:type="page"/>
      </w:r>
    </w:p>
    <w:p>
      <w:pPr>
        <w:spacing w:before="360" w:after="80"/>
        <w:pBdr>
          <w:bottom w:val="single" w:sz="8" w:space="1" w:color="2F6DB3"/>
        </w:pBdr>
      </w:pPr>
      <w:r>
        <w:rPr>
          <w:b/>
          <w:color w:val="122A52"/>
          <w:sz w:val="32"/>
        </w:rPr>
        <w:t>1. EXECUTIVE SUMMARY</w:t>
      </w:r>
    </w:p>
    <w:p>
      <w:pPr>
        <w:spacing w:before="40" w:after="80"/>
      </w:pPr>
      <w:r>
        <w:rPr>
          <w:i w:val="0"/>
          <w:color w:val="444444"/>
          <w:sz w:val="21"/>
        </w:rPr>
        <w:t>This report documents the Career Outcome Visualization project developed over four months (January–May 2026) as part of a graduate research engagement with Gonzaga University's Career &amp; Professional Development office. The project produced three interactive, browser-based chord-diagram dashboards that visualize how graduating students move from their incoming academic major to their career outcome or graduating major.</w:t>
      </w:r>
    </w:p>
    <w:p>
      <w:pPr>
        <w:spacing w:before="40" w:after="80"/>
      </w:pPr>
      <w:r>
        <w:rPr>
          <w:i w:val="0"/>
          <w:color w:val="444444"/>
          <w:sz w:val="21"/>
        </w:rPr>
        <w:t>All three dashboards are fully functional static HTML files that can be opened in any modern browser without a server, database, or internet connection. The reproducible package collects every file, script, and decision record needed for a new student or staff member to view, understand, and regenerate the dashboards from fresh data.</w:t>
      </w:r>
    </w:p>
    <w:p>
      <w:pPr>
        <w:spacing w:before="240" w:after="40"/>
      </w:pPr>
      <w:r>
        <w:rPr>
          <w:b/>
          <w:color w:val="2F6DB3"/>
          <w:sz w:val="26"/>
        </w:rPr>
        <w:t>Three Deliverables</w:t>
      </w:r>
    </w:p>
    <w:tbl>
      <w:tblPr>
        <w:tblStyle w:val="TableGrid"/>
        <w:tblW w:type="auto" w:w="0"/>
        <w:jc w:val="left"/>
        <w:tblLook w:firstColumn="1" w:firstRow="1" w:lastColumn="0" w:lastRow="0" w:noHBand="0" w:noVBand="1" w:val="04A0"/>
      </w:tblPr>
      <w:tblGrid>
        <w:gridCol w:w="4703"/>
        <w:gridCol w:w="4703"/>
      </w:tblGrid>
      <w:tr>
        <w:tc>
          <w:tcPr>
            <w:tcW w:type="dxa" w:w="3456"/>
            <w:shd w:val="clear" w:color="auto" w:fill="2F6DB3"/>
          </w:tcPr>
          <w:p>
            <w:r>
              <w:rPr>
                <w:b/>
                <w:color w:val="FFFFFF"/>
                <w:sz w:val="20"/>
              </w:rPr>
              <w:t>Dashboard</w:t>
            </w:r>
          </w:p>
        </w:tc>
        <w:tc>
          <w:tcPr>
            <w:tcW w:type="dxa" w:w="5904"/>
            <w:shd w:val="clear" w:color="auto" w:fill="2F6DB3"/>
          </w:tcPr>
          <w:p>
            <w:r>
              <w:rPr>
                <w:b/>
                <w:color w:val="FFFFFF"/>
                <w:sz w:val="20"/>
              </w:rPr>
              <w:t>Description</w:t>
            </w:r>
          </w:p>
        </w:tc>
      </w:tr>
      <w:tr>
        <w:tc>
          <w:tcPr>
            <w:tcW w:type="dxa" w:w="3456"/>
            <w:shd w:val="clear" w:color="auto" w:fill="F2F4F8"/>
          </w:tcPr>
          <w:p>
            <w:r>
              <w:rPr>
                <w:color w:val="444444"/>
                <w:sz w:val="20"/>
              </w:rPr>
              <w:t>Career Outcomes Dashboard</w:t>
              <w:br/>
              <w:t>site/index.html</w:t>
            </w:r>
          </w:p>
        </w:tc>
        <w:tc>
          <w:tcPr>
            <w:tcW w:type="dxa" w:w="5904"/>
            <w:shd w:val="clear" w:color="auto" w:fill="F2F4F8"/>
          </w:tcPr>
          <w:p>
            <w:r>
              <w:rPr>
                <w:color w:val="444444"/>
                <w:sz w:val="20"/>
              </w:rPr>
              <w:t>Shows how 2,682 graduates mapped from their incoming major to one of 8 career clusters. Clicking any major or career thumbnail filters the central chord diagram.</w:t>
            </w:r>
          </w:p>
        </w:tc>
      </w:tr>
      <w:tr>
        <w:tc>
          <w:tcPr>
            <w:tcW w:type="dxa" w:w="3456"/>
          </w:tcPr>
          <w:p>
            <w:r>
              <w:rPr>
                <w:color w:val="444444"/>
                <w:sz w:val="20"/>
              </w:rPr>
              <w:t>Industry Mobility Dashboard</w:t>
              <w:br/>
              <w:t>site/incoming_grad_grouped.html</w:t>
            </w:r>
          </w:p>
        </w:tc>
        <w:tc>
          <w:tcPr>
            <w:tcW w:type="dxa" w:w="5904"/>
          </w:tcPr>
          <w:p>
            <w:r>
              <w:rPr>
                <w:color w:val="444444"/>
                <w:sz w:val="20"/>
              </w:rPr>
              <w:t>Shows how 925 students moved from their incoming major group to their graduating major group, organized by 14 industry-style groups (e.g., Computing/Data, Engineering, Education).</w:t>
            </w:r>
          </w:p>
        </w:tc>
      </w:tr>
      <w:tr>
        <w:tc>
          <w:tcPr>
            <w:tcW w:type="dxa" w:w="3456"/>
            <w:shd w:val="clear" w:color="auto" w:fill="F2F4F8"/>
          </w:tcPr>
          <w:p>
            <w:r>
              <w:rPr>
                <w:color w:val="444444"/>
                <w:sz w:val="20"/>
              </w:rPr>
              <w:t>College Mobility Dashboard</w:t>
              <w:br/>
              <w:t>site/incoming_grad_grouped_college.html</w:t>
            </w:r>
          </w:p>
        </w:tc>
        <w:tc>
          <w:tcPr>
            <w:tcW w:type="dxa" w:w="5904"/>
            <w:shd w:val="clear" w:color="auto" w:fill="F2F4F8"/>
          </w:tcPr>
          <w:p>
            <w:r>
              <w:rPr>
                <w:color w:val="444444"/>
                <w:sz w:val="20"/>
              </w:rPr>
              <w:t>Same 925 students viewed by college (OCB, CAS, EDUC, COH, SOE, Other) — shows cross-college major switching patterns.</w:t>
            </w:r>
          </w:p>
        </w:tc>
      </w:tr>
    </w:tbl>
    <w:p/>
    <w:p>
      <w:r>
        <w:br w:type="page"/>
      </w:r>
    </w:p>
    <w:p>
      <w:pPr>
        <w:spacing w:before="360" w:after="80"/>
        <w:pBdr>
          <w:bottom w:val="single" w:sz="8" w:space="1" w:color="2F6DB3"/>
        </w:pBdr>
      </w:pPr>
      <w:r>
        <w:rPr>
          <w:b/>
          <w:color w:val="122A52"/>
          <w:sz w:val="32"/>
        </w:rPr>
        <w:t>PACKAGE FOLDER STRUCTURE</w:t>
      </w:r>
    </w:p>
    <w:p>
      <w:pPr>
        <w:spacing w:before="40" w:after="80"/>
      </w:pPr>
      <w:r>
        <w:rPr>
          <w:i w:val="0"/>
          <w:color w:val="444444"/>
          <w:sz w:val="21"/>
        </w:rPr>
        <w:t>The diagram below shows every file and folder in the reproducible package. Orange badges are folders; blue badges are files. Annotations on the right describe each item's purpose.</w:t>
      </w:r>
    </w:p>
    <w:p>
      <w:pPr>
        <w:jc w:val="center"/>
      </w:pPr>
      <w:r>
        <w:drawing>
          <wp:inline xmlns:a="http://schemas.openxmlformats.org/drawingml/2006/main" xmlns:pic="http://schemas.openxmlformats.org/drawingml/2006/picture">
            <wp:extent cx="5943600" cy="6222618"/>
            <wp:docPr id="1" name="Picture 1"/>
            <wp:cNvGraphicFramePr>
              <a:graphicFrameLocks noChangeAspect="1"/>
            </wp:cNvGraphicFramePr>
            <a:graphic>
              <a:graphicData uri="http://schemas.openxmlformats.org/drawingml/2006/picture">
                <pic:pic>
                  <pic:nvPicPr>
                    <pic:cNvPr id="0" name="folder_tree.png"/>
                    <pic:cNvPicPr/>
                  </pic:nvPicPr>
                  <pic:blipFill>
                    <a:blip r:embed="rId9"/>
                    <a:stretch>
                      <a:fillRect/>
                    </a:stretch>
                  </pic:blipFill>
                  <pic:spPr>
                    <a:xfrm>
                      <a:off x="0" y="0"/>
                      <a:ext cx="5943600" cy="6222618"/>
                    </a:xfrm>
                    <a:prstGeom prst="rect"/>
                  </pic:spPr>
                </pic:pic>
              </a:graphicData>
            </a:graphic>
          </wp:inline>
        </w:drawing>
      </w:r>
    </w:p>
    <w:p/>
    <w:p>
      <w:r>
        <w:br w:type="page"/>
      </w:r>
    </w:p>
    <w:p>
      <w:pPr>
        <w:spacing w:before="360" w:after="80"/>
        <w:pBdr>
          <w:bottom w:val="single" w:sz="8" w:space="1" w:color="2F6DB3"/>
        </w:pBdr>
      </w:pPr>
      <w:r>
        <w:rPr>
          <w:b/>
          <w:color w:val="122A52"/>
          <w:sz w:val="32"/>
        </w:rPr>
        <w:t>2. PROJECT BACKGROUND</w:t>
      </w:r>
    </w:p>
    <w:p>
      <w:pPr>
        <w:spacing w:before="40" w:after="80"/>
      </w:pPr>
      <w:r>
        <w:rPr>
          <w:i w:val="0"/>
          <w:color w:val="444444"/>
          <w:sz w:val="21"/>
        </w:rPr>
        <w:t>Gonzaga University's Career &amp; Professional Development office collects annual career outcome survey data from graduating students. The raw data contains each graduate's declared major and self-reported job title. A parallel dataset from the Registrar tracks students' declared major at entry (CPF semester) versus at graduation (SP26 semester).</w:t>
      </w:r>
    </w:p>
    <w:p>
      <w:pPr>
        <w:spacing w:before="40" w:after="80"/>
      </w:pPr>
      <w:r>
        <w:rPr>
          <w:i w:val="0"/>
          <w:color w:val="444444"/>
          <w:sz w:val="21"/>
        </w:rPr>
        <w:t>Prior to this project, no visual tool existed that allowed career advisors or students to explore the relationship between academic major and career outcome at a glance. The chord-diagram (Circos) format was chosen because it shows both the volume of connections and the directionality between two sets of categories simultaneously.</w:t>
      </w:r>
    </w:p>
    <w:p>
      <w:pPr>
        <w:spacing w:before="240" w:after="40"/>
      </w:pPr>
      <w:r>
        <w:rPr>
          <w:b/>
          <w:color w:val="2F6DB3"/>
          <w:sz w:val="26"/>
        </w:rPr>
        <w:t>Why Circos?</w:t>
      </w:r>
    </w:p>
    <w:p>
      <w:pPr>
        <w:spacing w:before="40" w:after="80"/>
      </w:pPr>
      <w:r>
        <w:rPr>
          <w:i w:val="0"/>
          <w:color w:val="444444"/>
          <w:sz w:val="21"/>
        </w:rPr>
        <w:t>Circos is an open-source, Perl-based command-line tool developed for genomics research that produces publication-quality chord diagrams. It was chosen over D3.js or Plotly for three reasons:</w:t>
      </w:r>
    </w:p>
    <w:p>
      <w:pPr>
        <w:pStyle w:val="ListBullet"/>
        <w:spacing w:before="20" w:after="20"/>
        <w:ind w:left="360"/>
      </w:pPr>
      <w:r>
        <w:rPr>
          <w:color w:val="444444"/>
          <w:sz w:val="21"/>
        </w:rPr>
        <w:t>Precise geometric control — ribbon shapes, arc spacing, label positions, and color assignments can all be specified exactly in configuration files.</w:t>
      </w:r>
    </w:p>
    <w:p>
      <w:pPr>
        <w:pStyle w:val="ListBullet"/>
        <w:spacing w:before="20" w:after="20"/>
        <w:ind w:left="360"/>
      </w:pPr>
      <w:r>
        <w:rPr>
          <w:color w:val="444444"/>
          <w:sz w:val="21"/>
        </w:rPr>
        <w:t>Static output — Circos renders a single SVG file per diagram. These SVGs are embedded directly in HTML pages, making the dashboards fast, printable, and usable offline.</w:t>
      </w:r>
    </w:p>
    <w:p>
      <w:pPr>
        <w:pStyle w:val="ListBullet"/>
        <w:spacing w:before="20" w:after="20"/>
        <w:ind w:left="360"/>
      </w:pPr>
      <w:r>
        <w:rPr>
          <w:color w:val="444444"/>
          <w:sz w:val="21"/>
        </w:rPr>
        <w:t>Separation of data and presentation — Circos configuration files are plain-text, making it straightforward to update the data and re-render.</w:t>
      </w:r>
    </w:p>
    <w:p>
      <w:pPr>
        <w:spacing w:before="240" w:after="40"/>
      </w:pPr>
      <w:r>
        <w:rPr>
          <w:b/>
          <w:color w:val="2F6DB3"/>
          <w:sz w:val="26"/>
        </w:rPr>
        <w:t>Development Timeline</w:t>
      </w:r>
    </w:p>
    <w:tbl>
      <w:tblPr>
        <w:tblStyle w:val="TableGrid"/>
        <w:tblW w:type="auto" w:w="0"/>
        <w:jc w:val="left"/>
        <w:tblLook w:firstColumn="1" w:firstRow="1" w:lastColumn="0" w:lastRow="0" w:noHBand="0" w:noVBand="1" w:val="04A0"/>
      </w:tblPr>
      <w:tblGrid>
        <w:gridCol w:w="4703"/>
        <w:gridCol w:w="4703"/>
      </w:tblGrid>
      <w:tr>
        <w:tc>
          <w:tcPr>
            <w:tcW w:type="dxa" w:w="2304"/>
            <w:shd w:val="clear" w:color="auto" w:fill="2F6DB3"/>
          </w:tcPr>
          <w:p>
            <w:r>
              <w:rPr>
                <w:b/>
                <w:color w:val="FFFFFF"/>
                <w:sz w:val="20"/>
              </w:rPr>
              <w:t>Period</w:t>
            </w:r>
          </w:p>
        </w:tc>
        <w:tc>
          <w:tcPr>
            <w:tcW w:type="dxa" w:w="7056"/>
            <w:shd w:val="clear" w:color="auto" w:fill="2F6DB3"/>
          </w:tcPr>
          <w:p>
            <w:r>
              <w:rPr>
                <w:b/>
                <w:color w:val="FFFFFF"/>
                <w:sz w:val="20"/>
              </w:rPr>
              <w:t>Milestones</w:t>
            </w:r>
          </w:p>
        </w:tc>
      </w:tr>
      <w:tr>
        <w:tc>
          <w:tcPr>
            <w:tcW w:type="dxa" w:w="2304"/>
            <w:shd w:val="clear" w:color="auto" w:fill="F2F4F8"/>
          </w:tcPr>
          <w:p>
            <w:r>
              <w:rPr>
                <w:color w:val="444444"/>
                <w:sz w:val="20"/>
              </w:rPr>
              <w:t>January 2026</w:t>
            </w:r>
          </w:p>
        </w:tc>
        <w:tc>
          <w:tcPr>
            <w:tcW w:type="dxa" w:w="7056"/>
            <w:shd w:val="clear" w:color="auto" w:fill="F2F4F8"/>
          </w:tcPr>
          <w:p>
            <w:r>
              <w:rPr>
                <w:color w:val="444444"/>
                <w:sz w:val="20"/>
              </w:rPr>
              <w:t>Initial data exploration; built first prototype Circos diagrams from original lookup table.</w:t>
            </w:r>
          </w:p>
        </w:tc>
      </w:tr>
      <w:tr>
        <w:tc>
          <w:tcPr>
            <w:tcW w:type="dxa" w:w="2304"/>
          </w:tcPr>
          <w:p>
            <w:r>
              <w:rPr>
                <w:color w:val="444444"/>
                <w:sz w:val="20"/>
              </w:rPr>
              <w:t>February 2026</w:t>
            </w:r>
          </w:p>
        </w:tc>
        <w:tc>
          <w:tcPr>
            <w:tcW w:type="dxa" w:w="7056"/>
          </w:tcPr>
          <w:p>
            <w:r>
              <w:rPr>
                <w:color w:val="444444"/>
                <w:sz w:val="20"/>
              </w:rPr>
              <w:t>Identified severe data loss issue (only ~1,100 of 4,129 graduates classified). Rebuilt cluster lookup pipeline from scratch.</w:t>
            </w:r>
          </w:p>
        </w:tc>
      </w:tr>
      <w:tr>
        <w:tc>
          <w:tcPr>
            <w:tcW w:type="dxa" w:w="2304"/>
            <w:shd w:val="clear" w:color="auto" w:fill="F2F4F8"/>
          </w:tcPr>
          <w:p>
            <w:r>
              <w:rPr>
                <w:color w:val="444444"/>
                <w:sz w:val="20"/>
              </w:rPr>
              <w:t>March 2026</w:t>
            </w:r>
          </w:p>
        </w:tc>
        <w:tc>
          <w:tcPr>
            <w:tcW w:type="dxa" w:w="7056"/>
            <w:shd w:val="clear" w:color="auto" w:fill="F2F4F8"/>
          </w:tcPr>
          <w:p>
            <w:r>
              <w:rPr>
                <w:color w:val="444444"/>
                <w:sz w:val="20"/>
              </w:rPr>
              <w:t>Implemented rule-based job-title heuristics; raised classified count to 2,682. Rebuilt major and career cluster consolidation (Steps 2–3).</w:t>
            </w:r>
          </w:p>
        </w:tc>
      </w:tr>
      <w:tr>
        <w:tc>
          <w:tcPr>
            <w:tcW w:type="dxa" w:w="2304"/>
          </w:tcPr>
          <w:p>
            <w:r>
              <w:rPr>
                <w:color w:val="444444"/>
                <w:sz w:val="20"/>
              </w:rPr>
              <w:t>April 2026</w:t>
            </w:r>
          </w:p>
        </w:tc>
        <w:tc>
          <w:tcPr>
            <w:tcW w:type="dxa" w:w="7056"/>
          </w:tcPr>
          <w:p>
            <w:r>
              <w:rPr>
                <w:color w:val="444444"/>
                <w:sz w:val="20"/>
              </w:rPr>
              <w:t>Ran 7 layout experiments (v1–v7) to optimize arc ordering and minimize ribbon crossings. Finalized v3 ordering.</w:t>
            </w:r>
          </w:p>
        </w:tc>
      </w:tr>
      <w:tr>
        <w:tc>
          <w:tcPr>
            <w:tcW w:type="dxa" w:w="2304"/>
            <w:shd w:val="clear" w:color="auto" w:fill="F2F4F8"/>
          </w:tcPr>
          <w:p>
            <w:r>
              <w:rPr>
                <w:color w:val="444444"/>
                <w:sz w:val="20"/>
              </w:rPr>
              <w:t>Early May 2026</w:t>
            </w:r>
          </w:p>
        </w:tc>
        <w:tc>
          <w:tcPr>
            <w:tcW w:type="dxa" w:w="7056"/>
            <w:shd w:val="clear" w:color="auto" w:fill="F2F4F8"/>
          </w:tcPr>
          <w:p>
            <w:r>
              <w:rPr>
                <w:color w:val="444444"/>
                <w:sz w:val="20"/>
              </w:rPr>
              <w:t>Developed SVG post-processing (taper, font replacement). Added industry and college mobility dashboards.</w:t>
            </w:r>
          </w:p>
        </w:tc>
      </w:tr>
      <w:tr>
        <w:tc>
          <w:tcPr>
            <w:tcW w:type="dxa" w:w="2304"/>
          </w:tcPr>
          <w:p>
            <w:r>
              <w:rPr>
                <w:color w:val="444444"/>
                <w:sz w:val="20"/>
              </w:rPr>
              <w:t>Mid May 2026</w:t>
            </w:r>
          </w:p>
        </w:tc>
        <w:tc>
          <w:tcPr>
            <w:tcW w:type="dxa" w:w="7056"/>
          </w:tcPr>
          <w:p>
            <w:r>
              <w:rPr>
                <w:color w:val="444444"/>
                <w:sz w:val="20"/>
              </w:rPr>
              <w:t>Finalized dashboard HTML, documentation panel, and reproducible package.</w:t>
            </w:r>
          </w:p>
        </w:tc>
      </w:tr>
    </w:tbl>
    <w:p/>
    <w:p>
      <w:r>
        <w:br w:type="page"/>
      </w:r>
    </w:p>
    <w:p>
      <w:pPr>
        <w:spacing w:before="360" w:after="80"/>
        <w:pBdr>
          <w:bottom w:val="single" w:sz="8" w:space="1" w:color="2F6DB3"/>
        </w:pBdr>
      </w:pPr>
      <w:r>
        <w:rPr>
          <w:b/>
          <w:color w:val="122A52"/>
          <w:sz w:val="32"/>
        </w:rPr>
        <w:t>3. DATA SOURCES AND INPUT FILES</w:t>
      </w:r>
    </w:p>
    <w:p>
      <w:pPr>
        <w:spacing w:before="240" w:after="40"/>
      </w:pPr>
      <w:r>
        <w:rPr>
          <w:b/>
          <w:color w:val="2F6DB3"/>
          <w:sz w:val="26"/>
        </w:rPr>
        <w:t>Career Survey Data</w:t>
      </w:r>
    </w:p>
    <w:p>
      <w:pPr>
        <w:spacing w:before="40" w:after="80"/>
      </w:pPr>
      <w:r>
        <w:rPr>
          <w:i w:val="0"/>
          <w:color w:val="444444"/>
          <w:sz w:val="21"/>
        </w:rPr>
        <w:t>File: career_survey_data.xlsx  |  4,129 rows  |  Source: Career &amp; Professional Development office</w:t>
      </w:r>
    </w:p>
    <w:p>
      <w:pPr>
        <w:pStyle w:val="ListBullet"/>
        <w:spacing w:before="20" w:after="20"/>
        <w:ind w:left="360"/>
      </w:pPr>
      <w:r>
        <w:rPr>
          <w:color w:val="444444"/>
          <w:sz w:val="21"/>
        </w:rPr>
        <w:t>Each row represents one graduate response from the annual career outcomes survey.</w:t>
      </w:r>
    </w:p>
    <w:p>
      <w:pPr>
        <w:pStyle w:val="ListBullet"/>
        <w:spacing w:before="20" w:after="20"/>
        <w:ind w:left="360"/>
      </w:pPr>
      <w:r>
        <w:rPr>
          <w:color w:val="444444"/>
          <w:sz w:val="21"/>
        </w:rPr>
        <w:t>Key columns used: Program Name/Major (the student's declared major at graduation), Job Title (self-reported first destination career role).</w:t>
      </w:r>
    </w:p>
    <w:p>
      <w:pPr>
        <w:pStyle w:val="ListBullet"/>
        <w:spacing w:before="20" w:after="20"/>
        <w:ind w:left="360"/>
      </w:pPr>
      <w:r>
        <w:rPr>
          <w:color w:val="444444"/>
          <w:sz w:val="21"/>
        </w:rPr>
        <w:t>1,338 rows had a blank Job Title field — these students did not report a career outcome and are excluded from the career dashboard.</w:t>
      </w:r>
    </w:p>
    <w:p>
      <w:pPr>
        <w:pStyle w:val="ListBullet"/>
        <w:spacing w:before="20" w:after="20"/>
        <w:ind w:left="360"/>
      </w:pPr>
      <w:r>
        <w:rPr>
          <w:color w:val="444444"/>
          <w:sz w:val="21"/>
        </w:rPr>
        <w:t>After full classification, 2,682 graduates appear in the career dashboard.</w:t>
      </w:r>
    </w:p>
    <w:p>
      <w:pPr>
        <w:spacing w:before="240" w:after="40"/>
      </w:pPr>
      <w:r>
        <w:rPr>
          <w:b/>
          <w:color w:val="2F6DB3"/>
          <w:sz w:val="26"/>
        </w:rPr>
        <w:t>Enrollment Transition Data</w:t>
      </w:r>
    </w:p>
    <w:p>
      <w:pPr>
        <w:spacing w:before="40" w:after="80"/>
      </w:pPr>
      <w:r>
        <w:rPr>
          <w:i w:val="0"/>
          <w:color w:val="444444"/>
          <w:sz w:val="21"/>
        </w:rPr>
        <w:t>File: site/incomingmajor_fall2022_csv/Class_of_2026_CPF_vs_SP26.csv  |  925 rows</w:t>
      </w:r>
    </w:p>
    <w:p>
      <w:pPr>
        <w:pStyle w:val="ListBullet"/>
        <w:spacing w:before="20" w:after="20"/>
        <w:ind w:left="360"/>
      </w:pPr>
      <w:r>
        <w:rPr>
          <w:color w:val="444444"/>
          <w:sz w:val="21"/>
        </w:rPr>
        <w:t>Each row represents one student with both a recorded incoming major (CPF semester = first full-time semester) and a recorded graduating major (SP26 = Spring 2026 graduation semester).</w:t>
      </w:r>
    </w:p>
    <w:p>
      <w:pPr>
        <w:pStyle w:val="ListBullet"/>
        <w:spacing w:before="20" w:after="20"/>
        <w:ind w:left="360"/>
      </w:pPr>
      <w:r>
        <w:rPr>
          <w:color w:val="444444"/>
          <w:sz w:val="21"/>
        </w:rPr>
        <w:t>These 925 students form the basis for both mobility dashboards.</w:t>
      </w:r>
    </w:p>
    <w:p>
      <w:pPr>
        <w:pStyle w:val="ListBullet"/>
        <w:spacing w:before="20" w:after="20"/>
        <w:ind w:left="360"/>
      </w:pPr>
      <w:r>
        <w:rPr>
          <w:color w:val="444444"/>
          <w:sz w:val="21"/>
        </w:rPr>
        <w:t>Students who transferred in late, left the university, or had no recorded incoming major are not included.</w:t>
      </w:r>
    </w:p>
    <w:p>
      <w:pPr>
        <w:spacing w:before="240" w:after="40"/>
      </w:pPr>
      <w:r>
        <w:rPr>
          <w:b/>
          <w:color w:val="2F6DB3"/>
          <w:sz w:val="26"/>
        </w:rPr>
        <w:t>Major Grouping File</w:t>
      </w:r>
    </w:p>
    <w:p>
      <w:pPr>
        <w:spacing w:before="40" w:after="80"/>
      </w:pPr>
      <w:r>
        <w:rPr>
          <w:i w:val="0"/>
          <w:color w:val="444444"/>
          <w:sz w:val="21"/>
        </w:rPr>
        <w:t>File: site/incomingmajor_fall2022_csv/major.csv  |  Created manually by project team</w:t>
      </w:r>
    </w:p>
    <w:p>
      <w:pPr>
        <w:pStyle w:val="ListBullet"/>
        <w:spacing w:before="20" w:after="20"/>
        <w:ind w:left="360"/>
      </w:pPr>
      <w:r>
        <w:rPr>
          <w:color w:val="444444"/>
          <w:sz w:val="21"/>
        </w:rPr>
        <w:t>Maps each individual major name to a display group (e.g., Computer Science → CS/DS/DA/Math/Stat) and a college abbreviation (e.g., CAS, OCB, COH).</w:t>
      </w:r>
    </w:p>
    <w:p>
      <w:pPr>
        <w:pStyle w:val="ListBullet"/>
        <w:spacing w:before="20" w:after="20"/>
        <w:ind w:left="360"/>
      </w:pPr>
      <w:r>
        <w:rPr>
          <w:color w:val="444444"/>
          <w:sz w:val="21"/>
        </w:rPr>
        <w:t>Used exclusively by the two mobility dashboards (Steps 7 and 9).</w:t>
      </w:r>
    </w:p>
    <w:p>
      <w:pPr>
        <w:spacing w:before="240" w:after="40"/>
      </w:pPr>
      <w:r>
        <w:rPr>
          <w:b/>
          <w:color w:val="2F6DB3"/>
          <w:sz w:val="26"/>
        </w:rPr>
        <w:t>Baseline Reference Files (inputs/ folder)</w:t>
      </w:r>
    </w:p>
    <w:tbl>
      <w:tblPr>
        <w:tblStyle w:val="TableGrid"/>
        <w:tblW w:type="auto" w:w="0"/>
        <w:jc w:val="left"/>
        <w:tblLook w:firstColumn="1" w:firstRow="1" w:lastColumn="0" w:lastRow="0" w:noHBand="0" w:noVBand="1" w:val="04A0"/>
      </w:tblPr>
      <w:tblGrid>
        <w:gridCol w:w="4703"/>
        <w:gridCol w:w="4703"/>
      </w:tblGrid>
      <w:tr>
        <w:tc>
          <w:tcPr>
            <w:tcW w:type="dxa" w:w="4176"/>
            <w:shd w:val="clear" w:color="auto" w:fill="2F6DB3"/>
          </w:tcPr>
          <w:p>
            <w:r>
              <w:rPr>
                <w:b/>
                <w:color w:val="FFFFFF"/>
                <w:sz w:val="20"/>
              </w:rPr>
              <w:t>File</w:t>
            </w:r>
          </w:p>
        </w:tc>
        <w:tc>
          <w:tcPr>
            <w:tcW w:type="dxa" w:w="5184"/>
            <w:shd w:val="clear" w:color="auto" w:fill="2F6DB3"/>
          </w:tcPr>
          <w:p>
            <w:r>
              <w:rPr>
                <w:b/>
                <w:color w:val="FFFFFF"/>
                <w:sz w:val="20"/>
              </w:rPr>
              <w:t>Purpose</w:t>
            </w:r>
          </w:p>
        </w:tc>
      </w:tr>
      <w:tr>
        <w:tc>
          <w:tcPr>
            <w:tcW w:type="dxa" w:w="4176"/>
            <w:shd w:val="clear" w:color="auto" w:fill="F2F4F8"/>
          </w:tcPr>
          <w:p>
            <w:r>
              <w:rPr>
                <w:color w:val="444444"/>
                <w:sz w:val="20"/>
              </w:rPr>
              <w:t>Major_Job_Cluster_Lookup_Rebuilt_Full_baseline.csv</w:t>
            </w:r>
          </w:p>
        </w:tc>
        <w:tc>
          <w:tcPr>
            <w:tcW w:type="dxa" w:w="5184"/>
            <w:shd w:val="clear" w:color="auto" w:fill="F2F4F8"/>
          </w:tcPr>
          <w:p>
            <w:r>
              <w:rPr>
                <w:color w:val="444444"/>
                <w:sz w:val="20"/>
              </w:rPr>
              <w:t>Row-level lookup of every graduate's major + job title after initial heuristic classification. Input to the major and career cluster consolidation steps.</w:t>
            </w:r>
          </w:p>
        </w:tc>
      </w:tr>
      <w:tr>
        <w:tc>
          <w:tcPr>
            <w:tcW w:type="dxa" w:w="4176"/>
          </w:tcPr>
          <w:p>
            <w:r>
              <w:rPr>
                <w:color w:val="444444"/>
                <w:sz w:val="20"/>
              </w:rPr>
              <w:t>Major_Job_Cluster_Lookup_Filtered_baseline.csv</w:t>
            </w:r>
          </w:p>
        </w:tc>
        <w:tc>
          <w:tcPr>
            <w:tcW w:type="dxa" w:w="5184"/>
          </w:tcPr>
          <w:p>
            <w:r>
              <w:rPr>
                <w:color w:val="444444"/>
                <w:sz w:val="20"/>
              </w:rPr>
              <w:t>Earlier version of the filtered lookup (kept for reference and comparison).</w:t>
            </w:r>
          </w:p>
        </w:tc>
      </w:tr>
      <w:tr>
        <w:tc>
          <w:tcPr>
            <w:tcW w:type="dxa" w:w="4176"/>
            <w:shd w:val="clear" w:color="auto" w:fill="F2F4F8"/>
          </w:tcPr>
          <w:p>
            <w:r>
              <w:rPr>
                <w:color w:val="444444"/>
                <w:sz w:val="20"/>
              </w:rPr>
              <w:t>job_title_categorized.csv</w:t>
            </w:r>
          </w:p>
        </w:tc>
        <w:tc>
          <w:tcPr>
            <w:tcW w:type="dxa" w:w="5184"/>
            <w:shd w:val="clear" w:color="auto" w:fill="F2F4F8"/>
          </w:tcPr>
          <w:p>
            <w:r>
              <w:rPr>
                <w:color w:val="444444"/>
                <w:sz w:val="20"/>
              </w:rPr>
              <w:t>~87 manually reviewed job titles with assigned categories. Overrides heuristic classification for ambiguous titles like 'Associate', 'Analyst', 'Consultant'.</w:t>
            </w:r>
          </w:p>
        </w:tc>
      </w:tr>
      <w:tr>
        <w:tc>
          <w:tcPr>
            <w:tcW w:type="dxa" w:w="4176"/>
          </w:tcPr>
          <w:p>
            <w:r>
              <w:rPr>
                <w:color w:val="444444"/>
                <w:sz w:val="20"/>
              </w:rPr>
              <w:t>Major_Career_Analysis_v4__Cluster_Breakdown.csv</w:t>
            </w:r>
          </w:p>
        </w:tc>
        <w:tc>
          <w:tcPr>
            <w:tcW w:type="dxa" w:w="5184"/>
          </w:tcPr>
          <w:p>
            <w:r>
              <w:rPr>
                <w:color w:val="444444"/>
                <w:sz w:val="20"/>
              </w:rPr>
              <w:t>External major cluster reference from prior analysis project. Input to Step 1.</w:t>
            </w:r>
          </w:p>
        </w:tc>
      </w:tr>
      <w:tr>
        <w:tc>
          <w:tcPr>
            <w:tcW w:type="dxa" w:w="4176"/>
            <w:shd w:val="clear" w:color="auto" w:fill="F2F4F8"/>
          </w:tcPr>
          <w:p>
            <w:r>
              <w:rPr>
                <w:color w:val="444444"/>
                <w:sz w:val="20"/>
              </w:rPr>
              <w:t>Major_Career_Analysis_v4__Career_Analysis.csv</w:t>
            </w:r>
          </w:p>
        </w:tc>
        <w:tc>
          <w:tcPr>
            <w:tcW w:type="dxa" w:w="5184"/>
            <w:shd w:val="clear" w:color="auto" w:fill="F2F4F8"/>
          </w:tcPr>
          <w:p>
            <w:r>
              <w:rPr>
                <w:color w:val="444444"/>
                <w:sz w:val="20"/>
              </w:rPr>
              <w:t>External career cluster reference from prior analysis project. Input to Step 1.</w:t>
            </w:r>
          </w:p>
        </w:tc>
      </w:tr>
    </w:tbl>
    <w:p/>
    <w:p>
      <w:r>
        <w:br w:type="page"/>
      </w:r>
    </w:p>
    <w:p>
      <w:pPr>
        <w:spacing w:before="360" w:after="80"/>
        <w:pBdr>
          <w:bottom w:val="single" w:sz="8" w:space="1" w:color="2F6DB3"/>
        </w:pBdr>
      </w:pPr>
      <w:r>
        <w:rPr>
          <w:b/>
          <w:color w:val="122A52"/>
          <w:sz w:val="32"/>
        </w:rPr>
        <w:t>4. PIPELINE OVERVIEW — 10 STEPS</w:t>
      </w:r>
    </w:p>
    <w:p>
      <w:pPr>
        <w:spacing w:before="40" w:after="80"/>
      </w:pPr>
      <w:r>
        <w:rPr>
          <w:i w:val="0"/>
          <w:color w:val="444444"/>
          <w:sz w:val="21"/>
        </w:rPr>
        <w:t>The pipeline converts raw Excel/CSV data into pre-rendered SVG images embedded in the three dashboard HTML files. It is divided into three tracks:</w:t>
      </w:r>
    </w:p>
    <w:p>
      <w:pPr>
        <w:pStyle w:val="ListBullet"/>
        <w:spacing w:before="20" w:after="20"/>
        <w:ind w:left="360"/>
      </w:pPr>
      <w:r>
        <w:rPr>
          <w:color w:val="444444"/>
          <w:sz w:val="21"/>
        </w:rPr>
        <w:t>Career track (Steps 1–6): raw survey → classified lookup → Circos config → SVG → career dashboard</w:t>
      </w:r>
    </w:p>
    <w:p>
      <w:pPr>
        <w:pStyle w:val="ListBullet"/>
        <w:spacing w:before="20" w:after="20"/>
        <w:ind w:left="360"/>
      </w:pPr>
      <w:r>
        <w:rPr>
          <w:color w:val="444444"/>
          <w:sz w:val="21"/>
        </w:rPr>
        <w:t>Industry mobility track (Steps 7–8): enrollment CSV → Circos config → SVG → industry dashboard</w:t>
      </w:r>
    </w:p>
    <w:p>
      <w:pPr>
        <w:pStyle w:val="ListBullet"/>
        <w:spacing w:before="20" w:after="20"/>
        <w:ind w:left="360"/>
      </w:pPr>
      <w:r>
        <w:rPr>
          <w:color w:val="444444"/>
          <w:sz w:val="21"/>
        </w:rPr>
        <w:t>College mobility track (Steps 9–10): same enrollment CSV → Circos config → SVG → college dashboard</w:t>
      </w:r>
    </w:p>
    <w:p>
      <w:pPr>
        <w:spacing w:before="40" w:after="80"/>
      </w:pPr>
      <w:r>
        <w:rPr>
          <w:i/>
          <w:color w:val="444444"/>
          <w:sz w:val="21"/>
        </w:rPr>
        <w:t>Run all steps at once with:  python run_pipeline.py</w:t>
      </w:r>
    </w:p>
    <w:p>
      <w:pPr>
        <w:spacing w:before="240" w:after="40"/>
      </w:pPr>
      <w:r>
        <w:rPr>
          <w:b/>
          <w:color w:val="2F6DB3"/>
          <w:sz w:val="26"/>
        </w:rPr>
        <w:t>Step-by-Step Reference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F6DB3"/>
          </w:tcPr>
          <w:p>
            <w:r>
              <w:rPr>
                <w:b/>
                <w:color w:val="FFFFFF"/>
                <w:sz w:val="20"/>
              </w:rPr>
              <w:t>Script</w:t>
            </w:r>
          </w:p>
        </w:tc>
        <w:tc>
          <w:tcPr>
            <w:tcW w:type="dxa" w:w="3135"/>
            <w:shd w:val="clear" w:color="auto" w:fill="2F6DB3"/>
          </w:tcPr>
          <w:p>
            <w:r>
              <w:rPr>
                <w:b/>
                <w:color w:val="FFFFFF"/>
                <w:sz w:val="20"/>
              </w:rPr>
              <w:t>Input</w:t>
            </w:r>
          </w:p>
        </w:tc>
        <w:tc>
          <w:tcPr>
            <w:tcW w:type="dxa" w:w="3135"/>
            <w:shd w:val="clear" w:color="auto" w:fill="2F6DB3"/>
          </w:tcPr>
          <w:p>
            <w:r>
              <w:rPr>
                <w:b/>
                <w:color w:val="FFFFFF"/>
                <w:sz w:val="20"/>
              </w:rPr>
              <w:t>What it does</w:t>
            </w:r>
          </w:p>
        </w:tc>
      </w:tr>
      <w:tr>
        <w:tc>
          <w:tcPr>
            <w:tcW w:type="dxa" w:w="3135"/>
            <w:shd w:val="clear" w:color="auto" w:fill="F2F4F8"/>
          </w:tcPr>
          <w:p>
            <w:r>
              <w:rPr>
                <w:color w:val="444444"/>
                <w:sz w:val="20"/>
              </w:rPr>
              <w:t>Step 01</w:t>
              <w:br/>
              <w:t>01_rebuild_cluster_lookup.py</w:t>
            </w:r>
          </w:p>
        </w:tc>
        <w:tc>
          <w:tcPr>
            <w:tcW w:type="dxa" w:w="3135"/>
            <w:shd w:val="clear" w:color="auto" w:fill="F2F4F8"/>
          </w:tcPr>
          <w:p>
            <w:r>
              <w:rPr>
                <w:color w:val="444444"/>
                <w:sz w:val="20"/>
              </w:rPr>
              <w:t>career_survey_data.xlsx +</w:t>
              <w:br/>
              <w:t>external cluster CSVs</w:t>
            </w:r>
          </w:p>
        </w:tc>
        <w:tc>
          <w:tcPr>
            <w:tcW w:type="dxa" w:w="3135"/>
            <w:shd w:val="clear" w:color="auto" w:fill="F2F4F8"/>
          </w:tcPr>
          <w:p>
            <w:r>
              <w:rPr>
                <w:color w:val="444444"/>
                <w:sz w:val="20"/>
              </w:rPr>
              <w:t>Reads every graduate row from Excel. Classifies each major using a reference table plus alias overrides. Classifies each job title using exact match → normalized match → keyword heuristic rules. Outputs a full row-level lookup and a filtered version (rows with both major and career classified, non-blank job title).</w:t>
            </w:r>
          </w:p>
        </w:tc>
      </w:tr>
      <w:tr>
        <w:tc>
          <w:tcPr>
            <w:tcW w:type="dxa" w:w="3135"/>
          </w:tcPr>
          <w:p>
            <w:r>
              <w:rPr>
                <w:color w:val="444444"/>
                <w:sz w:val="20"/>
              </w:rPr>
              <w:t>Step 02</w:t>
              <w:br/>
              <w:t>02_remap_major_clusters.py</w:t>
            </w:r>
          </w:p>
        </w:tc>
        <w:tc>
          <w:tcPr>
            <w:tcW w:type="dxa" w:w="3135"/>
          </w:tcPr>
          <w:p>
            <w:r>
              <w:rPr>
                <w:color w:val="444444"/>
                <w:sz w:val="20"/>
              </w:rPr>
              <w:t>inputs/Major_Job_Cluster_Lookup_</w:t>
              <w:br/>
              <w:t>Rebuilt_Full_baseline.csv</w:t>
            </w:r>
          </w:p>
        </w:tc>
        <w:tc>
          <w:tcPr>
            <w:tcW w:type="dxa" w:w="3135"/>
          </w:tcPr>
          <w:p>
            <w:r>
              <w:rPr>
                <w:color w:val="444444"/>
                <w:sz w:val="20"/>
              </w:rPr>
              <w:t>Consolidates 24 raw major cluster names into 13 display clusters grouped under 4 large academic families: Engineering/Science, Business, Humanities, Social Sciences.</w:t>
            </w:r>
          </w:p>
        </w:tc>
      </w:tr>
      <w:tr>
        <w:tc>
          <w:tcPr>
            <w:tcW w:type="dxa" w:w="3135"/>
            <w:shd w:val="clear" w:color="auto" w:fill="F2F4F8"/>
          </w:tcPr>
          <w:p>
            <w:r>
              <w:rPr>
                <w:color w:val="444444"/>
                <w:sz w:val="20"/>
              </w:rPr>
              <w:t>Step 03</w:t>
              <w:br/>
              <w:t>03_remap_career_clusters.py</w:t>
            </w:r>
          </w:p>
        </w:tc>
        <w:tc>
          <w:tcPr>
            <w:tcW w:type="dxa" w:w="3135"/>
            <w:shd w:val="clear" w:color="auto" w:fill="F2F4F8"/>
          </w:tcPr>
          <w:p>
            <w:r>
              <w:rPr>
                <w:color w:val="444444"/>
                <w:sz w:val="20"/>
              </w:rPr>
              <w:t>outputs/lookup/</w:t>
              <w:br/>
              <w:t>Major_Job_Cluster_Lookup_v2_full.csv</w:t>
            </w:r>
          </w:p>
        </w:tc>
        <w:tc>
          <w:tcPr>
            <w:tcW w:type="dxa" w:w="3135"/>
            <w:shd w:val="clear" w:color="auto" w:fill="F2F4F8"/>
          </w:tcPr>
          <w:p>
            <w:r>
              <w:rPr>
                <w:color w:val="444444"/>
                <w:sz w:val="20"/>
              </w:rPr>
              <w:t>Consolidates 14 raw career clusters into 8 display clusters. Applies manual overrides from job_title_categorized.csv before fallback rules. Produces the final production lookup: Major_Job_Cluster_Lookup_v2_filtered_career_merged.csv.</w:t>
            </w:r>
          </w:p>
        </w:tc>
      </w:tr>
      <w:tr>
        <w:tc>
          <w:tcPr>
            <w:tcW w:type="dxa" w:w="3135"/>
          </w:tcPr>
          <w:p>
            <w:r>
              <w:rPr>
                <w:color w:val="444444"/>
                <w:sz w:val="20"/>
              </w:rPr>
              <w:t>Step 04</w:t>
              <w:br/>
              <w:t>04_generate_circos_data_career.py</w:t>
            </w:r>
          </w:p>
        </w:tc>
        <w:tc>
          <w:tcPr>
            <w:tcW w:type="dxa" w:w="3135"/>
          </w:tcPr>
          <w:p>
            <w:r>
              <w:rPr>
                <w:color w:val="444444"/>
                <w:sz w:val="20"/>
              </w:rPr>
              <w:t>outputs/lookup/</w:t>
              <w:br/>
              <w:t>...v2_filtered_career_merged.csv</w:t>
            </w:r>
          </w:p>
        </w:tc>
        <w:tc>
          <w:tcPr>
            <w:tcW w:type="dxa" w:w="3135"/>
          </w:tcPr>
          <w:p>
            <w:r>
              <w:rPr>
                <w:color w:val="444444"/>
                <w:sz w:val="20"/>
              </w:rPr>
              <w:t>Converts the lookup CSV into Circos input format: karyotype.txt (arc sizes and colors), links.txt (ribbon connections), circos.conf (master config), colors.conf. Applies the v3 arc ordering to minimize ribbon crossings.</w:t>
            </w:r>
          </w:p>
        </w:tc>
      </w:tr>
      <w:tr>
        <w:tc>
          <w:tcPr>
            <w:tcW w:type="dxa" w:w="3135"/>
            <w:shd w:val="clear" w:color="auto" w:fill="F2F4F8"/>
          </w:tcPr>
          <w:p>
            <w:r>
              <w:rPr>
                <w:color w:val="444444"/>
                <w:sz w:val="20"/>
              </w:rPr>
              <w:t>Step 05</w:t>
              <w:br/>
              <w:t>05_taper_ribbon_svg.py</w:t>
            </w:r>
          </w:p>
        </w:tc>
        <w:tc>
          <w:tcPr>
            <w:tcW w:type="dxa" w:w="3135"/>
            <w:shd w:val="clear" w:color="auto" w:fill="F2F4F8"/>
          </w:tcPr>
          <w:p>
            <w:r>
              <w:rPr>
                <w:color w:val="444444"/>
                <w:sz w:val="20"/>
              </w:rPr>
              <w:t>Raw SVG from Circos</w:t>
              <w:br/>
              <w:t>(Step 04 output)</w:t>
            </w:r>
          </w:p>
        </w:tc>
        <w:tc>
          <w:tcPr>
            <w:tcW w:type="dxa" w:w="3135"/>
            <w:shd w:val="clear" w:color="auto" w:fill="F2F4F8"/>
          </w:tcPr>
          <w:p>
            <w:r>
              <w:rPr>
                <w:color w:val="444444"/>
                <w:sz w:val="20"/>
              </w:rPr>
              <w:t>Post-processes the Circos SVG to taper ribbon paths — ribbons narrow to 28% of their endpoint width at the midpoint, then widen again. Also replaces Circos bitmap font references with Segoe UI system fonts and applies bold weight to arc labels.</w:t>
            </w:r>
          </w:p>
        </w:tc>
      </w:tr>
      <w:tr>
        <w:tc>
          <w:tcPr>
            <w:tcW w:type="dxa" w:w="3135"/>
          </w:tcPr>
          <w:p>
            <w:r>
              <w:rPr>
                <w:color w:val="444444"/>
                <w:sz w:val="20"/>
              </w:rPr>
              <w:t>Step 06</w:t>
              <w:br/>
              <w:t>06_generate_career_focus_svgs.py</w:t>
            </w:r>
          </w:p>
        </w:tc>
        <w:tc>
          <w:tcPr>
            <w:tcW w:type="dxa" w:w="3135"/>
          </w:tcPr>
          <w:p>
            <w:r>
              <w:rPr>
                <w:color w:val="444444"/>
                <w:sz w:val="20"/>
              </w:rPr>
              <w:t>Tapered SVG from Step 05</w:t>
            </w:r>
          </w:p>
        </w:tc>
        <w:tc>
          <w:tcPr>
            <w:tcW w:type="dxa" w:w="3135"/>
          </w:tcPr>
          <w:p>
            <w:r>
              <w:rPr>
                <w:color w:val="444444"/>
                <w:sz w:val="20"/>
              </w:rPr>
              <w:t>Produces 22 SVG files: one overall diagram, 13 per-major-cluster views, and 8 per-career-cluster views. Each focus SVG is the full diagram with all ribbons except the selected cluster's ribbons set to transparent. Copies to site/v3_ordered_images/.</w:t>
            </w:r>
          </w:p>
        </w:tc>
      </w:tr>
      <w:tr>
        <w:tc>
          <w:tcPr>
            <w:tcW w:type="dxa" w:w="3135"/>
            <w:shd w:val="clear" w:color="auto" w:fill="F2F4F8"/>
          </w:tcPr>
          <w:p>
            <w:r>
              <w:rPr>
                <w:color w:val="444444"/>
                <w:sz w:val="20"/>
              </w:rPr>
              <w:t>Step 07</w:t>
              <w:br/>
              <w:t>07_generate_circos_data_industry.py</w:t>
            </w:r>
          </w:p>
        </w:tc>
        <w:tc>
          <w:tcPr>
            <w:tcW w:type="dxa" w:w="3135"/>
            <w:shd w:val="clear" w:color="auto" w:fill="F2F4F8"/>
          </w:tcPr>
          <w:p>
            <w:r>
              <w:rPr>
                <w:color w:val="444444"/>
                <w:sz w:val="20"/>
              </w:rPr>
              <w:t>Class_of_2026_CPF_vs_SP26.csv</w:t>
              <w:br/>
              <w:t>+ major.csv</w:t>
            </w:r>
          </w:p>
        </w:tc>
        <w:tc>
          <w:tcPr>
            <w:tcW w:type="dxa" w:w="3135"/>
            <w:shd w:val="clear" w:color="auto" w:fill="F2F4F8"/>
          </w:tcPr>
          <w:p>
            <w:r>
              <w:rPr>
                <w:color w:val="444444"/>
                <w:sz w:val="20"/>
              </w:rPr>
              <w:t>Groups incoming and graduating majors into 14 industry-style display groups. Counts student transitions between each pair of groups. Generates Circos config files in outputs/renders/incoming_grad_grouped_latest/.</w:t>
            </w:r>
          </w:p>
        </w:tc>
      </w:tr>
      <w:tr>
        <w:tc>
          <w:tcPr>
            <w:tcW w:type="dxa" w:w="3135"/>
          </w:tcPr>
          <w:p>
            <w:r>
              <w:rPr>
                <w:color w:val="444444"/>
                <w:sz w:val="20"/>
              </w:rPr>
              <w:t>Step 08</w:t>
              <w:br/>
              <w:t>08_generate_industry_focus_svgs.py</w:t>
            </w:r>
          </w:p>
        </w:tc>
        <w:tc>
          <w:tcPr>
            <w:tcW w:type="dxa" w:w="3135"/>
          </w:tcPr>
          <w:p>
            <w:r>
              <w:rPr>
                <w:color w:val="444444"/>
                <w:sz w:val="20"/>
              </w:rPr>
              <w:t>Main SVG from Step 07</w:t>
            </w:r>
          </w:p>
        </w:tc>
        <w:tc>
          <w:tcPr>
            <w:tcW w:type="dxa" w:w="3135"/>
          </w:tcPr>
          <w:p>
            <w:r>
              <w:rPr>
                <w:color w:val="444444"/>
                <w:sz w:val="20"/>
              </w:rPr>
              <w:t>Produces 27 SVG files: overall + 13 incoming group views + 13 graduating group views. Copies to site/incoming_grad_grouped_dashboard_images/.</w:t>
            </w:r>
          </w:p>
        </w:tc>
      </w:tr>
      <w:tr>
        <w:tc>
          <w:tcPr>
            <w:tcW w:type="dxa" w:w="3135"/>
            <w:shd w:val="clear" w:color="auto" w:fill="F2F4F8"/>
          </w:tcPr>
          <w:p>
            <w:r>
              <w:rPr>
                <w:color w:val="444444"/>
                <w:sz w:val="20"/>
              </w:rPr>
              <w:t>Step 09</w:t>
              <w:br/>
              <w:t>09_generate_circos_data_college.py</w:t>
            </w:r>
          </w:p>
        </w:tc>
        <w:tc>
          <w:tcPr>
            <w:tcW w:type="dxa" w:w="3135"/>
            <w:shd w:val="clear" w:color="auto" w:fill="F2F4F8"/>
          </w:tcPr>
          <w:p>
            <w:r>
              <w:rPr>
                <w:color w:val="444444"/>
                <w:sz w:val="20"/>
              </w:rPr>
              <w:t>Class_of_2026_CPF_vs_SP26.csv</w:t>
              <w:br/>
              <w:t>+ major.csv</w:t>
            </w:r>
          </w:p>
        </w:tc>
        <w:tc>
          <w:tcPr>
            <w:tcW w:type="dxa" w:w="3135"/>
            <w:shd w:val="clear" w:color="auto" w:fill="F2F4F8"/>
          </w:tcPr>
          <w:p>
            <w:r>
              <w:rPr>
                <w:color w:val="444444"/>
                <w:sz w:val="20"/>
              </w:rPr>
              <w:t>Same logic as Step 07 but groups students by college (OCB, CAS, EDUC, COH, SOE, Other) rather than industry group. Generates config in outputs/renders/incoming_grad_grouped_college_latest/.</w:t>
            </w:r>
          </w:p>
        </w:tc>
      </w:tr>
      <w:tr>
        <w:tc>
          <w:tcPr>
            <w:tcW w:type="dxa" w:w="3135"/>
          </w:tcPr>
          <w:p>
            <w:r>
              <w:rPr>
                <w:color w:val="444444"/>
                <w:sz w:val="20"/>
              </w:rPr>
              <w:t>Step 10</w:t>
              <w:br/>
              <w:t>10_generate_college_focus_svgs.py</w:t>
            </w:r>
          </w:p>
        </w:tc>
        <w:tc>
          <w:tcPr>
            <w:tcW w:type="dxa" w:w="3135"/>
          </w:tcPr>
          <w:p>
            <w:r>
              <w:rPr>
                <w:color w:val="444444"/>
                <w:sz w:val="20"/>
              </w:rPr>
              <w:t>Main SVG from Step 09</w:t>
            </w:r>
          </w:p>
        </w:tc>
        <w:tc>
          <w:tcPr>
            <w:tcW w:type="dxa" w:w="3135"/>
          </w:tcPr>
          <w:p>
            <w:r>
              <w:rPr>
                <w:color w:val="444444"/>
                <w:sz w:val="20"/>
              </w:rPr>
              <w:t>Produces 38 SVG files: overall + per-college incoming/graduating views + per-group views. Copies to site/incoming_grad_grouped_college_dashboard_images/.</w:t>
            </w:r>
          </w:p>
        </w:tc>
      </w:tr>
    </w:tbl>
    <w:p/>
    <w:p>
      <w:pPr>
        <w:spacing w:before="240" w:after="40"/>
      </w:pPr>
      <w:r>
        <w:rPr>
          <w:b/>
          <w:color w:val="2F6DB3"/>
          <w:sz w:val="26"/>
        </w:rPr>
        <w:t>Visual Pipeline Map</w:t>
      </w:r>
    </w:p>
    <w:p>
      <w:pPr>
        <w:spacing w:before="40" w:after="80"/>
      </w:pPr>
      <w:r>
        <w:rPr>
          <w:i w:val="0"/>
          <w:color w:val="444444"/>
          <w:sz w:val="21"/>
        </w:rPr>
        <w:t>The diagram below shows the complete data flow from raw input files through all 10 pipeline steps to the three HTML dashboards.</w:t>
      </w:r>
    </w:p>
    <w:p>
      <w:pPr>
        <w:jc w:val="center"/>
      </w:pPr>
      <w:r>
        <w:drawing>
          <wp:inline xmlns:a="http://schemas.openxmlformats.org/drawingml/2006/main" xmlns:pic="http://schemas.openxmlformats.org/drawingml/2006/picture">
            <wp:extent cx="5943600" cy="3869997"/>
            <wp:docPr id="2" name="Picture 2"/>
            <wp:cNvGraphicFramePr>
              <a:graphicFrameLocks noChangeAspect="1"/>
            </wp:cNvGraphicFramePr>
            <a:graphic>
              <a:graphicData uri="http://schemas.openxmlformats.org/drawingml/2006/picture">
                <pic:pic>
                  <pic:nvPicPr>
                    <pic:cNvPr id="0" name="pipeline_flow.png"/>
                    <pic:cNvPicPr/>
                  </pic:nvPicPr>
                  <pic:blipFill>
                    <a:blip r:embed="rId10"/>
                    <a:stretch>
                      <a:fillRect/>
                    </a:stretch>
                  </pic:blipFill>
                  <pic:spPr>
                    <a:xfrm>
                      <a:off x="0" y="0"/>
                      <a:ext cx="5943600" cy="3869997"/>
                    </a:xfrm>
                    <a:prstGeom prst="rect"/>
                  </pic:spPr>
                </pic:pic>
              </a:graphicData>
            </a:graphic>
          </wp:inline>
        </w:drawing>
      </w:r>
    </w:p>
    <w:p/>
    <w:p>
      <w:r>
        <w:br w:type="page"/>
      </w:r>
    </w:p>
    <w:p>
      <w:pPr>
        <w:spacing w:before="360" w:after="80"/>
        <w:pBdr>
          <w:bottom w:val="single" w:sz="8" w:space="1" w:color="2F6DB3"/>
        </w:pBdr>
      </w:pPr>
      <w:r>
        <w:rPr>
          <w:b/>
          <w:color w:val="122A52"/>
          <w:sz w:val="32"/>
        </w:rPr>
        <w:t>5. DATA CLEANING AND CLUSTERING DECISIONS</w:t>
      </w:r>
    </w:p>
    <w:p>
      <w:pPr>
        <w:spacing w:before="40" w:after="80"/>
      </w:pPr>
      <w:r>
        <w:rPr>
          <w:i w:val="0"/>
          <w:color w:val="444444"/>
          <w:sz w:val="21"/>
        </w:rPr>
        <w:t>Every significant decision in the data pipeline is documented below. These decisions were made collaboratively during the project and represent the rationale that should be reviewed when new cohort data arrives.</w:t>
      </w:r>
    </w:p>
    <w:p>
      <w:pPr>
        <w:spacing w:before="240" w:after="40"/>
      </w:pPr>
      <w:r>
        <w:rPr>
          <w:b/>
          <w:color w:val="2F6DB3"/>
          <w:sz w:val="26"/>
        </w:rPr>
        <w:t>Decision 1 — What counts as a classifiable record?</w:t>
      </w:r>
    </w:p>
    <w:p>
      <w:pPr>
        <w:spacing w:before="40" w:after="80"/>
      </w:pPr>
      <w:r>
        <w:rPr>
          <w:i w:val="0"/>
          <w:color w:val="444444"/>
          <w:sz w:val="21"/>
        </w:rPr>
        <w:t>A graduate's record is included in the career dashboard if and only if: (a) their major matched a cluster, AND (b) their job title field is not blank, AND (c) the job title was classified into a non-Other career cluster.</w:t>
      </w:r>
    </w:p>
    <w:p>
      <w:pPr>
        <w:pStyle w:val="ListBullet"/>
        <w:spacing w:before="20" w:after="20"/>
        <w:ind w:left="360"/>
      </w:pPr>
      <w:r>
        <w:rPr>
          <w:color w:val="444444"/>
          <w:sz w:val="21"/>
        </w:rPr>
        <w:t>1,338 of 4,129 rows had no job title → excluded (cannot infer career from blank).</w:t>
      </w:r>
    </w:p>
    <w:p>
      <w:pPr>
        <w:pStyle w:val="ListBullet"/>
        <w:spacing w:before="20" w:after="20"/>
        <w:ind w:left="360"/>
      </w:pPr>
      <w:r>
        <w:rPr>
          <w:color w:val="444444"/>
          <w:sz w:val="21"/>
        </w:rPr>
        <w:t>~89 rows had job titles that could not be classified after all heuristics → excluded from dashboard but retained in the full lookup CSV for reference.</w:t>
      </w:r>
    </w:p>
    <w:p>
      <w:pPr>
        <w:pStyle w:val="ListBullet"/>
        <w:spacing w:before="20" w:after="20"/>
        <w:ind w:left="360"/>
      </w:pPr>
      <w:r>
        <w:rPr>
          <w:color w:val="444444"/>
          <w:sz w:val="21"/>
        </w:rPr>
        <w:t>Result: 2,682 graduates appear on the career dashboard out of 4,129 total responses.</w:t>
      </w:r>
    </w:p>
    <w:p>
      <w:pPr>
        <w:spacing w:before="240" w:after="40"/>
      </w:pPr>
      <w:r>
        <w:rPr>
          <w:b/>
          <w:color w:val="2F6DB3"/>
          <w:sz w:val="26"/>
        </w:rPr>
        <w:t>Decision 2 — Why rebuild the lookup from scratch?</w:t>
      </w:r>
    </w:p>
    <w:p>
      <w:pPr>
        <w:spacing w:before="40" w:after="80"/>
      </w:pPr>
      <w:r>
        <w:rPr>
          <w:i w:val="0"/>
          <w:color w:val="444444"/>
          <w:sz w:val="21"/>
        </w:rPr>
        <w:t>The original pre-existing lookup table covered only ~1,078 exact job title matches out of thousands of raw titles, producing only ~1,100 classified records. A three-tier classification was built: exact match → normalized match (strip punctuation/case) → keyword heuristic rules. This raised classified records to 2,682.</w:t>
      </w:r>
    </w:p>
    <w:p>
      <w:pPr>
        <w:spacing w:before="40" w:after="120"/>
        <w:ind w:left="432"/>
      </w:pPr>
      <w:r>
        <w:rPr>
          <w:i/>
          <w:color w:val="555555"/>
          <w:sz w:val="20"/>
        </w:rPr>
        <w:t>ℹ  Risk: keyword heuristics can misclassify edge cases (e.g., 'research analyst' at a bank classified as Research &amp; Science instead of Finance). This was an accepted trade-off: coverage was prioritized over precision for a public aggregate visualization.</w:t>
      </w:r>
    </w:p>
    <w:p>
      <w:pPr>
        <w:spacing w:before="240" w:after="40"/>
      </w:pPr>
      <w:r>
        <w:rPr>
          <w:b/>
          <w:color w:val="2F6DB3"/>
          <w:sz w:val="26"/>
        </w:rPr>
        <w:t>Decision 3 — Economics is Social Science, not Business</w:t>
      </w:r>
    </w:p>
    <w:p>
      <w:pPr>
        <w:spacing w:before="40" w:after="80"/>
      </w:pPr>
      <w:r>
        <w:rPr>
          <w:i w:val="0"/>
          <w:color w:val="444444"/>
          <w:sz w:val="21"/>
        </w:rPr>
        <w:t>All Economics variants (Economics, Economics - Business, Economics - International, Economics - Mathematical, Economics - Public Policy) were placed in SOCIAL SCIENCES &amp; EDUCATION, not in BUSINESS &amp; MANAGEMENT.</w:t>
      </w:r>
    </w:p>
    <w:p>
      <w:pPr>
        <w:pStyle w:val="ListBullet"/>
        <w:spacing w:before="20" w:after="20"/>
        <w:ind w:left="360"/>
      </w:pPr>
      <w:r>
        <w:rPr>
          <w:color w:val="444444"/>
          <w:sz w:val="21"/>
        </w:rPr>
        <w:t>Gonzaga Economics is taught in the College of Arts &amp; Sciences, not the School of Business.</w:t>
      </w:r>
    </w:p>
    <w:p>
      <w:pPr>
        <w:pStyle w:val="ListBullet"/>
        <w:spacing w:before="20" w:after="20"/>
        <w:ind w:left="360"/>
      </w:pPr>
      <w:r>
        <w:rPr>
          <w:color w:val="444444"/>
          <w:sz w:val="21"/>
        </w:rPr>
        <w:t>US News and Carnegie Classification both categorize Economics as Social Science.</w:t>
      </w:r>
    </w:p>
    <w:p>
      <w:pPr>
        <w:pStyle w:val="ListBullet"/>
        <w:spacing w:before="20" w:after="20"/>
        <w:ind w:left="360"/>
      </w:pPr>
      <w:r>
        <w:rPr>
          <w:color w:val="444444"/>
          <w:sz w:val="21"/>
        </w:rPr>
        <w:t>Merging Economics into Business would inflate the Business arc artificially.</w:t>
      </w:r>
    </w:p>
    <w:p>
      <w:pPr>
        <w:spacing w:before="240" w:after="40"/>
      </w:pPr>
      <w:r>
        <w:rPr>
          <w:b/>
          <w:color w:val="2F6DB3"/>
          <w:sz w:val="26"/>
        </w:rPr>
        <w:t>Decision 4 — Major cluster consolidation (24 → 13 display clusters)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F6DB3"/>
          </w:tcPr>
          <w:p>
            <w:r>
              <w:rPr>
                <w:b/>
                <w:color w:val="FFFFFF"/>
                <w:sz w:val="20"/>
              </w:rPr>
              <w:t>Raw cluster(s) merged</w:t>
            </w:r>
          </w:p>
        </w:tc>
        <w:tc>
          <w:tcPr>
            <w:tcW w:type="dxa" w:w="3135"/>
            <w:shd w:val="clear" w:color="auto" w:fill="2F6DB3"/>
          </w:tcPr>
          <w:p>
            <w:r>
              <w:rPr>
                <w:b/>
                <w:color w:val="FFFFFF"/>
                <w:sz w:val="20"/>
              </w:rPr>
              <w:t>Display cluster</w:t>
            </w:r>
          </w:p>
        </w:tc>
        <w:tc>
          <w:tcPr>
            <w:tcW w:type="dxa" w:w="3135"/>
            <w:shd w:val="clear" w:color="auto" w:fill="2F6DB3"/>
          </w:tcPr>
          <w:p>
            <w:r>
              <w:rPr>
                <w:b/>
                <w:color w:val="FFFFFF"/>
                <w:sz w:val="20"/>
              </w:rPr>
              <w:t>Large family</w:t>
            </w:r>
          </w:p>
        </w:tc>
      </w:tr>
      <w:tr>
        <w:tc>
          <w:tcPr>
            <w:tcW w:type="dxa" w:w="3135"/>
            <w:shd w:val="clear" w:color="auto" w:fill="F2F4F8"/>
          </w:tcPr>
          <w:p>
            <w:r>
              <w:rPr>
                <w:color w:val="444444"/>
                <w:sz w:val="20"/>
              </w:rPr>
              <w:t>Engineering Disciplines</w:t>
            </w:r>
          </w:p>
        </w:tc>
        <w:tc>
          <w:tcPr>
            <w:tcW w:type="dxa" w:w="3135"/>
            <w:shd w:val="clear" w:color="auto" w:fill="F2F4F8"/>
          </w:tcPr>
          <w:p>
            <w:r>
              <w:rPr>
                <w:color w:val="444444"/>
                <w:sz w:val="20"/>
              </w:rPr>
              <w:t>Engineering</w:t>
            </w:r>
          </w:p>
        </w:tc>
        <w:tc>
          <w:tcPr>
            <w:tcW w:type="dxa" w:w="3135"/>
            <w:shd w:val="clear" w:color="auto" w:fill="F2F4F8"/>
          </w:tcPr>
          <w:p>
            <w:r>
              <w:rPr>
                <w:color w:val="444444"/>
                <w:sz w:val="20"/>
              </w:rPr>
              <w:t>ENGINEERING, SCIENCE &amp; TECH</w:t>
            </w:r>
          </w:p>
        </w:tc>
      </w:tr>
      <w:tr>
        <w:tc>
          <w:tcPr>
            <w:tcW w:type="dxa" w:w="3135"/>
          </w:tcPr>
          <w:p>
            <w:r>
              <w:rPr>
                <w:color w:val="444444"/>
                <w:sz w:val="20"/>
              </w:rPr>
              <w:t>Computer Science &amp; IT</w:t>
            </w:r>
          </w:p>
        </w:tc>
        <w:tc>
          <w:tcPr>
            <w:tcW w:type="dxa" w:w="3135"/>
          </w:tcPr>
          <w:p>
            <w:r>
              <w:rPr>
                <w:color w:val="444444"/>
                <w:sz w:val="20"/>
              </w:rPr>
              <w:t>Computer Science &amp; IT</w:t>
            </w:r>
          </w:p>
        </w:tc>
        <w:tc>
          <w:tcPr>
            <w:tcW w:type="dxa" w:w="3135"/>
          </w:tcPr>
          <w:p>
            <w:r>
              <w:rPr>
                <w:color w:val="444444"/>
                <w:sz w:val="20"/>
              </w:rPr>
              <w:t>ENGINEERING, SCIENCE &amp; TECH</w:t>
            </w:r>
          </w:p>
        </w:tc>
      </w:tr>
      <w:tr>
        <w:tc>
          <w:tcPr>
            <w:tcW w:type="dxa" w:w="3135"/>
            <w:shd w:val="clear" w:color="auto" w:fill="F2F4F8"/>
          </w:tcPr>
          <w:p>
            <w:r>
              <w:rPr>
                <w:color w:val="444444"/>
                <w:sz w:val="20"/>
              </w:rPr>
              <w:t>Biological Sciences + Health &amp; Wellness</w:t>
            </w:r>
          </w:p>
        </w:tc>
        <w:tc>
          <w:tcPr>
            <w:tcW w:type="dxa" w:w="3135"/>
            <w:shd w:val="clear" w:color="auto" w:fill="F2F4F8"/>
          </w:tcPr>
          <w:p>
            <w:r>
              <w:rPr>
                <w:color w:val="444444"/>
                <w:sz w:val="20"/>
              </w:rPr>
              <w:t>Biological &amp; Health Sciences</w:t>
            </w:r>
          </w:p>
        </w:tc>
        <w:tc>
          <w:tcPr>
            <w:tcW w:type="dxa" w:w="3135"/>
            <w:shd w:val="clear" w:color="auto" w:fill="F2F4F8"/>
          </w:tcPr>
          <w:p>
            <w:r>
              <w:rPr>
                <w:color w:val="444444"/>
                <w:sz w:val="20"/>
              </w:rPr>
              <w:t>ENGINEERING, SCIENCE &amp; TECH</w:t>
            </w:r>
          </w:p>
        </w:tc>
      </w:tr>
      <w:tr>
        <w:tc>
          <w:tcPr>
            <w:tcW w:type="dxa" w:w="3135"/>
          </w:tcPr>
          <w:p>
            <w:r>
              <w:rPr>
                <w:color w:val="444444"/>
                <w:sz w:val="20"/>
              </w:rPr>
              <w:t>Physical Sciences + Environmental Sciences</w:t>
            </w:r>
          </w:p>
        </w:tc>
        <w:tc>
          <w:tcPr>
            <w:tcW w:type="dxa" w:w="3135"/>
          </w:tcPr>
          <w:p>
            <w:r>
              <w:rPr>
                <w:color w:val="444444"/>
                <w:sz w:val="20"/>
              </w:rPr>
              <w:t>Physical &amp; Environmental Sciences</w:t>
            </w:r>
          </w:p>
        </w:tc>
        <w:tc>
          <w:tcPr>
            <w:tcW w:type="dxa" w:w="3135"/>
          </w:tcPr>
          <w:p>
            <w:r>
              <w:rPr>
                <w:color w:val="444444"/>
                <w:sz w:val="20"/>
              </w:rPr>
              <w:t>ENGINEERING, SCIENCE &amp; TECH</w:t>
            </w:r>
          </w:p>
        </w:tc>
      </w:tr>
      <w:tr>
        <w:tc>
          <w:tcPr>
            <w:tcW w:type="dxa" w:w="3135"/>
            <w:shd w:val="clear" w:color="auto" w:fill="F2F4F8"/>
          </w:tcPr>
          <w:p>
            <w:r>
              <w:rPr>
                <w:color w:val="444444"/>
                <w:sz w:val="20"/>
              </w:rPr>
              <w:t>Finance &amp; Accounting</w:t>
            </w:r>
          </w:p>
        </w:tc>
        <w:tc>
          <w:tcPr>
            <w:tcW w:type="dxa" w:w="3135"/>
            <w:shd w:val="clear" w:color="auto" w:fill="F2F4F8"/>
          </w:tcPr>
          <w:p>
            <w:r>
              <w:rPr>
                <w:color w:val="444444"/>
                <w:sz w:val="20"/>
              </w:rPr>
              <w:t>Finance &amp; Accounting</w:t>
            </w:r>
          </w:p>
        </w:tc>
        <w:tc>
          <w:tcPr>
            <w:tcW w:type="dxa" w:w="3135"/>
            <w:shd w:val="clear" w:color="auto" w:fill="F2F4F8"/>
          </w:tcPr>
          <w:p>
            <w:r>
              <w:rPr>
                <w:color w:val="444444"/>
                <w:sz w:val="20"/>
              </w:rPr>
              <w:t>BUSINESS &amp; MANAGEMENT</w:t>
            </w:r>
          </w:p>
        </w:tc>
      </w:tr>
      <w:tr>
        <w:tc>
          <w:tcPr>
            <w:tcW w:type="dxa" w:w="3135"/>
          </w:tcPr>
          <w:p>
            <w:r>
              <w:rPr>
                <w:color w:val="444444"/>
                <w:sz w:val="20"/>
              </w:rPr>
              <w:t>General Business</w:t>
            </w:r>
          </w:p>
        </w:tc>
        <w:tc>
          <w:tcPr>
            <w:tcW w:type="dxa" w:w="3135"/>
          </w:tcPr>
          <w:p>
            <w:r>
              <w:rPr>
                <w:color w:val="444444"/>
                <w:sz w:val="20"/>
              </w:rPr>
              <w:t>General Business</w:t>
            </w:r>
          </w:p>
        </w:tc>
        <w:tc>
          <w:tcPr>
            <w:tcW w:type="dxa" w:w="3135"/>
          </w:tcPr>
          <w:p>
            <w:r>
              <w:rPr>
                <w:color w:val="444444"/>
                <w:sz w:val="20"/>
              </w:rPr>
              <w:t>BUSINESS &amp; MANAGEMENT</w:t>
            </w:r>
          </w:p>
        </w:tc>
      </w:tr>
      <w:tr>
        <w:tc>
          <w:tcPr>
            <w:tcW w:type="dxa" w:w="3135"/>
            <w:shd w:val="clear" w:color="auto" w:fill="F2F4F8"/>
          </w:tcPr>
          <w:p>
            <w:r>
              <w:rPr>
                <w:color w:val="444444"/>
                <w:sz w:val="20"/>
              </w:rPr>
              <w:t>Operations &amp; Analytics</w:t>
            </w:r>
          </w:p>
        </w:tc>
        <w:tc>
          <w:tcPr>
            <w:tcW w:type="dxa" w:w="3135"/>
            <w:shd w:val="clear" w:color="auto" w:fill="F2F4F8"/>
          </w:tcPr>
          <w:p>
            <w:r>
              <w:rPr>
                <w:color w:val="444444"/>
                <w:sz w:val="20"/>
              </w:rPr>
              <w:t>Operations &amp; Analytics</w:t>
            </w:r>
          </w:p>
        </w:tc>
        <w:tc>
          <w:tcPr>
            <w:tcW w:type="dxa" w:w="3135"/>
            <w:shd w:val="clear" w:color="auto" w:fill="F2F4F8"/>
          </w:tcPr>
          <w:p>
            <w:r>
              <w:rPr>
                <w:color w:val="444444"/>
                <w:sz w:val="20"/>
              </w:rPr>
              <w:t>BUSINESS &amp; MANAGEMENT</w:t>
            </w:r>
          </w:p>
        </w:tc>
      </w:tr>
      <w:tr>
        <w:tc>
          <w:tcPr>
            <w:tcW w:type="dxa" w:w="3135"/>
          </w:tcPr>
          <w:p>
            <w:r>
              <w:rPr>
                <w:color w:val="444444"/>
                <w:sz w:val="20"/>
              </w:rPr>
              <w:t>Specialized Business</w:t>
            </w:r>
          </w:p>
        </w:tc>
        <w:tc>
          <w:tcPr>
            <w:tcW w:type="dxa" w:w="3135"/>
          </w:tcPr>
          <w:p>
            <w:r>
              <w:rPr>
                <w:color w:val="444444"/>
                <w:sz w:val="20"/>
              </w:rPr>
              <w:t>Specialized Business</w:t>
            </w:r>
          </w:p>
        </w:tc>
        <w:tc>
          <w:tcPr>
            <w:tcW w:type="dxa" w:w="3135"/>
          </w:tcPr>
          <w:p>
            <w:r>
              <w:rPr>
                <w:color w:val="444444"/>
                <w:sz w:val="20"/>
              </w:rPr>
              <w:t>BUSINESS &amp; MANAGEMENT</w:t>
            </w:r>
          </w:p>
        </w:tc>
      </w:tr>
      <w:tr>
        <w:tc>
          <w:tcPr>
            <w:tcW w:type="dxa" w:w="3135"/>
            <w:shd w:val="clear" w:color="auto" w:fill="F2F4F8"/>
          </w:tcPr>
          <w:p>
            <w:r>
              <w:rPr>
                <w:color w:val="444444"/>
                <w:sz w:val="20"/>
              </w:rPr>
              <w:t>Marketing + Communication + Journalism + Creative Writing</w:t>
            </w:r>
          </w:p>
        </w:tc>
        <w:tc>
          <w:tcPr>
            <w:tcW w:type="dxa" w:w="3135"/>
            <w:shd w:val="clear" w:color="auto" w:fill="F2F4F8"/>
          </w:tcPr>
          <w:p>
            <w:r>
              <w:rPr>
                <w:color w:val="444444"/>
                <w:sz w:val="20"/>
              </w:rPr>
              <w:t>Marketing &amp; Communication</w:t>
            </w:r>
          </w:p>
        </w:tc>
        <w:tc>
          <w:tcPr>
            <w:tcW w:type="dxa" w:w="3135"/>
            <w:shd w:val="clear" w:color="auto" w:fill="F2F4F8"/>
          </w:tcPr>
          <w:p>
            <w:r>
              <w:rPr>
                <w:color w:val="444444"/>
                <w:sz w:val="20"/>
              </w:rPr>
              <w:t>HUMANITIES &amp; COMMUNICATION</w:t>
            </w:r>
          </w:p>
        </w:tc>
      </w:tr>
      <w:tr>
        <w:tc>
          <w:tcPr>
            <w:tcW w:type="dxa" w:w="3135"/>
          </w:tcPr>
          <w:p>
            <w:r>
              <w:rPr>
                <w:color w:val="444444"/>
                <w:sz w:val="20"/>
              </w:rPr>
              <w:t>Arts &amp; Theology + English &amp; Writing + Languages</w:t>
            </w:r>
          </w:p>
        </w:tc>
        <w:tc>
          <w:tcPr>
            <w:tcW w:type="dxa" w:w="3135"/>
          </w:tcPr>
          <w:p>
            <w:r>
              <w:rPr>
                <w:color w:val="444444"/>
                <w:sz w:val="20"/>
              </w:rPr>
              <w:t>Languages, Arts &amp; Humanities</w:t>
            </w:r>
          </w:p>
        </w:tc>
        <w:tc>
          <w:tcPr>
            <w:tcW w:type="dxa" w:w="3135"/>
          </w:tcPr>
          <w:p>
            <w:r>
              <w:rPr>
                <w:color w:val="444444"/>
                <w:sz w:val="20"/>
              </w:rPr>
              <w:t>HUMANITIES &amp; COMMUNICATION</w:t>
            </w:r>
          </w:p>
        </w:tc>
      </w:tr>
      <w:tr>
        <w:tc>
          <w:tcPr>
            <w:tcW w:type="dxa" w:w="3135"/>
            <w:shd w:val="clear" w:color="auto" w:fill="F2F4F8"/>
          </w:tcPr>
          <w:p>
            <w:r>
              <w:rPr>
                <w:color w:val="444444"/>
                <w:sz w:val="20"/>
              </w:rPr>
              <w:t>Teacher Ed + Social Work + Spec Ed + Ed Leadership</w:t>
            </w:r>
          </w:p>
        </w:tc>
        <w:tc>
          <w:tcPr>
            <w:tcW w:type="dxa" w:w="3135"/>
            <w:shd w:val="clear" w:color="auto" w:fill="F2F4F8"/>
          </w:tcPr>
          <w:p>
            <w:r>
              <w:rPr>
                <w:color w:val="444444"/>
                <w:sz w:val="20"/>
              </w:rPr>
              <w:t>Education &amp; Social Services</w:t>
            </w:r>
          </w:p>
        </w:tc>
        <w:tc>
          <w:tcPr>
            <w:tcW w:type="dxa" w:w="3135"/>
            <w:shd w:val="clear" w:color="auto" w:fill="F2F4F8"/>
          </w:tcPr>
          <w:p>
            <w:r>
              <w:rPr>
                <w:color w:val="444444"/>
                <w:sz w:val="20"/>
              </w:rPr>
              <w:t>SOCIAL SCIENCES &amp; EDUCATION</w:t>
            </w:r>
          </w:p>
        </w:tc>
      </w:tr>
      <w:tr>
        <w:tc>
          <w:tcPr>
            <w:tcW w:type="dxa" w:w="3135"/>
          </w:tcPr>
          <w:p>
            <w:r>
              <w:rPr>
                <w:color w:val="444444"/>
                <w:sz w:val="20"/>
              </w:rPr>
              <w:t>Social Sciences + Humanities &amp; Liberal Arts + Intl Studies</w:t>
            </w:r>
          </w:p>
        </w:tc>
        <w:tc>
          <w:tcPr>
            <w:tcW w:type="dxa" w:w="3135"/>
          </w:tcPr>
          <w:p>
            <w:r>
              <w:rPr>
                <w:color w:val="444444"/>
                <w:sz w:val="20"/>
              </w:rPr>
              <w:t>Social Sciences &amp; Humanities</w:t>
            </w:r>
          </w:p>
        </w:tc>
        <w:tc>
          <w:tcPr>
            <w:tcW w:type="dxa" w:w="3135"/>
          </w:tcPr>
          <w:p>
            <w:r>
              <w:rPr>
                <w:color w:val="444444"/>
                <w:sz w:val="20"/>
              </w:rPr>
              <w:t>SOCIAL SCIENCES &amp; EDUCATION</w:t>
            </w:r>
          </w:p>
        </w:tc>
      </w:tr>
      <w:tr>
        <w:tc>
          <w:tcPr>
            <w:tcW w:type="dxa" w:w="3135"/>
            <w:shd w:val="clear" w:color="auto" w:fill="F2F4F8"/>
          </w:tcPr>
          <w:p>
            <w:r>
              <w:rPr>
                <w:color w:val="444444"/>
                <w:sz w:val="20"/>
              </w:rPr>
              <w:t>Economics</w:t>
            </w:r>
          </w:p>
        </w:tc>
        <w:tc>
          <w:tcPr>
            <w:tcW w:type="dxa" w:w="3135"/>
            <w:shd w:val="clear" w:color="auto" w:fill="F2F4F8"/>
          </w:tcPr>
          <w:p>
            <w:r>
              <w:rPr>
                <w:color w:val="444444"/>
                <w:sz w:val="20"/>
              </w:rPr>
              <w:t>Economics</w:t>
            </w:r>
          </w:p>
        </w:tc>
        <w:tc>
          <w:tcPr>
            <w:tcW w:type="dxa" w:w="3135"/>
            <w:shd w:val="clear" w:color="auto" w:fill="F2F4F8"/>
          </w:tcPr>
          <w:p>
            <w:r>
              <w:rPr>
                <w:color w:val="444444"/>
                <w:sz w:val="20"/>
              </w:rPr>
              <w:t>SOCIAL SCIENCES &amp; EDUCATION</w:t>
            </w:r>
          </w:p>
        </w:tc>
      </w:tr>
    </w:tbl>
    <w:p/>
    <w:p>
      <w:pPr>
        <w:spacing w:before="240" w:after="40"/>
      </w:pPr>
      <w:r>
        <w:rPr>
          <w:b/>
          <w:color w:val="2F6DB3"/>
          <w:sz w:val="26"/>
        </w:rPr>
        <w:t>Decision 5 — Career cluster consolidation (14 → 8 display clusters)</w:t>
      </w:r>
    </w:p>
    <w:tbl>
      <w:tblPr>
        <w:tblStyle w:val="TableGrid"/>
        <w:tblW w:type="auto" w:w="0"/>
        <w:jc w:val="left"/>
        <w:tblLook w:firstColumn="1" w:firstRow="1" w:lastColumn="0" w:lastRow="0" w:noHBand="0" w:noVBand="1" w:val="04A0"/>
      </w:tblPr>
      <w:tblGrid>
        <w:gridCol w:w="4703"/>
        <w:gridCol w:w="4703"/>
      </w:tblGrid>
      <w:tr>
        <w:tc>
          <w:tcPr>
            <w:tcW w:type="dxa" w:w="4752"/>
            <w:shd w:val="clear" w:color="auto" w:fill="2F6DB3"/>
          </w:tcPr>
          <w:p>
            <w:r>
              <w:rPr>
                <w:b/>
                <w:color w:val="FFFFFF"/>
                <w:sz w:val="20"/>
              </w:rPr>
              <w:t>Raw career cluster(s)</w:t>
            </w:r>
          </w:p>
        </w:tc>
        <w:tc>
          <w:tcPr>
            <w:tcW w:type="dxa" w:w="4608"/>
            <w:shd w:val="clear" w:color="auto" w:fill="2F6DB3"/>
          </w:tcPr>
          <w:p>
            <w:r>
              <w:rPr>
                <w:b/>
                <w:color w:val="FFFFFF"/>
                <w:sz w:val="20"/>
              </w:rPr>
              <w:t>Display cluster</w:t>
            </w:r>
          </w:p>
        </w:tc>
      </w:tr>
      <w:tr>
        <w:tc>
          <w:tcPr>
            <w:tcW w:type="dxa" w:w="4752"/>
            <w:shd w:val="clear" w:color="auto" w:fill="F2F4F8"/>
          </w:tcPr>
          <w:p>
            <w:r>
              <w:rPr>
                <w:color w:val="444444"/>
                <w:sz w:val="20"/>
              </w:rPr>
              <w:t>Finance &amp; Investment + Accounting &amp; Audit</w:t>
            </w:r>
          </w:p>
        </w:tc>
        <w:tc>
          <w:tcPr>
            <w:tcW w:type="dxa" w:w="4608"/>
            <w:shd w:val="clear" w:color="auto" w:fill="F2F4F8"/>
          </w:tcPr>
          <w:p>
            <w:r>
              <w:rPr>
                <w:color w:val="444444"/>
                <w:sz w:val="20"/>
              </w:rPr>
              <w:t>Finance &amp; Accounting</w:t>
            </w:r>
          </w:p>
        </w:tc>
      </w:tr>
      <w:tr>
        <w:tc>
          <w:tcPr>
            <w:tcW w:type="dxa" w:w="4752"/>
          </w:tcPr>
          <w:p>
            <w:r>
              <w:rPr>
                <w:color w:val="444444"/>
                <w:sz w:val="20"/>
              </w:rPr>
              <w:t>Management &amp; Operations + Leadership (General)</w:t>
            </w:r>
          </w:p>
        </w:tc>
        <w:tc>
          <w:tcPr>
            <w:tcW w:type="dxa" w:w="4608"/>
          </w:tcPr>
          <w:p>
            <w:r>
              <w:rPr>
                <w:color w:val="444444"/>
                <w:sz w:val="20"/>
              </w:rPr>
              <w:t>Management &amp; Ops</w:t>
            </w:r>
          </w:p>
        </w:tc>
      </w:tr>
      <w:tr>
        <w:tc>
          <w:tcPr>
            <w:tcW w:type="dxa" w:w="4752"/>
            <w:shd w:val="clear" w:color="auto" w:fill="F2F4F8"/>
          </w:tcPr>
          <w:p>
            <w:r>
              <w:rPr>
                <w:color w:val="444444"/>
                <w:sz w:val="20"/>
              </w:rPr>
              <w:t>Software &amp; Data + IT &amp; Infrastructure</w:t>
            </w:r>
          </w:p>
        </w:tc>
        <w:tc>
          <w:tcPr>
            <w:tcW w:type="dxa" w:w="4608"/>
            <w:shd w:val="clear" w:color="auto" w:fill="F2F4F8"/>
          </w:tcPr>
          <w:p>
            <w:r>
              <w:rPr>
                <w:color w:val="444444"/>
                <w:sz w:val="20"/>
              </w:rPr>
              <w:t>Software &amp; Data</w:t>
            </w:r>
          </w:p>
        </w:tc>
      </w:tr>
      <w:tr>
        <w:tc>
          <w:tcPr>
            <w:tcW w:type="dxa" w:w="4752"/>
          </w:tcPr>
          <w:p>
            <w:r>
              <w:rPr>
                <w:color w:val="444444"/>
                <w:sz w:val="20"/>
              </w:rPr>
              <w:t>Clinical Care + Research &amp; Science</w:t>
            </w:r>
          </w:p>
        </w:tc>
        <w:tc>
          <w:tcPr>
            <w:tcW w:type="dxa" w:w="4608"/>
          </w:tcPr>
          <w:p>
            <w:r>
              <w:rPr>
                <w:color w:val="444444"/>
                <w:sz w:val="20"/>
              </w:rPr>
              <w:t>Health &amp; Science Research</w:t>
            </w:r>
          </w:p>
        </w:tc>
      </w:tr>
      <w:tr>
        <w:tc>
          <w:tcPr>
            <w:tcW w:type="dxa" w:w="4752"/>
            <w:shd w:val="clear" w:color="auto" w:fill="F2F4F8"/>
          </w:tcPr>
          <w:p>
            <w:r>
              <w:rPr>
                <w:color w:val="444444"/>
                <w:sz w:val="20"/>
              </w:rPr>
              <w:t>Education + Social Service</w:t>
            </w:r>
          </w:p>
        </w:tc>
        <w:tc>
          <w:tcPr>
            <w:tcW w:type="dxa" w:w="4608"/>
            <w:shd w:val="clear" w:color="auto" w:fill="F2F4F8"/>
          </w:tcPr>
          <w:p>
            <w:r>
              <w:rPr>
                <w:color w:val="444444"/>
                <w:sz w:val="20"/>
              </w:rPr>
              <w:t>Education &amp; Social Service</w:t>
            </w:r>
          </w:p>
        </w:tc>
      </w:tr>
      <w:tr>
        <w:tc>
          <w:tcPr>
            <w:tcW w:type="dxa" w:w="4752"/>
          </w:tcPr>
          <w:p>
            <w:r>
              <w:rPr>
                <w:color w:val="444444"/>
                <w:sz w:val="20"/>
              </w:rPr>
              <w:t>Sales &amp; Marketing</w:t>
            </w:r>
          </w:p>
        </w:tc>
        <w:tc>
          <w:tcPr>
            <w:tcW w:type="dxa" w:w="4608"/>
          </w:tcPr>
          <w:p>
            <w:r>
              <w:rPr>
                <w:color w:val="444444"/>
                <w:sz w:val="20"/>
              </w:rPr>
              <w:t>Sales &amp; Marketing (unchanged)</w:t>
            </w:r>
          </w:p>
        </w:tc>
      </w:tr>
      <w:tr>
        <w:tc>
          <w:tcPr>
            <w:tcW w:type="dxa" w:w="4752"/>
            <w:shd w:val="clear" w:color="auto" w:fill="F2F4F8"/>
          </w:tcPr>
          <w:p>
            <w:r>
              <w:rPr>
                <w:color w:val="444444"/>
                <w:sz w:val="20"/>
              </w:rPr>
              <w:t>Legal &amp; Policy</w:t>
            </w:r>
          </w:p>
        </w:tc>
        <w:tc>
          <w:tcPr>
            <w:tcW w:type="dxa" w:w="4608"/>
            <w:shd w:val="clear" w:color="auto" w:fill="F2F4F8"/>
          </w:tcPr>
          <w:p>
            <w:r>
              <w:rPr>
                <w:color w:val="444444"/>
                <w:sz w:val="20"/>
              </w:rPr>
              <w:t>Legal &amp; Policy (unchanged)</w:t>
            </w:r>
          </w:p>
        </w:tc>
      </w:tr>
      <w:tr>
        <w:tc>
          <w:tcPr>
            <w:tcW w:type="dxa" w:w="4752"/>
          </w:tcPr>
          <w:p>
            <w:r>
              <w:rPr>
                <w:color w:val="444444"/>
                <w:sz w:val="20"/>
              </w:rPr>
              <w:t>Engineering</w:t>
            </w:r>
          </w:p>
        </w:tc>
        <w:tc>
          <w:tcPr>
            <w:tcW w:type="dxa" w:w="4608"/>
          </w:tcPr>
          <w:p>
            <w:r>
              <w:rPr>
                <w:color w:val="444444"/>
                <w:sz w:val="20"/>
              </w:rPr>
              <w:t>Engineering (unchanged)</w:t>
            </w:r>
          </w:p>
        </w:tc>
      </w:tr>
    </w:tbl>
    <w:p/>
    <w:p>
      <w:pPr>
        <w:spacing w:before="240" w:after="40"/>
      </w:pPr>
      <w:r>
        <w:rPr>
          <w:b/>
          <w:color w:val="2F6DB3"/>
          <w:sz w:val="26"/>
        </w:rPr>
        <w:t>Decision 6 — Manual job title overrides (87 titles)</w:t>
      </w:r>
    </w:p>
    <w:p>
      <w:pPr>
        <w:spacing w:before="40" w:after="80"/>
      </w:pPr>
      <w:r>
        <w:rPr>
          <w:i w:val="0"/>
          <w:color w:val="444444"/>
          <w:sz w:val="21"/>
        </w:rPr>
        <w:t>Titles that keyword heuristics could not reliably place were manually reviewed and assigned a category in inputs/job_title_categorized.csv. Examples:</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2F6DB3"/>
          </w:tcPr>
          <w:p>
            <w:r>
              <w:rPr>
                <w:b/>
                <w:color w:val="FFFFFF"/>
                <w:sz w:val="20"/>
              </w:rPr>
              <w:t>Job title</w:t>
            </w:r>
          </w:p>
        </w:tc>
        <w:tc>
          <w:tcPr>
            <w:tcW w:type="dxa" w:w="6768"/>
            <w:shd w:val="clear" w:color="auto" w:fill="2F6DB3"/>
          </w:tcPr>
          <w:p>
            <w:r>
              <w:rPr>
                <w:b/>
                <w:color w:val="FFFFFF"/>
                <w:sz w:val="20"/>
              </w:rPr>
              <w:t>Assignment and rationale</w:t>
            </w:r>
          </w:p>
        </w:tc>
      </w:tr>
      <w:tr>
        <w:tc>
          <w:tcPr>
            <w:tcW w:type="dxa" w:w="2592"/>
            <w:shd w:val="clear" w:color="auto" w:fill="F2F4F8"/>
          </w:tcPr>
          <w:p>
            <w:r>
              <w:rPr>
                <w:color w:val="444444"/>
                <w:sz w:val="20"/>
              </w:rPr>
              <w:t>Associate</w:t>
            </w:r>
          </w:p>
        </w:tc>
        <w:tc>
          <w:tcPr>
            <w:tcW w:type="dxa" w:w="6768"/>
            <w:shd w:val="clear" w:color="auto" w:fill="F2F4F8"/>
          </w:tcPr>
          <w:p>
            <w:r>
              <w:rPr>
                <w:color w:val="444444"/>
                <w:sz w:val="20"/>
              </w:rPr>
              <w:t>Management &amp; Ops — too generic; most entry-level associates are in ops roles</w:t>
            </w:r>
          </w:p>
        </w:tc>
      </w:tr>
      <w:tr>
        <w:tc>
          <w:tcPr>
            <w:tcW w:type="dxa" w:w="2592"/>
          </w:tcPr>
          <w:p>
            <w:r>
              <w:rPr>
                <w:color w:val="444444"/>
                <w:sz w:val="20"/>
              </w:rPr>
              <w:t>Analyst</w:t>
            </w:r>
          </w:p>
        </w:tc>
        <w:tc>
          <w:tcPr>
            <w:tcW w:type="dxa" w:w="6768"/>
          </w:tcPr>
          <w:p>
            <w:r>
              <w:rPr>
                <w:color w:val="444444"/>
                <w:sz w:val="20"/>
              </w:rPr>
              <w:t>Software &amp; Data — generic; treated as data given university's CS graduate count</w:t>
            </w:r>
          </w:p>
        </w:tc>
      </w:tr>
      <w:tr>
        <w:tc>
          <w:tcPr>
            <w:tcW w:type="dxa" w:w="2592"/>
            <w:shd w:val="clear" w:color="auto" w:fill="F2F4F8"/>
          </w:tcPr>
          <w:p>
            <w:r>
              <w:rPr>
                <w:color w:val="444444"/>
                <w:sz w:val="20"/>
              </w:rPr>
              <w:t>Business Analyst</w:t>
            </w:r>
          </w:p>
        </w:tc>
        <w:tc>
          <w:tcPr>
            <w:tcW w:type="dxa" w:w="6768"/>
            <w:shd w:val="clear" w:color="auto" w:fill="F2F4F8"/>
          </w:tcPr>
          <w:p>
            <w:r>
              <w:rPr>
                <w:color w:val="444444"/>
                <w:sz w:val="20"/>
              </w:rPr>
              <w:t>Management &amp; Ops — process improvement focus, distinct from data analyst</w:t>
            </w:r>
          </w:p>
        </w:tc>
      </w:tr>
      <w:tr>
        <w:tc>
          <w:tcPr>
            <w:tcW w:type="dxa" w:w="2592"/>
          </w:tcPr>
          <w:p>
            <w:r>
              <w:rPr>
                <w:color w:val="444444"/>
                <w:sz w:val="20"/>
              </w:rPr>
              <w:t>Scribe</w:t>
            </w:r>
          </w:p>
        </w:tc>
        <w:tc>
          <w:tcPr>
            <w:tcW w:type="dxa" w:w="6768"/>
          </w:tcPr>
          <w:p>
            <w:r>
              <w:rPr>
                <w:color w:val="444444"/>
                <w:sz w:val="20"/>
              </w:rPr>
              <w:t>Health &amp; Science Research — medical scribe = clinical support</w:t>
            </w:r>
          </w:p>
        </w:tc>
      </w:tr>
      <w:tr>
        <w:tc>
          <w:tcPr>
            <w:tcW w:type="dxa" w:w="2592"/>
            <w:shd w:val="clear" w:color="auto" w:fill="F2F4F8"/>
          </w:tcPr>
          <w:p>
            <w:r>
              <w:rPr>
                <w:color w:val="444444"/>
                <w:sz w:val="20"/>
              </w:rPr>
              <w:t>RN</w:t>
            </w:r>
          </w:p>
        </w:tc>
        <w:tc>
          <w:tcPr>
            <w:tcW w:type="dxa" w:w="6768"/>
            <w:shd w:val="clear" w:color="auto" w:fill="F2F4F8"/>
          </w:tcPr>
          <w:p>
            <w:r>
              <w:rPr>
                <w:color w:val="444444"/>
                <w:sz w:val="20"/>
              </w:rPr>
              <w:t>Health &amp; Science Research — Registered Nurse abbreviation</w:t>
            </w:r>
          </w:p>
        </w:tc>
      </w:tr>
      <w:tr>
        <w:tc>
          <w:tcPr>
            <w:tcW w:type="dxa" w:w="2592"/>
          </w:tcPr>
          <w:p>
            <w:r>
              <w:rPr>
                <w:color w:val="444444"/>
                <w:sz w:val="20"/>
              </w:rPr>
              <w:t>Server / Bartender</w:t>
            </w:r>
          </w:p>
        </w:tc>
        <w:tc>
          <w:tcPr>
            <w:tcW w:type="dxa" w:w="6768"/>
          </w:tcPr>
          <w:p>
            <w:r>
              <w:rPr>
                <w:color w:val="444444"/>
                <w:sz w:val="20"/>
              </w:rPr>
              <w:t>Management &amp; Ops — hospitality/food service, operational role</w:t>
            </w:r>
          </w:p>
        </w:tc>
      </w:tr>
      <w:tr>
        <w:tc>
          <w:tcPr>
            <w:tcW w:type="dxa" w:w="2592"/>
            <w:shd w:val="clear" w:color="auto" w:fill="F2F4F8"/>
          </w:tcPr>
          <w:p>
            <w:r>
              <w:rPr>
                <w:color w:val="444444"/>
                <w:sz w:val="20"/>
              </w:rPr>
              <w:t>Consultant</w:t>
            </w:r>
          </w:p>
        </w:tc>
        <w:tc>
          <w:tcPr>
            <w:tcW w:type="dxa" w:w="6768"/>
            <w:shd w:val="clear" w:color="auto" w:fill="F2F4F8"/>
          </w:tcPr>
          <w:p>
            <w:r>
              <w:rPr>
                <w:color w:val="444444"/>
                <w:sz w:val="20"/>
              </w:rPr>
              <w:t>Management &amp; Ops — general consulting, not IT-specific</w:t>
            </w:r>
          </w:p>
        </w:tc>
      </w:tr>
      <w:tr>
        <w:tc>
          <w:tcPr>
            <w:tcW w:type="dxa" w:w="2592"/>
          </w:tcPr>
          <w:p>
            <w:r>
              <w:rPr>
                <w:color w:val="444444"/>
                <w:sz w:val="20"/>
              </w:rPr>
              <w:t>Missionary</w:t>
            </w:r>
          </w:p>
        </w:tc>
        <w:tc>
          <w:tcPr>
            <w:tcW w:type="dxa" w:w="6768"/>
          </w:tcPr>
          <w:p>
            <w:r>
              <w:rPr>
                <w:color w:val="444444"/>
                <w:sz w:val="20"/>
              </w:rPr>
              <w:t>Education &amp; Social Service — humanitarian/service role</w:t>
            </w:r>
          </w:p>
        </w:tc>
      </w:tr>
    </w:tbl>
    <w:p/>
    <w:p>
      <w:r>
        <w:br w:type="page"/>
      </w:r>
    </w:p>
    <w:p>
      <w:pPr>
        <w:spacing w:before="360" w:after="80"/>
        <w:pBdr>
          <w:bottom w:val="single" w:sz="8" w:space="1" w:color="2F6DB3"/>
        </w:pBdr>
      </w:pPr>
      <w:r>
        <w:rPr>
          <w:b/>
          <w:color w:val="122A52"/>
          <w:sz w:val="32"/>
        </w:rPr>
        <w:t>6. VISUALIZATION DESIGN RULES</w:t>
      </w:r>
    </w:p>
    <w:p>
      <w:pPr>
        <w:spacing w:before="240" w:after="40"/>
      </w:pPr>
      <w:r>
        <w:rPr>
          <w:b/>
          <w:color w:val="2F6DB3"/>
          <w:sz w:val="26"/>
        </w:rPr>
        <w:t>Color Palette</w:t>
      </w:r>
    </w:p>
    <w:p>
      <w:pPr>
        <w:spacing w:before="40" w:after="80"/>
      </w:pPr>
      <w:r>
        <w:rPr>
          <w:i w:val="0"/>
          <w:color w:val="444444"/>
          <w:sz w:val="21"/>
        </w:rPr>
        <w:t>The palette was designed to be colorblind-friendly (no red-green pairing, which affects ~8% of men) while maintaining clear contrast between the four academic families. Career arcs use neutral gray so the eye reads the colored major arcs as the 'source'.</w:t>
      </w:r>
    </w:p>
    <w:tbl>
      <w:tblPr>
        <w:tblStyle w:val="TableGrid"/>
        <w:tblW w:type="auto" w:w="0"/>
        <w:jc w:val="left"/>
        <w:tblLook w:firstColumn="1" w:firstRow="1" w:lastColumn="0" w:lastRow="0" w:noHBand="0" w:noVBand="1" w:val="04A0"/>
      </w:tblPr>
      <w:tblGrid>
        <w:gridCol w:w="4703"/>
        <w:gridCol w:w="4703"/>
      </w:tblGrid>
      <w:tr>
        <w:tc>
          <w:tcPr>
            <w:tcW w:type="dxa" w:w="4464"/>
            <w:shd w:val="clear" w:color="auto" w:fill="2F6DB3"/>
          </w:tcPr>
          <w:p>
            <w:r>
              <w:rPr>
                <w:b/>
                <w:color w:val="FFFFFF"/>
                <w:sz w:val="20"/>
              </w:rPr>
              <w:t>Academic family</w:t>
            </w:r>
          </w:p>
        </w:tc>
        <w:tc>
          <w:tcPr>
            <w:tcW w:type="dxa" w:w="4896"/>
            <w:shd w:val="clear" w:color="auto" w:fill="2F6DB3"/>
          </w:tcPr>
          <w:p>
            <w:r>
              <w:rPr>
                <w:b/>
                <w:color w:val="FFFFFF"/>
                <w:sz w:val="20"/>
              </w:rPr>
              <w:t>Color</w:t>
            </w:r>
          </w:p>
        </w:tc>
      </w:tr>
      <w:tr>
        <w:tc>
          <w:tcPr>
            <w:tcW w:type="dxa" w:w="4464"/>
            <w:shd w:val="clear" w:color="auto" w:fill="F2F4F8"/>
          </w:tcPr>
          <w:p>
            <w:r>
              <w:rPr>
                <w:color w:val="444444"/>
                <w:sz w:val="20"/>
              </w:rPr>
              <w:t>BUSINESS &amp; MANAGEMENT</w:t>
            </w:r>
          </w:p>
        </w:tc>
        <w:tc>
          <w:tcPr>
            <w:tcW w:type="dxa" w:w="4896"/>
            <w:shd w:val="clear" w:color="auto" w:fill="F2F4F8"/>
          </w:tcPr>
          <w:p>
            <w:r>
              <w:rPr>
                <w:color w:val="444444"/>
                <w:sz w:val="20"/>
              </w:rPr>
              <w:t>#2F6DB3 — medium blue (shaded lighter for sub-clusters)</w:t>
            </w:r>
          </w:p>
        </w:tc>
      </w:tr>
      <w:tr>
        <w:tc>
          <w:tcPr>
            <w:tcW w:type="dxa" w:w="4464"/>
          </w:tcPr>
          <w:p>
            <w:r>
              <w:rPr>
                <w:color w:val="444444"/>
                <w:sz w:val="20"/>
              </w:rPr>
              <w:t>ENGINEERING, SCIENCE &amp; TECHNOLOGY</w:t>
            </w:r>
          </w:p>
        </w:tc>
        <w:tc>
          <w:tcPr>
            <w:tcW w:type="dxa" w:w="4896"/>
          </w:tcPr>
          <w:p>
            <w:r>
              <w:rPr>
                <w:color w:val="444444"/>
                <w:sz w:val="20"/>
              </w:rPr>
              <w:t>#2E8B57 — deep teal-green (shaded lighter)</w:t>
            </w:r>
          </w:p>
        </w:tc>
      </w:tr>
      <w:tr>
        <w:tc>
          <w:tcPr>
            <w:tcW w:type="dxa" w:w="4464"/>
            <w:shd w:val="clear" w:color="auto" w:fill="F2F4F8"/>
          </w:tcPr>
          <w:p>
            <w:r>
              <w:rPr>
                <w:color w:val="444444"/>
                <w:sz w:val="20"/>
              </w:rPr>
              <w:t>SOCIAL SCIENCES &amp; EDUCATION</w:t>
            </w:r>
          </w:p>
        </w:tc>
        <w:tc>
          <w:tcPr>
            <w:tcW w:type="dxa" w:w="4896"/>
            <w:shd w:val="clear" w:color="auto" w:fill="F2F4F8"/>
          </w:tcPr>
          <w:p>
            <w:r>
              <w:rPr>
                <w:color w:val="444444"/>
                <w:sz w:val="20"/>
              </w:rPr>
              <w:t>#E68613 — vivid orange (shaded lighter)</w:t>
            </w:r>
          </w:p>
        </w:tc>
      </w:tr>
      <w:tr>
        <w:tc>
          <w:tcPr>
            <w:tcW w:type="dxa" w:w="4464"/>
          </w:tcPr>
          <w:p>
            <w:r>
              <w:rPr>
                <w:color w:val="444444"/>
                <w:sz w:val="20"/>
              </w:rPr>
              <w:t>HUMANITIES &amp; COMMUNICATION</w:t>
            </w:r>
          </w:p>
        </w:tc>
        <w:tc>
          <w:tcPr>
            <w:tcW w:type="dxa" w:w="4896"/>
          </w:tcPr>
          <w:p>
            <w:r>
              <w:rPr>
                <w:color w:val="444444"/>
                <w:sz w:val="20"/>
              </w:rPr>
              <w:t>#B279A2 — soft purple-magenta (shaded lighter)</w:t>
            </w:r>
          </w:p>
        </w:tc>
      </w:tr>
      <w:tr>
        <w:tc>
          <w:tcPr>
            <w:tcW w:type="dxa" w:w="4464"/>
            <w:shd w:val="clear" w:color="auto" w:fill="F2F4F8"/>
          </w:tcPr>
          <w:p>
            <w:r>
              <w:rPr>
                <w:color w:val="444444"/>
                <w:sz w:val="20"/>
              </w:rPr>
              <w:t>Career arcs (all clusters)</w:t>
            </w:r>
          </w:p>
        </w:tc>
        <w:tc>
          <w:tcPr>
            <w:tcW w:type="dxa" w:w="4896"/>
            <w:shd w:val="clear" w:color="auto" w:fill="F2F4F8"/>
          </w:tcPr>
          <w:p>
            <w:r>
              <w:rPr>
                <w:color w:val="444444"/>
                <w:sz w:val="20"/>
              </w:rPr>
              <w:t>#B9B9B9 — neutral medium gray</w:t>
            </w:r>
          </w:p>
        </w:tc>
      </w:tr>
    </w:tbl>
    <w:p/>
    <w:p>
      <w:pPr>
        <w:spacing w:before="240" w:after="40"/>
      </w:pPr>
      <w:r>
        <w:rPr>
          <w:b/>
          <w:color w:val="2F6DB3"/>
          <w:sz w:val="26"/>
        </w:rPr>
        <w:t>Arc Ordering (clockwise from top)</w:t>
      </w:r>
    </w:p>
    <w:p>
      <w:pPr>
        <w:spacing w:before="40" w:after="80"/>
      </w:pPr>
      <w:r>
        <w:rPr>
          <w:i w:val="0"/>
          <w:color w:val="444444"/>
          <w:sz w:val="21"/>
        </w:rPr>
        <w:t>Major clusters are ordered to minimize ribbon crossings. Related clusters that share graduates with the same career destinations are placed adjacent to each other.</w:t>
      </w:r>
    </w:p>
    <w:tbl>
      <w:tblPr>
        <w:tblStyle w:val="TableGrid"/>
        <w:tblW w:type="auto" w:w="0"/>
        <w:jc w:val="left"/>
        <w:tblLook w:firstColumn="1" w:firstRow="1" w:lastColumn="0" w:lastRow="0" w:noHBand="0" w:noVBand="1" w:val="04A0"/>
      </w:tblPr>
      <w:tblGrid>
        <w:gridCol w:w="4703"/>
        <w:gridCol w:w="4703"/>
      </w:tblGrid>
      <w:tr>
        <w:tc>
          <w:tcPr>
            <w:tcW w:type="dxa" w:w="4464"/>
            <w:shd w:val="clear" w:color="auto" w:fill="2F6DB3"/>
          </w:tcPr>
          <w:p>
            <w:r>
              <w:rPr>
                <w:b/>
                <w:color w:val="FFFFFF"/>
                <w:sz w:val="20"/>
              </w:rPr>
              <w:t>Major cluster (clockwise order)</w:t>
            </w:r>
          </w:p>
        </w:tc>
        <w:tc>
          <w:tcPr>
            <w:tcW w:type="dxa" w:w="4896"/>
            <w:shd w:val="clear" w:color="auto" w:fill="2F6DB3"/>
          </w:tcPr>
          <w:p>
            <w:r>
              <w:rPr>
                <w:b/>
                <w:color w:val="FFFFFF"/>
                <w:sz w:val="20"/>
              </w:rPr>
              <w:t>Large family</w:t>
            </w:r>
          </w:p>
        </w:tc>
      </w:tr>
      <w:tr>
        <w:tc>
          <w:tcPr>
            <w:tcW w:type="dxa" w:w="4464"/>
            <w:shd w:val="clear" w:color="auto" w:fill="F2F4F8"/>
          </w:tcPr>
          <w:p>
            <w:r>
              <w:rPr>
                <w:color w:val="444444"/>
                <w:sz w:val="20"/>
              </w:rPr>
              <w:t>Engineering</w:t>
            </w:r>
          </w:p>
        </w:tc>
        <w:tc>
          <w:tcPr>
            <w:tcW w:type="dxa" w:w="4896"/>
            <w:shd w:val="clear" w:color="auto" w:fill="F2F4F8"/>
          </w:tcPr>
          <w:p>
            <w:r>
              <w:rPr>
                <w:color w:val="444444"/>
                <w:sz w:val="20"/>
              </w:rPr>
              <w:t>ENGINEERING, SCIENCE &amp; TECH</w:t>
            </w:r>
          </w:p>
        </w:tc>
      </w:tr>
      <w:tr>
        <w:tc>
          <w:tcPr>
            <w:tcW w:type="dxa" w:w="4464"/>
          </w:tcPr>
          <w:p>
            <w:r>
              <w:rPr>
                <w:color w:val="444444"/>
                <w:sz w:val="20"/>
              </w:rPr>
              <w:t>Computer Science &amp; IT</w:t>
            </w:r>
          </w:p>
        </w:tc>
        <w:tc>
          <w:tcPr>
            <w:tcW w:type="dxa" w:w="4896"/>
          </w:tcPr>
          <w:p>
            <w:r>
              <w:rPr>
                <w:color w:val="444444"/>
                <w:sz w:val="20"/>
              </w:rPr>
              <w:t>ENGINEERING, SCIENCE &amp; TECH</w:t>
            </w:r>
          </w:p>
        </w:tc>
      </w:tr>
      <w:tr>
        <w:tc>
          <w:tcPr>
            <w:tcW w:type="dxa" w:w="4464"/>
            <w:shd w:val="clear" w:color="auto" w:fill="F2F4F8"/>
          </w:tcPr>
          <w:p>
            <w:r>
              <w:rPr>
                <w:color w:val="444444"/>
                <w:sz w:val="20"/>
              </w:rPr>
              <w:t>Biological &amp; Health Sciences</w:t>
            </w:r>
          </w:p>
        </w:tc>
        <w:tc>
          <w:tcPr>
            <w:tcW w:type="dxa" w:w="4896"/>
            <w:shd w:val="clear" w:color="auto" w:fill="F2F4F8"/>
          </w:tcPr>
          <w:p>
            <w:r>
              <w:rPr>
                <w:color w:val="444444"/>
                <w:sz w:val="20"/>
              </w:rPr>
              <w:t>ENGINEERING, SCIENCE &amp; TECH</w:t>
            </w:r>
          </w:p>
        </w:tc>
      </w:tr>
      <w:tr>
        <w:tc>
          <w:tcPr>
            <w:tcW w:type="dxa" w:w="4464"/>
          </w:tcPr>
          <w:p>
            <w:r>
              <w:rPr>
                <w:color w:val="444444"/>
                <w:sz w:val="20"/>
              </w:rPr>
              <w:t>Physical &amp; Environmental Sci.</w:t>
            </w:r>
          </w:p>
        </w:tc>
        <w:tc>
          <w:tcPr>
            <w:tcW w:type="dxa" w:w="4896"/>
          </w:tcPr>
          <w:p>
            <w:r>
              <w:rPr>
                <w:color w:val="444444"/>
                <w:sz w:val="20"/>
              </w:rPr>
              <w:t>ENGINEERING, SCIENCE &amp; TECH</w:t>
            </w:r>
          </w:p>
        </w:tc>
      </w:tr>
      <w:tr>
        <w:tc>
          <w:tcPr>
            <w:tcW w:type="dxa" w:w="4464"/>
            <w:shd w:val="clear" w:color="auto" w:fill="F2F4F8"/>
          </w:tcPr>
          <w:p>
            <w:r>
              <w:rPr>
                <w:color w:val="444444"/>
                <w:sz w:val="20"/>
              </w:rPr>
              <w:t>Finance &amp; Accounting</w:t>
            </w:r>
          </w:p>
        </w:tc>
        <w:tc>
          <w:tcPr>
            <w:tcW w:type="dxa" w:w="4896"/>
            <w:shd w:val="clear" w:color="auto" w:fill="F2F4F8"/>
          </w:tcPr>
          <w:p>
            <w:r>
              <w:rPr>
                <w:color w:val="444444"/>
                <w:sz w:val="20"/>
              </w:rPr>
              <w:t>BUSINESS &amp; MANAGEMENT</w:t>
            </w:r>
          </w:p>
        </w:tc>
      </w:tr>
      <w:tr>
        <w:tc>
          <w:tcPr>
            <w:tcW w:type="dxa" w:w="4464"/>
          </w:tcPr>
          <w:p>
            <w:r>
              <w:rPr>
                <w:color w:val="444444"/>
                <w:sz w:val="20"/>
              </w:rPr>
              <w:t>General Business</w:t>
            </w:r>
          </w:p>
        </w:tc>
        <w:tc>
          <w:tcPr>
            <w:tcW w:type="dxa" w:w="4896"/>
          </w:tcPr>
          <w:p>
            <w:r>
              <w:rPr>
                <w:color w:val="444444"/>
                <w:sz w:val="20"/>
              </w:rPr>
              <w:t>BUSINESS &amp; MANAGEMENT</w:t>
            </w:r>
          </w:p>
        </w:tc>
      </w:tr>
      <w:tr>
        <w:tc>
          <w:tcPr>
            <w:tcW w:type="dxa" w:w="4464"/>
            <w:shd w:val="clear" w:color="auto" w:fill="F2F4F8"/>
          </w:tcPr>
          <w:p>
            <w:r>
              <w:rPr>
                <w:color w:val="444444"/>
                <w:sz w:val="20"/>
              </w:rPr>
              <w:t>Operations &amp; Analytics</w:t>
            </w:r>
          </w:p>
        </w:tc>
        <w:tc>
          <w:tcPr>
            <w:tcW w:type="dxa" w:w="4896"/>
            <w:shd w:val="clear" w:color="auto" w:fill="F2F4F8"/>
          </w:tcPr>
          <w:p>
            <w:r>
              <w:rPr>
                <w:color w:val="444444"/>
                <w:sz w:val="20"/>
              </w:rPr>
              <w:t>BUSINESS &amp; MANAGEMENT</w:t>
            </w:r>
          </w:p>
        </w:tc>
      </w:tr>
      <w:tr>
        <w:tc>
          <w:tcPr>
            <w:tcW w:type="dxa" w:w="4464"/>
          </w:tcPr>
          <w:p>
            <w:r>
              <w:rPr>
                <w:color w:val="444444"/>
                <w:sz w:val="20"/>
              </w:rPr>
              <w:t>Specialized Business</w:t>
            </w:r>
          </w:p>
        </w:tc>
        <w:tc>
          <w:tcPr>
            <w:tcW w:type="dxa" w:w="4896"/>
          </w:tcPr>
          <w:p>
            <w:r>
              <w:rPr>
                <w:color w:val="444444"/>
                <w:sz w:val="20"/>
              </w:rPr>
              <w:t>BUSINESS &amp; MANAGEMENT</w:t>
            </w:r>
          </w:p>
        </w:tc>
      </w:tr>
      <w:tr>
        <w:tc>
          <w:tcPr>
            <w:tcW w:type="dxa" w:w="4464"/>
            <w:shd w:val="clear" w:color="auto" w:fill="F2F4F8"/>
          </w:tcPr>
          <w:p>
            <w:r>
              <w:rPr>
                <w:color w:val="444444"/>
                <w:sz w:val="20"/>
              </w:rPr>
              <w:t>Marketing &amp; Communication</w:t>
            </w:r>
          </w:p>
        </w:tc>
        <w:tc>
          <w:tcPr>
            <w:tcW w:type="dxa" w:w="4896"/>
            <w:shd w:val="clear" w:color="auto" w:fill="F2F4F8"/>
          </w:tcPr>
          <w:p>
            <w:r>
              <w:rPr>
                <w:color w:val="444444"/>
                <w:sz w:val="20"/>
              </w:rPr>
              <w:t>HUMANITIES &amp; COMMUNICATION</w:t>
            </w:r>
          </w:p>
        </w:tc>
      </w:tr>
      <w:tr>
        <w:tc>
          <w:tcPr>
            <w:tcW w:type="dxa" w:w="4464"/>
          </w:tcPr>
          <w:p>
            <w:r>
              <w:rPr>
                <w:color w:val="444444"/>
                <w:sz w:val="20"/>
              </w:rPr>
              <w:t>Languages, Arts &amp; Humanities</w:t>
            </w:r>
          </w:p>
        </w:tc>
        <w:tc>
          <w:tcPr>
            <w:tcW w:type="dxa" w:w="4896"/>
          </w:tcPr>
          <w:p>
            <w:r>
              <w:rPr>
                <w:color w:val="444444"/>
                <w:sz w:val="20"/>
              </w:rPr>
              <w:t>HUMANITIES &amp; COMMUNICATION</w:t>
            </w:r>
          </w:p>
        </w:tc>
      </w:tr>
      <w:tr>
        <w:tc>
          <w:tcPr>
            <w:tcW w:type="dxa" w:w="4464"/>
            <w:shd w:val="clear" w:color="auto" w:fill="F2F4F8"/>
          </w:tcPr>
          <w:p>
            <w:r>
              <w:rPr>
                <w:color w:val="444444"/>
                <w:sz w:val="20"/>
              </w:rPr>
              <w:t>Education &amp; Social Services</w:t>
            </w:r>
          </w:p>
        </w:tc>
        <w:tc>
          <w:tcPr>
            <w:tcW w:type="dxa" w:w="4896"/>
            <w:shd w:val="clear" w:color="auto" w:fill="F2F4F8"/>
          </w:tcPr>
          <w:p>
            <w:r>
              <w:rPr>
                <w:color w:val="444444"/>
                <w:sz w:val="20"/>
              </w:rPr>
              <w:t>SOCIAL SCIENCES &amp; EDUCATION</w:t>
            </w:r>
          </w:p>
        </w:tc>
      </w:tr>
      <w:tr>
        <w:tc>
          <w:tcPr>
            <w:tcW w:type="dxa" w:w="4464"/>
          </w:tcPr>
          <w:p>
            <w:r>
              <w:rPr>
                <w:color w:val="444444"/>
                <w:sz w:val="20"/>
              </w:rPr>
              <w:t>Social Sciences &amp; Humanities</w:t>
            </w:r>
          </w:p>
        </w:tc>
        <w:tc>
          <w:tcPr>
            <w:tcW w:type="dxa" w:w="4896"/>
          </w:tcPr>
          <w:p>
            <w:r>
              <w:rPr>
                <w:color w:val="444444"/>
                <w:sz w:val="20"/>
              </w:rPr>
              <w:t>SOCIAL SCIENCES &amp; EDUCATION</w:t>
            </w:r>
          </w:p>
        </w:tc>
      </w:tr>
      <w:tr>
        <w:tc>
          <w:tcPr>
            <w:tcW w:type="dxa" w:w="4464"/>
            <w:shd w:val="clear" w:color="auto" w:fill="F2F4F8"/>
          </w:tcPr>
          <w:p>
            <w:r>
              <w:rPr>
                <w:color w:val="444444"/>
                <w:sz w:val="20"/>
              </w:rPr>
              <w:t>Economics</w:t>
            </w:r>
          </w:p>
        </w:tc>
        <w:tc>
          <w:tcPr>
            <w:tcW w:type="dxa" w:w="4896"/>
            <w:shd w:val="clear" w:color="auto" w:fill="F2F4F8"/>
          </w:tcPr>
          <w:p>
            <w:r>
              <w:rPr>
                <w:color w:val="444444"/>
                <w:sz w:val="20"/>
              </w:rPr>
              <w:t>SOCIAL SCIENCES &amp; EDUCATION</w:t>
            </w:r>
          </w:p>
        </w:tc>
      </w:tr>
    </w:tbl>
    <w:p/>
    <w:p>
      <w:pPr>
        <w:spacing w:before="240" w:after="40"/>
      </w:pPr>
      <w:r>
        <w:rPr>
          <w:b/>
          <w:color w:val="2F6DB3"/>
          <w:sz w:val="26"/>
        </w:rPr>
        <w:t>SVG Ribbon Tapering</w:t>
      </w:r>
    </w:p>
    <w:p>
      <w:pPr>
        <w:spacing w:before="40" w:after="80"/>
      </w:pPr>
      <w:r>
        <w:rPr>
          <w:i w:val="0"/>
          <w:color w:val="444444"/>
          <w:sz w:val="21"/>
        </w:rPr>
        <w:t>Circos draws ribbons as uniform-width bezier curves. A custom SVG post-processing script (Step 05) reshapes each ribbon to taper toward the center of the diagram and widen at both arc attachment points. This is a standard practice in scientific chord diagrams that improves readability when many ribbons overlap.</w:t>
      </w:r>
    </w:p>
    <w:p>
      <w:pPr>
        <w:pStyle w:val="ListBullet"/>
        <w:spacing w:before="20" w:after="20"/>
        <w:ind w:left="360"/>
      </w:pPr>
      <w:r>
        <w:rPr>
          <w:color w:val="444444"/>
          <w:sz w:val="21"/>
        </w:rPr>
        <w:t>Mid-scale: 0.28 — ribbon width at midpoint is 28% of endpoint width.</w:t>
      </w:r>
    </w:p>
    <w:p>
      <w:pPr>
        <w:pStyle w:val="ListBullet"/>
        <w:spacing w:before="20" w:after="20"/>
        <w:ind w:left="360"/>
      </w:pPr>
      <w:r>
        <w:rPr>
          <w:color w:val="444444"/>
          <w:sz w:val="21"/>
        </w:rPr>
        <w:t>Profile power: 1.35 — controls how quickly the taper narrows toward the center.</w:t>
      </w:r>
    </w:p>
    <w:p>
      <w:pPr>
        <w:pStyle w:val="ListBullet"/>
        <w:spacing w:before="20" w:after="20"/>
        <w:ind w:left="360"/>
      </w:pPr>
      <w:r>
        <w:rPr>
          <w:color w:val="444444"/>
          <w:sz w:val="21"/>
        </w:rPr>
        <w:t>Font replacement: Circos default fonts are replaced with Segoe UI / Tahoma / Verdana.</w:t>
      </w:r>
    </w:p>
    <w:p>
      <w:pPr>
        <w:spacing w:before="240" w:after="40"/>
      </w:pPr>
      <w:r>
        <w:rPr>
          <w:b/>
          <w:color w:val="2F6DB3"/>
          <w:sz w:val="26"/>
        </w:rPr>
        <w:t>Pre-Rendered Focus SVGs</w:t>
      </w:r>
    </w:p>
    <w:p>
      <w:pPr>
        <w:spacing w:before="40" w:after="80"/>
      </w:pPr>
      <w:r>
        <w:rPr>
          <w:i w:val="0"/>
          <w:color w:val="444444"/>
          <w:sz w:val="21"/>
        </w:rPr>
        <w:t>The 'click a thumbnail to filter the diagram' interaction is achieved by pre-rendering a separate SVG for each cluster — the full diagram where all other clusters' ribbons are transparent. The browser simply swaps the src attribute of the center image tag. This approach loads instantly and works without a server.</w:t>
      </w:r>
    </w:p>
    <w:tbl>
      <w:tblPr>
        <w:tblStyle w:val="TableGrid"/>
        <w:tblW w:type="auto" w:w="0"/>
        <w:jc w:val="left"/>
        <w:tblLook w:firstColumn="1" w:firstRow="1" w:lastColumn="0" w:lastRow="0" w:noHBand="0" w:noVBand="1" w:val="04A0"/>
      </w:tblPr>
      <w:tblGrid>
        <w:gridCol w:w="4703"/>
        <w:gridCol w:w="4703"/>
      </w:tblGrid>
      <w:tr>
        <w:tc>
          <w:tcPr>
            <w:tcW w:type="dxa" w:w="5184"/>
            <w:shd w:val="clear" w:color="auto" w:fill="2F6DB3"/>
          </w:tcPr>
          <w:p>
            <w:r>
              <w:rPr>
                <w:b/>
                <w:color w:val="FFFFFF"/>
                <w:sz w:val="20"/>
              </w:rPr>
              <w:t>Folder</w:t>
            </w:r>
          </w:p>
        </w:tc>
        <w:tc>
          <w:tcPr>
            <w:tcW w:type="dxa" w:w="4176"/>
            <w:shd w:val="clear" w:color="auto" w:fill="2F6DB3"/>
          </w:tcPr>
          <w:p>
            <w:r>
              <w:rPr>
                <w:b/>
                <w:color w:val="FFFFFF"/>
                <w:sz w:val="20"/>
              </w:rPr>
              <w:t>Contents</w:t>
            </w:r>
          </w:p>
        </w:tc>
      </w:tr>
      <w:tr>
        <w:tc>
          <w:tcPr>
            <w:tcW w:type="dxa" w:w="5184"/>
            <w:shd w:val="clear" w:color="auto" w:fill="F2F4F8"/>
          </w:tcPr>
          <w:p>
            <w:r>
              <w:rPr>
                <w:color w:val="444444"/>
                <w:sz w:val="20"/>
              </w:rPr>
              <w:t>site/v3_ordered_images/</w:t>
            </w:r>
          </w:p>
        </w:tc>
        <w:tc>
          <w:tcPr>
            <w:tcW w:type="dxa" w:w="4176"/>
            <w:shd w:val="clear" w:color="auto" w:fill="F2F4F8"/>
          </w:tcPr>
          <w:p>
            <w:r>
              <w:rPr>
                <w:color w:val="444444"/>
                <w:sz w:val="20"/>
              </w:rPr>
              <w:t>22 SVGs — 1 overall + 13 major + 8 career</w:t>
            </w:r>
          </w:p>
        </w:tc>
      </w:tr>
      <w:tr>
        <w:tc>
          <w:tcPr>
            <w:tcW w:type="dxa" w:w="5184"/>
          </w:tcPr>
          <w:p>
            <w:r>
              <w:rPr>
                <w:color w:val="444444"/>
                <w:sz w:val="20"/>
              </w:rPr>
              <w:t>site/incoming_grad_grouped_dashboard_images/</w:t>
            </w:r>
          </w:p>
        </w:tc>
        <w:tc>
          <w:tcPr>
            <w:tcW w:type="dxa" w:w="4176"/>
          </w:tcPr>
          <w:p>
            <w:r>
              <w:rPr>
                <w:color w:val="444444"/>
                <w:sz w:val="20"/>
              </w:rPr>
              <w:t>27 SVGs — 1 overall + 13 incoming + 13 graduating</w:t>
            </w:r>
          </w:p>
        </w:tc>
      </w:tr>
      <w:tr>
        <w:tc>
          <w:tcPr>
            <w:tcW w:type="dxa" w:w="5184"/>
            <w:shd w:val="clear" w:color="auto" w:fill="F2F4F8"/>
          </w:tcPr>
          <w:p>
            <w:r>
              <w:rPr>
                <w:color w:val="444444"/>
                <w:sz w:val="20"/>
              </w:rPr>
              <w:t>site/incoming_grad_grouped_college_dashboard_images/</w:t>
            </w:r>
          </w:p>
        </w:tc>
        <w:tc>
          <w:tcPr>
            <w:tcW w:type="dxa" w:w="4176"/>
            <w:shd w:val="clear" w:color="auto" w:fill="F2F4F8"/>
          </w:tcPr>
          <w:p>
            <w:r>
              <w:rPr>
                <w:color w:val="444444"/>
                <w:sz w:val="20"/>
              </w:rPr>
              <w:t>38 SVGs — 1 overall + college + group views</w:t>
            </w:r>
          </w:p>
        </w:tc>
      </w:tr>
    </w:tbl>
    <w:p/>
    <w:p>
      <w:r>
        <w:br w:type="page"/>
      </w:r>
    </w:p>
    <w:p>
      <w:pPr>
        <w:spacing w:before="360" w:after="80"/>
        <w:pBdr>
          <w:bottom w:val="single" w:sz="8" w:space="1" w:color="2F6DB3"/>
        </w:pBdr>
      </w:pPr>
      <w:r>
        <w:rPr>
          <w:b/>
          <w:color w:val="122A52"/>
          <w:sz w:val="32"/>
        </w:rPr>
        <w:t>7. PACKAGE FILE INVENTORY</w:t>
      </w:r>
    </w:p>
    <w:p>
      <w:pPr>
        <w:spacing w:before="40" w:after="80"/>
      </w:pPr>
      <w:r>
        <w:rPr>
          <w:i w:val="0"/>
          <w:color w:val="444444"/>
          <w:sz w:val="21"/>
        </w:rPr>
        <w:t>The complete file set needed to view the dashboards, understand every decision, and regenerate from new data. Everything here is in the reproducible_package/ folder.</w:t>
      </w:r>
    </w:p>
    <w:p>
      <w:pPr>
        <w:spacing w:before="240" w:after="40"/>
      </w:pPr>
      <w:r>
        <w:rPr>
          <w:b/>
          <w:color w:val="2F6DB3"/>
          <w:sz w:val="26"/>
        </w:rPr>
        <w:t>Documentation files</w:t>
      </w:r>
    </w:p>
    <w:tbl>
      <w:tblPr>
        <w:tblStyle w:val="TableGrid"/>
        <w:tblW w:type="auto" w:w="0"/>
        <w:jc w:val="left"/>
        <w:tblLook w:firstColumn="1" w:firstRow="1" w:lastColumn="0" w:lastRow="0" w:noHBand="0" w:noVBand="1" w:val="04A0"/>
      </w:tblPr>
      <w:tblGrid>
        <w:gridCol w:w="4703"/>
        <w:gridCol w:w="4703"/>
      </w:tblGrid>
      <w:tr>
        <w:tc>
          <w:tcPr>
            <w:tcW w:type="dxa" w:w="4608"/>
            <w:shd w:val="clear" w:color="auto" w:fill="2F6DB3"/>
          </w:tcPr>
          <w:p>
            <w:r>
              <w:rPr>
                <w:b/>
                <w:color w:val="FFFFFF"/>
                <w:sz w:val="20"/>
              </w:rPr>
              <w:t>File</w:t>
            </w:r>
          </w:p>
        </w:tc>
        <w:tc>
          <w:tcPr>
            <w:tcW w:type="dxa" w:w="4752"/>
            <w:shd w:val="clear" w:color="auto" w:fill="2F6DB3"/>
          </w:tcPr>
          <w:p>
            <w:r>
              <w:rPr>
                <w:b/>
                <w:color w:val="FFFFFF"/>
                <w:sz w:val="20"/>
              </w:rPr>
              <w:t>Contents</w:t>
            </w:r>
          </w:p>
        </w:tc>
      </w:tr>
      <w:tr>
        <w:tc>
          <w:tcPr>
            <w:tcW w:type="dxa" w:w="4608"/>
            <w:shd w:val="clear" w:color="auto" w:fill="F2F4F8"/>
          </w:tcPr>
          <w:p>
            <w:r>
              <w:rPr>
                <w:color w:val="444444"/>
                <w:sz w:val="20"/>
              </w:rPr>
              <w:t>README.md</w:t>
            </w:r>
          </w:p>
        </w:tc>
        <w:tc>
          <w:tcPr>
            <w:tcW w:type="dxa" w:w="4752"/>
            <w:shd w:val="clear" w:color="auto" w:fill="F2F4F8"/>
          </w:tcPr>
          <w:p>
            <w:r>
              <w:rPr>
                <w:color w:val="444444"/>
                <w:sz w:val="20"/>
              </w:rPr>
              <w:t>Quick start + package guide + how to update for a new cohort</w:t>
            </w:r>
          </w:p>
        </w:tc>
      </w:tr>
      <w:tr>
        <w:tc>
          <w:tcPr>
            <w:tcW w:type="dxa" w:w="4608"/>
          </w:tcPr>
          <w:p>
            <w:r>
              <w:rPr>
                <w:color w:val="444444"/>
                <w:sz w:val="20"/>
              </w:rPr>
              <w:t>PIPELINE_OVERVIEW.md</w:t>
            </w:r>
          </w:p>
        </w:tc>
        <w:tc>
          <w:tcPr>
            <w:tcW w:type="dxa" w:w="4752"/>
          </w:tcPr>
          <w:p>
            <w:r>
              <w:rPr>
                <w:color w:val="444444"/>
                <w:sz w:val="20"/>
              </w:rPr>
              <w:t>Full data flow diagram + per-step explanation + common errors</w:t>
            </w:r>
          </w:p>
        </w:tc>
      </w:tr>
      <w:tr>
        <w:tc>
          <w:tcPr>
            <w:tcW w:type="dxa" w:w="4608"/>
            <w:shd w:val="clear" w:color="auto" w:fill="F2F4F8"/>
          </w:tcPr>
          <w:p>
            <w:r>
              <w:rPr>
                <w:color w:val="444444"/>
                <w:sz w:val="20"/>
              </w:rPr>
              <w:t>DATA_CLEANING_DECISIONS.md</w:t>
            </w:r>
          </w:p>
        </w:tc>
        <w:tc>
          <w:tcPr>
            <w:tcW w:type="dxa" w:w="4752"/>
            <w:shd w:val="clear" w:color="auto" w:fill="F2F4F8"/>
          </w:tcPr>
          <w:p>
            <w:r>
              <w:rPr>
                <w:color w:val="444444"/>
                <w:sz w:val="20"/>
              </w:rPr>
              <w:t>10 documented data decisions with rationale</w:t>
            </w:r>
          </w:p>
        </w:tc>
      </w:tr>
      <w:tr>
        <w:tc>
          <w:tcPr>
            <w:tcW w:type="dxa" w:w="4608"/>
          </w:tcPr>
          <w:p>
            <w:r>
              <w:rPr>
                <w:color w:val="444444"/>
                <w:sz w:val="20"/>
              </w:rPr>
              <w:t>VISUALIZATION_RULES.md</w:t>
            </w:r>
          </w:p>
        </w:tc>
        <w:tc>
          <w:tcPr>
            <w:tcW w:type="dxa" w:w="4752"/>
          </w:tcPr>
          <w:p>
            <w:r>
              <w:rPr>
                <w:color w:val="444444"/>
                <w:sz w:val="20"/>
              </w:rPr>
              <w:t>Color system, arc ordering, taper params, SVG structure</w:t>
            </w:r>
          </w:p>
        </w:tc>
      </w:tr>
      <w:tr>
        <w:tc>
          <w:tcPr>
            <w:tcW w:type="dxa" w:w="4608"/>
            <w:shd w:val="clear" w:color="auto" w:fill="F2F4F8"/>
          </w:tcPr>
          <w:p>
            <w:r>
              <w:rPr>
                <w:color w:val="444444"/>
                <w:sz w:val="20"/>
              </w:rPr>
              <w:t>CIRCOS_SETUP.md</w:t>
            </w:r>
          </w:p>
        </w:tc>
        <w:tc>
          <w:tcPr>
            <w:tcW w:type="dxa" w:w="4752"/>
            <w:shd w:val="clear" w:color="auto" w:fill="F2F4F8"/>
          </w:tcPr>
          <w:p>
            <w:r>
              <w:rPr>
                <w:color w:val="444444"/>
                <w:sz w:val="20"/>
              </w:rPr>
              <w:t>Circos installation steps for Windows, macOS, and Linux</w:t>
            </w:r>
          </w:p>
        </w:tc>
      </w:tr>
      <w:tr>
        <w:tc>
          <w:tcPr>
            <w:tcW w:type="dxa" w:w="4608"/>
          </w:tcPr>
          <w:p>
            <w:r>
              <w:rPr>
                <w:color w:val="444444"/>
                <w:sz w:val="20"/>
              </w:rPr>
              <w:t>requirements.txt</w:t>
            </w:r>
          </w:p>
        </w:tc>
        <w:tc>
          <w:tcPr>
            <w:tcW w:type="dxa" w:w="4752"/>
          </w:tcPr>
          <w:p>
            <w:r>
              <w:rPr>
                <w:color w:val="444444"/>
                <w:sz w:val="20"/>
              </w:rPr>
              <w:t>Python dependencies: pandas, openpyxl</w:t>
            </w:r>
          </w:p>
        </w:tc>
      </w:tr>
      <w:tr>
        <w:tc>
          <w:tcPr>
            <w:tcW w:type="dxa" w:w="4608"/>
            <w:shd w:val="clear" w:color="auto" w:fill="F2F4F8"/>
          </w:tcPr>
          <w:p>
            <w:r>
              <w:rPr>
                <w:color w:val="444444"/>
                <w:sz w:val="20"/>
              </w:rPr>
              <w:t>run_pipeline.py</w:t>
            </w:r>
          </w:p>
        </w:tc>
        <w:tc>
          <w:tcPr>
            <w:tcW w:type="dxa" w:w="4752"/>
            <w:shd w:val="clear" w:color="auto" w:fill="F2F4F8"/>
          </w:tcPr>
          <w:p>
            <w:r>
              <w:rPr>
                <w:color w:val="444444"/>
                <w:sz w:val="20"/>
              </w:rPr>
              <w:t>Master runner — runs all 10 steps in order</w:t>
            </w:r>
          </w:p>
        </w:tc>
      </w:tr>
      <w:tr>
        <w:tc>
          <w:tcPr>
            <w:tcW w:type="dxa" w:w="4608"/>
          </w:tcPr>
          <w:p>
            <w:r>
              <w:rPr>
                <w:color w:val="444444"/>
                <w:sz w:val="20"/>
              </w:rPr>
              <w:t>Career_Outcome_Visualization_Report.docx</w:t>
            </w:r>
          </w:p>
        </w:tc>
        <w:tc>
          <w:tcPr>
            <w:tcW w:type="dxa" w:w="4752"/>
          </w:tcPr>
          <w:p>
            <w:r>
              <w:rPr>
                <w:color w:val="444444"/>
                <w:sz w:val="20"/>
              </w:rPr>
              <w:t>This document</w:t>
            </w:r>
          </w:p>
        </w:tc>
      </w:tr>
    </w:tbl>
    <w:p/>
    <w:p>
      <w:pPr>
        <w:spacing w:before="240" w:after="40"/>
      </w:pPr>
      <w:r>
        <w:rPr>
          <w:b/>
          <w:color w:val="2F6DB3"/>
          <w:sz w:val="26"/>
        </w:rPr>
        <w:t>Input data files</w:t>
      </w:r>
    </w:p>
    <w:tbl>
      <w:tblPr>
        <w:tblStyle w:val="TableGrid"/>
        <w:tblW w:type="auto" w:w="0"/>
        <w:jc w:val="left"/>
        <w:tblLook w:firstColumn="1" w:firstRow="1" w:lastColumn="0" w:lastRow="0" w:noHBand="0" w:noVBand="1" w:val="04A0"/>
      </w:tblPr>
      <w:tblGrid>
        <w:gridCol w:w="4703"/>
        <w:gridCol w:w="4703"/>
      </w:tblGrid>
      <w:tr>
        <w:tc>
          <w:tcPr>
            <w:tcW w:type="dxa" w:w="5472"/>
            <w:shd w:val="clear" w:color="auto" w:fill="2F6DB3"/>
          </w:tcPr>
          <w:p>
            <w:r>
              <w:rPr>
                <w:b/>
                <w:color w:val="FFFFFF"/>
                <w:sz w:val="20"/>
              </w:rPr>
              <w:t>File</w:t>
            </w:r>
          </w:p>
        </w:tc>
        <w:tc>
          <w:tcPr>
            <w:tcW w:type="dxa" w:w="3888"/>
            <w:shd w:val="clear" w:color="auto" w:fill="2F6DB3"/>
          </w:tcPr>
          <w:p>
            <w:r>
              <w:rPr>
                <w:b/>
                <w:color w:val="FFFFFF"/>
                <w:sz w:val="20"/>
              </w:rPr>
              <w:t>Description</w:t>
            </w:r>
          </w:p>
        </w:tc>
      </w:tr>
      <w:tr>
        <w:tc>
          <w:tcPr>
            <w:tcW w:type="dxa" w:w="5472"/>
            <w:shd w:val="clear" w:color="auto" w:fill="F2F4F8"/>
          </w:tcPr>
          <w:p>
            <w:r>
              <w:rPr>
                <w:color w:val="444444"/>
                <w:sz w:val="20"/>
              </w:rPr>
              <w:t>career_survey_data.xlsx</w:t>
            </w:r>
          </w:p>
        </w:tc>
        <w:tc>
          <w:tcPr>
            <w:tcW w:type="dxa" w:w="3888"/>
            <w:shd w:val="clear" w:color="auto" w:fill="F2F4F8"/>
          </w:tcPr>
          <w:p>
            <w:r>
              <w:rPr>
                <w:color w:val="444444"/>
                <w:sz w:val="20"/>
              </w:rPr>
              <w:t>Raw career survey (4,129 rows)</w:t>
            </w:r>
          </w:p>
        </w:tc>
      </w:tr>
      <w:tr>
        <w:tc>
          <w:tcPr>
            <w:tcW w:type="dxa" w:w="5472"/>
          </w:tcPr>
          <w:p>
            <w:r>
              <w:rPr>
                <w:color w:val="444444"/>
                <w:sz w:val="20"/>
              </w:rPr>
              <w:t>inputs/Major_Job_Cluster_Lookup_Rebuilt_Full_baseline.csv</w:t>
            </w:r>
          </w:p>
        </w:tc>
        <w:tc>
          <w:tcPr>
            <w:tcW w:type="dxa" w:w="3888"/>
          </w:tcPr>
          <w:p>
            <w:r>
              <w:rPr>
                <w:color w:val="444444"/>
                <w:sz w:val="20"/>
              </w:rPr>
              <w:t>Baseline lookup (all graduates classified)</w:t>
            </w:r>
          </w:p>
        </w:tc>
      </w:tr>
      <w:tr>
        <w:tc>
          <w:tcPr>
            <w:tcW w:type="dxa" w:w="5472"/>
            <w:shd w:val="clear" w:color="auto" w:fill="F2F4F8"/>
          </w:tcPr>
          <w:p>
            <w:r>
              <w:rPr>
                <w:color w:val="444444"/>
                <w:sz w:val="20"/>
              </w:rPr>
              <w:t>inputs/Major_Job_Cluster_Lookup_Filtered_baseline.csv</w:t>
            </w:r>
          </w:p>
        </w:tc>
        <w:tc>
          <w:tcPr>
            <w:tcW w:type="dxa" w:w="3888"/>
            <w:shd w:val="clear" w:color="auto" w:fill="F2F4F8"/>
          </w:tcPr>
          <w:p>
            <w:r>
              <w:rPr>
                <w:color w:val="444444"/>
                <w:sz w:val="20"/>
              </w:rPr>
              <w:t>Earlier filtered lookup (reference)</w:t>
            </w:r>
          </w:p>
        </w:tc>
      </w:tr>
      <w:tr>
        <w:tc>
          <w:tcPr>
            <w:tcW w:type="dxa" w:w="5472"/>
          </w:tcPr>
          <w:p>
            <w:r>
              <w:rPr>
                <w:color w:val="444444"/>
                <w:sz w:val="20"/>
              </w:rPr>
              <w:t>inputs/job_title_categorized.csv</w:t>
            </w:r>
          </w:p>
        </w:tc>
        <w:tc>
          <w:tcPr>
            <w:tcW w:type="dxa" w:w="3888"/>
          </w:tcPr>
          <w:p>
            <w:r>
              <w:rPr>
                <w:color w:val="444444"/>
                <w:sz w:val="20"/>
              </w:rPr>
              <w:t>87 manual job-title category overrides</w:t>
            </w:r>
          </w:p>
        </w:tc>
      </w:tr>
      <w:tr>
        <w:tc>
          <w:tcPr>
            <w:tcW w:type="dxa" w:w="5472"/>
            <w:shd w:val="clear" w:color="auto" w:fill="F2F4F8"/>
          </w:tcPr>
          <w:p>
            <w:r>
              <w:rPr>
                <w:color w:val="444444"/>
                <w:sz w:val="20"/>
              </w:rPr>
              <w:t>inputs/Major_Career_Analysis_v4__Cluster_Breakdown.csv</w:t>
            </w:r>
          </w:p>
        </w:tc>
        <w:tc>
          <w:tcPr>
            <w:tcW w:type="dxa" w:w="3888"/>
            <w:shd w:val="clear" w:color="auto" w:fill="F2F4F8"/>
          </w:tcPr>
          <w:p>
            <w:r>
              <w:rPr>
                <w:color w:val="444444"/>
                <w:sz w:val="20"/>
              </w:rPr>
              <w:t>External major cluster reference</w:t>
            </w:r>
          </w:p>
        </w:tc>
      </w:tr>
      <w:tr>
        <w:tc>
          <w:tcPr>
            <w:tcW w:type="dxa" w:w="5472"/>
          </w:tcPr>
          <w:p>
            <w:r>
              <w:rPr>
                <w:color w:val="444444"/>
                <w:sz w:val="20"/>
              </w:rPr>
              <w:t>inputs/Major_Career_Analysis_v4__Career_Analysis.csv</w:t>
            </w:r>
          </w:p>
        </w:tc>
        <w:tc>
          <w:tcPr>
            <w:tcW w:type="dxa" w:w="3888"/>
          </w:tcPr>
          <w:p>
            <w:r>
              <w:rPr>
                <w:color w:val="444444"/>
                <w:sz w:val="20"/>
              </w:rPr>
              <w:t>External career cluster reference</w:t>
            </w:r>
          </w:p>
        </w:tc>
      </w:tr>
      <w:tr>
        <w:tc>
          <w:tcPr>
            <w:tcW w:type="dxa" w:w="5472"/>
            <w:shd w:val="clear" w:color="auto" w:fill="F2F4F8"/>
          </w:tcPr>
          <w:p>
            <w:r>
              <w:rPr>
                <w:color w:val="444444"/>
                <w:sz w:val="20"/>
              </w:rPr>
              <w:t>site/incomingmajor_fall2022_csv/Class_of_2026_CPF_vs_SP26.csv</w:t>
            </w:r>
          </w:p>
        </w:tc>
        <w:tc>
          <w:tcPr>
            <w:tcW w:type="dxa" w:w="3888"/>
            <w:shd w:val="clear" w:color="auto" w:fill="F2F4F8"/>
          </w:tcPr>
          <w:p>
            <w:r>
              <w:rPr>
                <w:color w:val="444444"/>
                <w:sz w:val="20"/>
              </w:rPr>
              <w:t>Enrollment transition data (925 students)</w:t>
            </w:r>
          </w:p>
        </w:tc>
      </w:tr>
      <w:tr>
        <w:tc>
          <w:tcPr>
            <w:tcW w:type="dxa" w:w="5472"/>
          </w:tcPr>
          <w:p>
            <w:r>
              <w:rPr>
                <w:color w:val="444444"/>
                <w:sz w:val="20"/>
              </w:rPr>
              <w:t>site/incomingmajor_fall2022_csv/major.csv</w:t>
            </w:r>
          </w:p>
        </w:tc>
        <w:tc>
          <w:tcPr>
            <w:tcW w:type="dxa" w:w="3888"/>
          </w:tcPr>
          <w:p>
            <w:r>
              <w:rPr>
                <w:color w:val="444444"/>
                <w:sz w:val="20"/>
              </w:rPr>
              <w:t>Major → group → college mapping</w:t>
            </w:r>
          </w:p>
        </w:tc>
      </w:tr>
    </w:tbl>
    <w:p/>
    <w:p>
      <w:pPr>
        <w:spacing w:before="240" w:after="40"/>
      </w:pPr>
      <w:r>
        <w:rPr>
          <w:b/>
          <w:color w:val="2F6DB3"/>
          <w:sz w:val="26"/>
        </w:rPr>
        <w:t>Pre-built outputs (ready to use without running the pipeline)</w:t>
      </w:r>
    </w:p>
    <w:tbl>
      <w:tblPr>
        <w:tblStyle w:val="TableGrid"/>
        <w:tblW w:type="auto" w:w="0"/>
        <w:jc w:val="left"/>
        <w:tblLook w:firstColumn="1" w:firstRow="1" w:lastColumn="0" w:lastRow="0" w:noHBand="0" w:noVBand="1" w:val="04A0"/>
      </w:tblPr>
      <w:tblGrid>
        <w:gridCol w:w="4703"/>
        <w:gridCol w:w="4703"/>
      </w:tblGrid>
      <w:tr>
        <w:tc>
          <w:tcPr>
            <w:tcW w:type="dxa" w:w="5472"/>
            <w:shd w:val="clear" w:color="auto" w:fill="2F6DB3"/>
          </w:tcPr>
          <w:p>
            <w:r>
              <w:rPr>
                <w:b/>
                <w:color w:val="FFFFFF"/>
                <w:sz w:val="20"/>
              </w:rPr>
              <w:t>File / folder</w:t>
            </w:r>
          </w:p>
        </w:tc>
        <w:tc>
          <w:tcPr>
            <w:tcW w:type="dxa" w:w="3888"/>
            <w:shd w:val="clear" w:color="auto" w:fill="2F6DB3"/>
          </w:tcPr>
          <w:p>
            <w:r>
              <w:rPr>
                <w:b/>
                <w:color w:val="FFFFFF"/>
                <w:sz w:val="20"/>
              </w:rPr>
              <w:t>Description</w:t>
            </w:r>
          </w:p>
        </w:tc>
      </w:tr>
      <w:tr>
        <w:tc>
          <w:tcPr>
            <w:tcW w:type="dxa" w:w="5472"/>
            <w:shd w:val="clear" w:color="auto" w:fill="F2F4F8"/>
          </w:tcPr>
          <w:p>
            <w:r>
              <w:rPr>
                <w:color w:val="444444"/>
                <w:sz w:val="20"/>
              </w:rPr>
              <w:t>outputs/lookup/Major_Job_Cluster_Lookup_v2_filtered_career_merged.csv</w:t>
            </w:r>
          </w:p>
        </w:tc>
        <w:tc>
          <w:tcPr>
            <w:tcW w:type="dxa" w:w="3888"/>
            <w:shd w:val="clear" w:color="auto" w:fill="F2F4F8"/>
          </w:tcPr>
          <w:p>
            <w:r>
              <w:rPr>
                <w:color w:val="444444"/>
                <w:sz w:val="20"/>
              </w:rPr>
              <w:t>Final production lookup — 2,682 classified graduates with major and career clusters</w:t>
            </w:r>
          </w:p>
        </w:tc>
      </w:tr>
      <w:tr>
        <w:tc>
          <w:tcPr>
            <w:tcW w:type="dxa" w:w="5472"/>
          </w:tcPr>
          <w:p>
            <w:r>
              <w:rPr>
                <w:color w:val="444444"/>
                <w:sz w:val="20"/>
              </w:rPr>
              <w:t>site/index.html</w:t>
            </w:r>
          </w:p>
        </w:tc>
        <w:tc>
          <w:tcPr>
            <w:tcW w:type="dxa" w:w="3888"/>
          </w:tcPr>
          <w:p>
            <w:r>
              <w:rPr>
                <w:color w:val="444444"/>
                <w:sz w:val="20"/>
              </w:rPr>
              <w:t>Career outcomes dashboard (opens in browser)</w:t>
            </w:r>
          </w:p>
        </w:tc>
      </w:tr>
      <w:tr>
        <w:tc>
          <w:tcPr>
            <w:tcW w:type="dxa" w:w="5472"/>
            <w:shd w:val="clear" w:color="auto" w:fill="F2F4F8"/>
          </w:tcPr>
          <w:p>
            <w:r>
              <w:rPr>
                <w:color w:val="444444"/>
                <w:sz w:val="20"/>
              </w:rPr>
              <w:t>site/incoming_grad_grouped.html</w:t>
            </w:r>
          </w:p>
        </w:tc>
        <w:tc>
          <w:tcPr>
            <w:tcW w:type="dxa" w:w="3888"/>
            <w:shd w:val="clear" w:color="auto" w:fill="F2F4F8"/>
          </w:tcPr>
          <w:p>
            <w:r>
              <w:rPr>
                <w:color w:val="444444"/>
                <w:sz w:val="20"/>
              </w:rPr>
              <w:t>Industry mobility dashboard</w:t>
            </w:r>
          </w:p>
        </w:tc>
      </w:tr>
      <w:tr>
        <w:tc>
          <w:tcPr>
            <w:tcW w:type="dxa" w:w="5472"/>
          </w:tcPr>
          <w:p>
            <w:r>
              <w:rPr>
                <w:color w:val="444444"/>
                <w:sz w:val="20"/>
              </w:rPr>
              <w:t>site/incoming_grad_grouped_college.html</w:t>
            </w:r>
          </w:p>
        </w:tc>
        <w:tc>
          <w:tcPr>
            <w:tcW w:type="dxa" w:w="3888"/>
          </w:tcPr>
          <w:p>
            <w:r>
              <w:rPr>
                <w:color w:val="444444"/>
                <w:sz w:val="20"/>
              </w:rPr>
              <w:t>College mobility dashboard</w:t>
            </w:r>
          </w:p>
        </w:tc>
      </w:tr>
      <w:tr>
        <w:tc>
          <w:tcPr>
            <w:tcW w:type="dxa" w:w="5472"/>
            <w:shd w:val="clear" w:color="auto" w:fill="F2F4F8"/>
          </w:tcPr>
          <w:p>
            <w:r>
              <w:rPr>
                <w:color w:val="444444"/>
                <w:sz w:val="20"/>
              </w:rPr>
              <w:t>site/dashboard_docs.css / .js</w:t>
            </w:r>
          </w:p>
        </w:tc>
        <w:tc>
          <w:tcPr>
            <w:tcW w:type="dxa" w:w="3888"/>
            <w:shd w:val="clear" w:color="auto" w:fill="F2F4F8"/>
          </w:tcPr>
          <w:p>
            <w:r>
              <w:rPr>
                <w:color w:val="444444"/>
                <w:sz w:val="20"/>
              </w:rPr>
              <w:t>Shared stylesheet and interaction JavaScript</w:t>
            </w:r>
          </w:p>
        </w:tc>
      </w:tr>
      <w:tr>
        <w:tc>
          <w:tcPr>
            <w:tcW w:type="dxa" w:w="5472"/>
          </w:tcPr>
          <w:p>
            <w:r>
              <w:rPr>
                <w:color w:val="444444"/>
                <w:sz w:val="20"/>
              </w:rPr>
              <w:t>site/dashboard_docs_data.js</w:t>
            </w:r>
          </w:p>
        </w:tc>
        <w:tc>
          <w:tcPr>
            <w:tcW w:type="dxa" w:w="3888"/>
          </w:tcPr>
          <w:p>
            <w:r>
              <w:rPr>
                <w:color w:val="444444"/>
                <w:sz w:val="20"/>
              </w:rPr>
              <w:t>Methodology text for docs panel (hand-maintained)</w:t>
            </w:r>
          </w:p>
        </w:tc>
      </w:tr>
      <w:tr>
        <w:tc>
          <w:tcPr>
            <w:tcW w:type="dxa" w:w="5472"/>
            <w:shd w:val="clear" w:color="auto" w:fill="F2F4F8"/>
          </w:tcPr>
          <w:p>
            <w:r>
              <w:rPr>
                <w:color w:val="444444"/>
                <w:sz w:val="20"/>
              </w:rPr>
              <w:t>site/v3_ordered_images/ (22 SVGs)</w:t>
            </w:r>
          </w:p>
        </w:tc>
        <w:tc>
          <w:tcPr>
            <w:tcW w:type="dxa" w:w="3888"/>
            <w:shd w:val="clear" w:color="auto" w:fill="F2F4F8"/>
          </w:tcPr>
          <w:p>
            <w:r>
              <w:rPr>
                <w:color w:val="444444"/>
                <w:sz w:val="20"/>
              </w:rPr>
              <w:t>Career dashboard graphics</w:t>
            </w:r>
          </w:p>
        </w:tc>
      </w:tr>
      <w:tr>
        <w:tc>
          <w:tcPr>
            <w:tcW w:type="dxa" w:w="5472"/>
          </w:tcPr>
          <w:p>
            <w:r>
              <w:rPr>
                <w:color w:val="444444"/>
                <w:sz w:val="20"/>
              </w:rPr>
              <w:t>site/incoming_grad_grouped_dashboard_images/ (27 SVGs)</w:t>
            </w:r>
          </w:p>
        </w:tc>
        <w:tc>
          <w:tcPr>
            <w:tcW w:type="dxa" w:w="3888"/>
          </w:tcPr>
          <w:p>
            <w:r>
              <w:rPr>
                <w:color w:val="444444"/>
                <w:sz w:val="20"/>
              </w:rPr>
              <w:t>Industry dashboard graphics</w:t>
            </w:r>
          </w:p>
        </w:tc>
      </w:tr>
      <w:tr>
        <w:tc>
          <w:tcPr>
            <w:tcW w:type="dxa" w:w="5472"/>
            <w:shd w:val="clear" w:color="auto" w:fill="F2F4F8"/>
          </w:tcPr>
          <w:p>
            <w:r>
              <w:rPr>
                <w:color w:val="444444"/>
                <w:sz w:val="20"/>
              </w:rPr>
              <w:t>site/incoming_grad_grouped_college_dashboard_images/ (38 SVGs)</w:t>
            </w:r>
          </w:p>
        </w:tc>
        <w:tc>
          <w:tcPr>
            <w:tcW w:type="dxa" w:w="3888"/>
            <w:shd w:val="clear" w:color="auto" w:fill="F2F4F8"/>
          </w:tcPr>
          <w:p>
            <w:r>
              <w:rPr>
                <w:color w:val="444444"/>
                <w:sz w:val="20"/>
              </w:rPr>
              <w:t>College dashboard graphics</w:t>
            </w:r>
          </w:p>
        </w:tc>
      </w:tr>
    </w:tbl>
    <w:p/>
    <w:p>
      <w:pPr>
        <w:spacing w:before="240" w:after="40"/>
      </w:pPr>
      <w:r>
        <w:rPr>
          <w:b/>
          <w:color w:val="2F6DB3"/>
          <w:sz w:val="26"/>
        </w:rPr>
        <w:t>Pipeline scripts (scripts/ folder)</w:t>
      </w:r>
    </w:p>
    <w:tbl>
      <w:tblPr>
        <w:tblStyle w:val="TableGrid"/>
        <w:tblW w:type="auto" w:w="0"/>
        <w:jc w:val="left"/>
        <w:tblLook w:firstColumn="1" w:firstRow="1" w:lastColumn="0" w:lastRow="0" w:noHBand="0" w:noVBand="1" w:val="04A0"/>
      </w:tblPr>
      <w:tblGrid>
        <w:gridCol w:w="4703"/>
        <w:gridCol w:w="4703"/>
      </w:tblGrid>
      <w:tr>
        <w:tc>
          <w:tcPr>
            <w:tcW w:type="dxa" w:w="4320"/>
            <w:shd w:val="clear" w:color="auto" w:fill="2F6DB3"/>
          </w:tcPr>
          <w:p>
            <w:r>
              <w:rPr>
                <w:b/>
                <w:color w:val="FFFFFF"/>
                <w:sz w:val="20"/>
              </w:rPr>
              <w:t>Script</w:t>
            </w:r>
          </w:p>
        </w:tc>
        <w:tc>
          <w:tcPr>
            <w:tcW w:type="dxa" w:w="5040"/>
            <w:shd w:val="clear" w:color="auto" w:fill="2F6DB3"/>
          </w:tcPr>
          <w:p>
            <w:r>
              <w:rPr>
                <w:b/>
                <w:color w:val="FFFFFF"/>
                <w:sz w:val="20"/>
              </w:rPr>
              <w:t>Role</w:t>
            </w:r>
          </w:p>
        </w:tc>
      </w:tr>
      <w:tr>
        <w:tc>
          <w:tcPr>
            <w:tcW w:type="dxa" w:w="4320"/>
            <w:shd w:val="clear" w:color="auto" w:fill="F2F4F8"/>
          </w:tcPr>
          <w:p>
            <w:r>
              <w:rPr>
                <w:color w:val="444444"/>
                <w:sz w:val="20"/>
              </w:rPr>
              <w:t>01_rebuild_cluster_lookup.py</w:t>
            </w:r>
          </w:p>
        </w:tc>
        <w:tc>
          <w:tcPr>
            <w:tcW w:type="dxa" w:w="5040"/>
            <w:shd w:val="clear" w:color="auto" w:fill="F2F4F8"/>
          </w:tcPr>
          <w:p>
            <w:r>
              <w:rPr>
                <w:color w:val="444444"/>
                <w:sz w:val="20"/>
              </w:rPr>
              <w:t>Excel → row-level classified lookup (Steps 1 of career track)</w:t>
            </w:r>
          </w:p>
        </w:tc>
      </w:tr>
      <w:tr>
        <w:tc>
          <w:tcPr>
            <w:tcW w:type="dxa" w:w="4320"/>
          </w:tcPr>
          <w:p>
            <w:r>
              <w:rPr>
                <w:color w:val="444444"/>
                <w:sz w:val="20"/>
              </w:rPr>
              <w:t>02_remap_major_clusters.py</w:t>
            </w:r>
          </w:p>
        </w:tc>
        <w:tc>
          <w:tcPr>
            <w:tcW w:type="dxa" w:w="5040"/>
          </w:tcPr>
          <w:p>
            <w:r>
              <w:rPr>
                <w:color w:val="444444"/>
                <w:sz w:val="20"/>
              </w:rPr>
              <w:t>Consolidate major clusters (24 → 13)</w:t>
            </w:r>
          </w:p>
        </w:tc>
      </w:tr>
      <w:tr>
        <w:tc>
          <w:tcPr>
            <w:tcW w:type="dxa" w:w="4320"/>
            <w:shd w:val="clear" w:color="auto" w:fill="F2F4F8"/>
          </w:tcPr>
          <w:p>
            <w:r>
              <w:rPr>
                <w:color w:val="444444"/>
                <w:sz w:val="20"/>
              </w:rPr>
              <w:t>03_remap_career_clusters.py</w:t>
            </w:r>
          </w:p>
        </w:tc>
        <w:tc>
          <w:tcPr>
            <w:tcW w:type="dxa" w:w="5040"/>
            <w:shd w:val="clear" w:color="auto" w:fill="F2F4F8"/>
          </w:tcPr>
          <w:p>
            <w:r>
              <w:rPr>
                <w:color w:val="444444"/>
                <w:sz w:val="20"/>
              </w:rPr>
              <w:t>Consolidate career clusters (14 → 8), produce final lookup</w:t>
            </w:r>
          </w:p>
        </w:tc>
      </w:tr>
      <w:tr>
        <w:tc>
          <w:tcPr>
            <w:tcW w:type="dxa" w:w="4320"/>
          </w:tcPr>
          <w:p>
            <w:r>
              <w:rPr>
                <w:color w:val="444444"/>
                <w:sz w:val="20"/>
              </w:rPr>
              <w:t>04_generate_circos_data_career.py</w:t>
            </w:r>
          </w:p>
        </w:tc>
        <w:tc>
          <w:tcPr>
            <w:tcW w:type="dxa" w:w="5040"/>
          </w:tcPr>
          <w:p>
            <w:r>
              <w:rPr>
                <w:color w:val="444444"/>
                <w:sz w:val="20"/>
              </w:rPr>
              <w:t>Lookup CSV → Circos config files for career dashboard</w:t>
            </w:r>
          </w:p>
        </w:tc>
      </w:tr>
      <w:tr>
        <w:tc>
          <w:tcPr>
            <w:tcW w:type="dxa" w:w="4320"/>
            <w:shd w:val="clear" w:color="auto" w:fill="F2F4F8"/>
          </w:tcPr>
          <w:p>
            <w:r>
              <w:rPr>
                <w:color w:val="444444"/>
                <w:sz w:val="20"/>
              </w:rPr>
              <w:t>05_taper_ribbon_svg.py</w:t>
            </w:r>
          </w:p>
        </w:tc>
        <w:tc>
          <w:tcPr>
            <w:tcW w:type="dxa" w:w="5040"/>
            <w:shd w:val="clear" w:color="auto" w:fill="F2F4F8"/>
          </w:tcPr>
          <w:p>
            <w:r>
              <w:rPr>
                <w:color w:val="444444"/>
                <w:sz w:val="20"/>
              </w:rPr>
              <w:t>Post-process SVG: taper ribbons + replace fonts</w:t>
            </w:r>
          </w:p>
        </w:tc>
      </w:tr>
      <w:tr>
        <w:tc>
          <w:tcPr>
            <w:tcW w:type="dxa" w:w="4320"/>
          </w:tcPr>
          <w:p>
            <w:r>
              <w:rPr>
                <w:color w:val="444444"/>
                <w:sz w:val="20"/>
              </w:rPr>
              <w:t>06_generate_career_focus_svgs.py</w:t>
            </w:r>
          </w:p>
        </w:tc>
        <w:tc>
          <w:tcPr>
            <w:tcW w:type="dxa" w:w="5040"/>
          </w:tcPr>
          <w:p>
            <w:r>
              <w:rPr>
                <w:color w:val="444444"/>
                <w:sz w:val="20"/>
              </w:rPr>
              <w:t>Extract 22 per-cluster focus SVGs for career dashboard</w:t>
            </w:r>
          </w:p>
        </w:tc>
      </w:tr>
      <w:tr>
        <w:tc>
          <w:tcPr>
            <w:tcW w:type="dxa" w:w="4320"/>
            <w:shd w:val="clear" w:color="auto" w:fill="F2F4F8"/>
          </w:tcPr>
          <w:p>
            <w:r>
              <w:rPr>
                <w:color w:val="444444"/>
                <w:sz w:val="20"/>
              </w:rPr>
              <w:t>07_generate_circos_data_industry.py</w:t>
            </w:r>
          </w:p>
        </w:tc>
        <w:tc>
          <w:tcPr>
            <w:tcW w:type="dxa" w:w="5040"/>
            <w:shd w:val="clear" w:color="auto" w:fill="F2F4F8"/>
          </w:tcPr>
          <w:p>
            <w:r>
              <w:rPr>
                <w:color w:val="444444"/>
                <w:sz w:val="20"/>
              </w:rPr>
              <w:t>Enrollment CSV → Circos config for industry mobility</w:t>
            </w:r>
          </w:p>
        </w:tc>
      </w:tr>
      <w:tr>
        <w:tc>
          <w:tcPr>
            <w:tcW w:type="dxa" w:w="4320"/>
          </w:tcPr>
          <w:p>
            <w:r>
              <w:rPr>
                <w:color w:val="444444"/>
                <w:sz w:val="20"/>
              </w:rPr>
              <w:t>08_generate_industry_focus_svgs.py</w:t>
            </w:r>
          </w:p>
        </w:tc>
        <w:tc>
          <w:tcPr>
            <w:tcW w:type="dxa" w:w="5040"/>
          </w:tcPr>
          <w:p>
            <w:r>
              <w:rPr>
                <w:color w:val="444444"/>
                <w:sz w:val="20"/>
              </w:rPr>
              <w:t>Extract 27 focus SVGs for industry dashboard</w:t>
            </w:r>
          </w:p>
        </w:tc>
      </w:tr>
      <w:tr>
        <w:tc>
          <w:tcPr>
            <w:tcW w:type="dxa" w:w="4320"/>
            <w:shd w:val="clear" w:color="auto" w:fill="F2F4F8"/>
          </w:tcPr>
          <w:p>
            <w:r>
              <w:rPr>
                <w:color w:val="444444"/>
                <w:sz w:val="20"/>
              </w:rPr>
              <w:t>09_generate_circos_data_college.py</w:t>
            </w:r>
          </w:p>
        </w:tc>
        <w:tc>
          <w:tcPr>
            <w:tcW w:type="dxa" w:w="5040"/>
            <w:shd w:val="clear" w:color="auto" w:fill="F2F4F8"/>
          </w:tcPr>
          <w:p>
            <w:r>
              <w:rPr>
                <w:color w:val="444444"/>
                <w:sz w:val="20"/>
              </w:rPr>
              <w:t>Enrollment CSV → Circos config for college mobility</w:t>
            </w:r>
          </w:p>
        </w:tc>
      </w:tr>
      <w:tr>
        <w:tc>
          <w:tcPr>
            <w:tcW w:type="dxa" w:w="4320"/>
          </w:tcPr>
          <w:p>
            <w:r>
              <w:rPr>
                <w:color w:val="444444"/>
                <w:sz w:val="20"/>
              </w:rPr>
              <w:t>10_generate_college_focus_svgs.py</w:t>
            </w:r>
          </w:p>
        </w:tc>
        <w:tc>
          <w:tcPr>
            <w:tcW w:type="dxa" w:w="5040"/>
          </w:tcPr>
          <w:p>
            <w:r>
              <w:rPr>
                <w:color w:val="444444"/>
                <w:sz w:val="20"/>
              </w:rPr>
              <w:t>Extract 38 focus SVGs for college dashboard</w:t>
            </w:r>
          </w:p>
        </w:tc>
      </w:tr>
    </w:tbl>
    <w:p/>
    <w:p>
      <w:r>
        <w:br w:type="page"/>
      </w:r>
    </w:p>
    <w:p>
      <w:pPr>
        <w:spacing w:before="360" w:after="80"/>
        <w:pBdr>
          <w:bottom w:val="single" w:sz="8" w:space="1" w:color="2F6DB3"/>
        </w:pBdr>
      </w:pPr>
      <w:r>
        <w:rPr>
          <w:b/>
          <w:color w:val="122A52"/>
          <w:sz w:val="32"/>
        </w:rPr>
        <w:t>8. HOW TO USE THIS PACKAGE</w:t>
      </w:r>
    </w:p>
    <w:p>
      <w:pPr>
        <w:spacing w:before="240" w:after="40"/>
      </w:pPr>
      <w:r>
        <w:rPr>
          <w:b/>
          <w:color w:val="2F6DB3"/>
          <w:sz w:val="26"/>
        </w:rPr>
        <w:t>Option A — View the Existing Dashboards (No Installation Needed)</w:t>
      </w:r>
    </w:p>
    <w:p>
      <w:pPr>
        <w:spacing w:before="40" w:after="80"/>
      </w:pPr>
      <w:r>
        <w:rPr>
          <w:i w:val="0"/>
          <w:color w:val="444444"/>
          <w:sz w:val="21"/>
        </w:rPr>
        <w:t>No Python. No Circos. No server. Just open one of these files in a browser:</w:t>
      </w:r>
    </w:p>
    <w:p>
      <w:pPr>
        <w:pStyle w:val="ListBullet"/>
        <w:spacing w:before="20" w:after="20"/>
        <w:ind w:left="360"/>
      </w:pPr>
      <w:r>
        <w:rPr>
          <w:color w:val="444444"/>
          <w:sz w:val="21"/>
        </w:rPr>
        <w:t>site/index.html — Career Outcomes Dashboard</w:t>
      </w:r>
    </w:p>
    <w:p>
      <w:pPr>
        <w:pStyle w:val="ListBullet"/>
        <w:spacing w:before="20" w:after="20"/>
        <w:ind w:left="360"/>
      </w:pPr>
      <w:r>
        <w:rPr>
          <w:color w:val="444444"/>
          <w:sz w:val="21"/>
        </w:rPr>
        <w:t>site/incoming_grad_grouped.html — Industry Mobility Dashboard</w:t>
      </w:r>
    </w:p>
    <w:p>
      <w:pPr>
        <w:pStyle w:val="ListBullet"/>
        <w:spacing w:before="20" w:after="20"/>
        <w:ind w:left="360"/>
      </w:pPr>
      <w:r>
        <w:rPr>
          <w:color w:val="444444"/>
          <w:sz w:val="21"/>
        </w:rPr>
        <w:t>site/incoming_grad_grouped_college.html — College Mobility Dashboard</w:t>
      </w:r>
    </w:p>
    <w:p>
      <w:pPr>
        <w:spacing w:before="40" w:after="120"/>
        <w:ind w:left="432"/>
      </w:pPr>
      <w:r>
        <w:rPr>
          <w:i/>
          <w:color w:val="555555"/>
          <w:sz w:val="20"/>
        </w:rPr>
        <w:t>ℹ  Tip: Right-click the file → Open with → your browser. Do not open from a restricted network share or Windows Explorer preview pane.</w:t>
      </w:r>
    </w:p>
    <w:p>
      <w:pPr>
        <w:spacing w:before="240" w:after="40"/>
      </w:pPr>
      <w:r>
        <w:rPr>
          <w:b/>
          <w:color w:val="2F6DB3"/>
          <w:sz w:val="26"/>
        </w:rPr>
        <w:t>Option B — Regenerate from Existing Data (Partial Pipeline)</w:t>
      </w:r>
    </w:p>
    <w:p>
      <w:pPr>
        <w:spacing w:before="40" w:after="80"/>
      </w:pPr>
      <w:r>
        <w:rPr>
          <w:i w:val="0"/>
          <w:color w:val="444444"/>
          <w:sz w:val="21"/>
        </w:rPr>
        <w:t>If you want to re-render the SVGs without changing the underlying data (e.g., to adjust colors or spacing):</w:t>
      </w:r>
    </w:p>
    <w:p>
      <w:pPr>
        <w:pStyle w:val="ListBullet"/>
        <w:spacing w:before="20" w:after="20"/>
        <w:ind w:left="360"/>
      </w:pPr>
      <w:r>
        <w:rPr>
          <w:color w:val="444444"/>
          <w:sz w:val="21"/>
        </w:rPr>
        <w:t>Step 1: Install Circos — see CIRCOS_SETUP.md.</w:t>
      </w:r>
    </w:p>
    <w:p>
      <w:pPr>
        <w:pStyle w:val="ListBullet"/>
        <w:spacing w:before="20" w:after="20"/>
        <w:ind w:left="360"/>
      </w:pPr>
      <w:r>
        <w:rPr>
          <w:color w:val="444444"/>
          <w:sz w:val="21"/>
        </w:rPr>
        <w:t>Step 2: Set CIRCOS_ROOT environment variable to your Circos install folder.</w:t>
      </w:r>
    </w:p>
    <w:p>
      <w:pPr>
        <w:pStyle w:val="ListBullet"/>
        <w:spacing w:before="20" w:after="20"/>
        <w:ind w:left="360"/>
      </w:pPr>
      <w:r>
        <w:rPr>
          <w:color w:val="444444"/>
          <w:sz w:val="21"/>
        </w:rPr>
        <w:t>Step 3: Run only Steps 4–6 for the career dashboard, or Steps 7–10 for the mobility dashboards:</w:t>
      </w:r>
    </w:p>
    <w:p>
      <w:pPr>
        <w:spacing w:before="40" w:after="80"/>
      </w:pPr>
      <w:r>
        <w:rPr>
          <w:i/>
          <w:color w:val="444444"/>
          <w:sz w:val="21"/>
        </w:rPr>
        <w:t xml:space="preserve">    python run_pipeline.py --steps 4 5 6</w:t>
      </w:r>
    </w:p>
    <w:p>
      <w:pPr>
        <w:spacing w:before="240" w:after="40"/>
      </w:pPr>
      <w:r>
        <w:rPr>
          <w:b/>
          <w:color w:val="2F6DB3"/>
          <w:sz w:val="26"/>
        </w:rPr>
        <w:t>Option C — Update with New Cohort Data (Full Pipeline)</w:t>
      </w:r>
    </w:p>
    <w:p>
      <w:pPr>
        <w:spacing w:before="40" w:after="80"/>
      </w:pPr>
      <w:r>
        <w:rPr>
          <w:i w:val="0"/>
          <w:color w:val="444444"/>
          <w:sz w:val="21"/>
        </w:rPr>
        <w:t>When new data arrives (e.g., Class of 2027):</w:t>
      </w:r>
    </w:p>
    <w:p>
      <w:pPr>
        <w:pStyle w:val="ListBullet"/>
        <w:spacing w:before="20" w:after="20"/>
        <w:ind w:left="360"/>
      </w:pPr>
      <w:r>
        <w:rPr>
          <w:color w:val="444444"/>
          <w:sz w:val="21"/>
        </w:rPr>
        <w:t>Replace career_survey_data.xlsx with the new Excel export. Verify columns: Program Name/Major, Job Title.</w:t>
      </w:r>
    </w:p>
    <w:p>
      <w:pPr>
        <w:pStyle w:val="ListBullet"/>
        <w:spacing w:before="20" w:after="20"/>
        <w:ind w:left="360"/>
      </w:pPr>
      <w:r>
        <w:rPr>
          <w:color w:val="444444"/>
          <w:sz w:val="21"/>
        </w:rPr>
        <w:t>Replace site/incomingmajor_fall2022_csv/Class_of_2026_CPF_vs_SP26.csv with the new enrollment transition file. Verify column names match.</w:t>
      </w:r>
    </w:p>
    <w:p>
      <w:pPr>
        <w:pStyle w:val="ListBullet"/>
        <w:spacing w:before="20" w:after="20"/>
        <w:ind w:left="360"/>
      </w:pPr>
      <w:r>
        <w:rPr>
          <w:color w:val="444444"/>
          <w:sz w:val="21"/>
        </w:rPr>
        <w:t>Update site/incomingmajor_fall2022_csv/major.csv if any new majors were added.</w:t>
      </w:r>
    </w:p>
    <w:p>
      <w:pPr>
        <w:pStyle w:val="ListBullet"/>
        <w:spacing w:before="20" w:after="20"/>
        <w:ind w:left="360"/>
      </w:pPr>
      <w:r>
        <w:rPr>
          <w:color w:val="444444"/>
          <w:sz w:val="21"/>
        </w:rPr>
        <w:t>Install Python dependencies: pip install -r requirements.txt</w:t>
      </w:r>
    </w:p>
    <w:p>
      <w:pPr>
        <w:pStyle w:val="ListBullet"/>
        <w:spacing w:before="20" w:after="20"/>
        <w:ind w:left="360"/>
      </w:pPr>
      <w:r>
        <w:rPr>
          <w:color w:val="444444"/>
          <w:sz w:val="21"/>
        </w:rPr>
        <w:t>Run the full pipeline: python run_pipeline.py</w:t>
      </w:r>
    </w:p>
    <w:p>
      <w:pPr>
        <w:pStyle w:val="ListBullet"/>
        <w:spacing w:before="20" w:after="20"/>
        <w:ind w:left="360"/>
      </w:pPr>
      <w:r>
        <w:rPr>
          <w:color w:val="444444"/>
          <w:sz w:val="21"/>
        </w:rPr>
        <w:t>Check outputs/lookup/Unmatched_Job_Titles_Summary.csv for any new unclassified job titles. Add high-frequency titles to inputs/job_title_categorized.csv.</w:t>
      </w:r>
    </w:p>
    <w:p>
      <w:pPr>
        <w:pStyle w:val="ListBullet"/>
        <w:spacing w:before="20" w:after="20"/>
        <w:ind w:left="360"/>
      </w:pPr>
      <w:r>
        <w:rPr>
          <w:color w:val="444444"/>
          <w:sz w:val="21"/>
        </w:rPr>
        <w:t>Update graduate counts in site/dashboard_docs_data.js.</w:t>
      </w:r>
    </w:p>
    <w:p>
      <w:pPr>
        <w:pStyle w:val="ListBullet"/>
        <w:spacing w:before="20" w:after="20"/>
        <w:ind w:left="360"/>
      </w:pPr>
      <w:r>
        <w:rPr>
          <w:color w:val="444444"/>
          <w:sz w:val="21"/>
        </w:rPr>
        <w:t>Update cache-buster query strings in each HTML file (e.g., change ?v=20260507 to ?v=20270515).</w:t>
      </w:r>
    </w:p>
    <w:p>
      <w:pPr>
        <w:spacing w:before="240" w:after="40"/>
      </w:pPr>
      <w:r>
        <w:rPr>
          <w:b/>
          <w:color w:val="2F6DB3"/>
          <w:sz w:val="26"/>
        </w:rPr>
        <w:t>Setup Requirements Summary</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2F6DB3"/>
          </w:tcPr>
          <w:p>
            <w:r>
              <w:rPr>
                <w:b/>
                <w:color w:val="FFFFFF"/>
                <w:sz w:val="20"/>
              </w:rPr>
              <w:t>Dependency</w:t>
            </w:r>
          </w:p>
        </w:tc>
        <w:tc>
          <w:tcPr>
            <w:tcW w:type="dxa" w:w="6768"/>
            <w:shd w:val="clear" w:color="auto" w:fill="2F6DB3"/>
          </w:tcPr>
          <w:p>
            <w:r>
              <w:rPr>
                <w:b/>
                <w:color w:val="FFFFFF"/>
                <w:sz w:val="20"/>
              </w:rPr>
              <w:t>Notes</w:t>
            </w:r>
          </w:p>
        </w:tc>
      </w:tr>
      <w:tr>
        <w:tc>
          <w:tcPr>
            <w:tcW w:type="dxa" w:w="2592"/>
            <w:shd w:val="clear" w:color="auto" w:fill="F2F4F8"/>
          </w:tcPr>
          <w:p>
            <w:r>
              <w:rPr>
                <w:color w:val="444444"/>
                <w:sz w:val="20"/>
              </w:rPr>
              <w:t>Python</w:t>
            </w:r>
          </w:p>
        </w:tc>
        <w:tc>
          <w:tcPr>
            <w:tcW w:type="dxa" w:w="6768"/>
            <w:shd w:val="clear" w:color="auto" w:fill="F2F4F8"/>
          </w:tcPr>
          <w:p>
            <w:r>
              <w:rPr>
                <w:color w:val="444444"/>
                <w:sz w:val="20"/>
              </w:rPr>
              <w:t>3.10 or newer — https://python.org</w:t>
            </w:r>
          </w:p>
        </w:tc>
      </w:tr>
      <w:tr>
        <w:tc>
          <w:tcPr>
            <w:tcW w:type="dxa" w:w="2592"/>
          </w:tcPr>
          <w:p>
            <w:r>
              <w:rPr>
                <w:color w:val="444444"/>
                <w:sz w:val="20"/>
              </w:rPr>
              <w:t>pandas</w:t>
            </w:r>
          </w:p>
        </w:tc>
        <w:tc>
          <w:tcPr>
            <w:tcW w:type="dxa" w:w="6768"/>
          </w:tcPr>
          <w:p>
            <w:r>
              <w:rPr>
                <w:color w:val="444444"/>
                <w:sz w:val="20"/>
              </w:rPr>
              <w:t>pip install pandas  (or: pip install -r requirements.txt)</w:t>
            </w:r>
          </w:p>
        </w:tc>
      </w:tr>
      <w:tr>
        <w:tc>
          <w:tcPr>
            <w:tcW w:type="dxa" w:w="2592"/>
            <w:shd w:val="clear" w:color="auto" w:fill="F2F4F8"/>
          </w:tcPr>
          <w:p>
            <w:r>
              <w:rPr>
                <w:color w:val="444444"/>
                <w:sz w:val="20"/>
              </w:rPr>
              <w:t>openpyxl</w:t>
            </w:r>
          </w:p>
        </w:tc>
        <w:tc>
          <w:tcPr>
            <w:tcW w:type="dxa" w:w="6768"/>
            <w:shd w:val="clear" w:color="auto" w:fill="F2F4F8"/>
          </w:tcPr>
          <w:p>
            <w:r>
              <w:rPr>
                <w:color w:val="444444"/>
                <w:sz w:val="20"/>
              </w:rPr>
              <w:t>pip install openpyxl  (needed to read .xlsx files)</w:t>
            </w:r>
          </w:p>
        </w:tc>
      </w:tr>
      <w:tr>
        <w:tc>
          <w:tcPr>
            <w:tcW w:type="dxa" w:w="2592"/>
          </w:tcPr>
          <w:p>
            <w:r>
              <w:rPr>
                <w:color w:val="444444"/>
                <w:sz w:val="20"/>
              </w:rPr>
              <w:t>Circos</w:t>
            </w:r>
          </w:p>
        </w:tc>
        <w:tc>
          <w:tcPr>
            <w:tcW w:type="dxa" w:w="6768"/>
          </w:tcPr>
          <w:p>
            <w:r>
              <w:rPr>
                <w:color w:val="444444"/>
                <w:sz w:val="20"/>
              </w:rPr>
              <w:t>v0.69-9 — https://circos.ca — see CIRCOS_SETUP.md for full steps</w:t>
            </w:r>
          </w:p>
        </w:tc>
      </w:tr>
      <w:tr>
        <w:tc>
          <w:tcPr>
            <w:tcW w:type="dxa" w:w="2592"/>
            <w:shd w:val="clear" w:color="auto" w:fill="F2F4F8"/>
          </w:tcPr>
          <w:p>
            <w:r>
              <w:rPr>
                <w:color w:val="444444"/>
                <w:sz w:val="20"/>
              </w:rPr>
              <w:t>Strawberry Perl</w:t>
            </w:r>
          </w:p>
        </w:tc>
        <w:tc>
          <w:tcPr>
            <w:tcW w:type="dxa" w:w="6768"/>
            <w:shd w:val="clear" w:color="auto" w:fill="F2F4F8"/>
          </w:tcPr>
          <w:p>
            <w:r>
              <w:rPr>
                <w:color w:val="444444"/>
                <w:sz w:val="20"/>
              </w:rPr>
              <w:t>Windows only — required to run Circos — https://strawberryperl.com</w:t>
            </w:r>
          </w:p>
        </w:tc>
      </w:tr>
      <w:tr>
        <w:tc>
          <w:tcPr>
            <w:tcW w:type="dxa" w:w="2592"/>
          </w:tcPr>
          <w:p>
            <w:r>
              <w:rPr>
                <w:color w:val="444444"/>
                <w:sz w:val="20"/>
              </w:rPr>
              <w:t>CIRCOS_ROOT</w:t>
            </w:r>
          </w:p>
        </w:tc>
        <w:tc>
          <w:tcPr>
            <w:tcW w:type="dxa" w:w="6768"/>
          </w:tcPr>
          <w:p>
            <w:r>
              <w:rPr>
                <w:color w:val="444444"/>
                <w:sz w:val="20"/>
              </w:rPr>
              <w:t>Environment variable pointing to your Circos install folder</w:t>
            </w:r>
          </w:p>
        </w:tc>
      </w:tr>
    </w:tbl>
    <w:p/>
    <w:p>
      <w:r>
        <w:br w:type="page"/>
      </w:r>
    </w:p>
    <w:p>
      <w:pPr>
        <w:spacing w:before="360" w:after="80"/>
        <w:pBdr>
          <w:bottom w:val="single" w:sz="8" w:space="1" w:color="2F6DB3"/>
        </w:pBdr>
      </w:pPr>
      <w:r>
        <w:rPr>
          <w:b/>
          <w:color w:val="122A52"/>
          <w:sz w:val="32"/>
        </w:rPr>
        <w:t>9. KEY METRICS</w:t>
      </w:r>
    </w:p>
    <w:tbl>
      <w:tblPr>
        <w:tblStyle w:val="TableGrid"/>
        <w:tblW w:type="auto" w:w="0"/>
        <w:jc w:val="left"/>
        <w:tblLook w:firstColumn="1" w:firstRow="1" w:lastColumn="0" w:lastRow="0" w:noHBand="0" w:noVBand="1" w:val="04A0"/>
      </w:tblPr>
      <w:tblGrid>
        <w:gridCol w:w="4703"/>
        <w:gridCol w:w="4703"/>
      </w:tblGrid>
      <w:tr>
        <w:tc>
          <w:tcPr>
            <w:tcW w:type="dxa" w:w="5040"/>
            <w:shd w:val="clear" w:color="auto" w:fill="2F6DB3"/>
          </w:tcPr>
          <w:p>
            <w:r>
              <w:rPr>
                <w:b/>
                <w:color w:val="FFFFFF"/>
                <w:sz w:val="20"/>
              </w:rPr>
              <w:t>Metric</w:t>
            </w:r>
          </w:p>
        </w:tc>
        <w:tc>
          <w:tcPr>
            <w:tcW w:type="dxa" w:w="4320"/>
            <w:shd w:val="clear" w:color="auto" w:fill="2F6DB3"/>
          </w:tcPr>
          <w:p>
            <w:r>
              <w:rPr>
                <w:b/>
                <w:color w:val="FFFFFF"/>
                <w:sz w:val="20"/>
              </w:rPr>
              <w:t>Value</w:t>
            </w:r>
          </w:p>
        </w:tc>
      </w:tr>
      <w:tr>
        <w:tc>
          <w:tcPr>
            <w:tcW w:type="dxa" w:w="5040"/>
            <w:shd w:val="clear" w:color="auto" w:fill="F2F4F8"/>
          </w:tcPr>
          <w:p>
            <w:r>
              <w:rPr>
                <w:color w:val="444444"/>
                <w:sz w:val="20"/>
              </w:rPr>
              <w:t>Total raw career survey rows</w:t>
            </w:r>
          </w:p>
        </w:tc>
        <w:tc>
          <w:tcPr>
            <w:tcW w:type="dxa" w:w="4320"/>
            <w:shd w:val="clear" w:color="auto" w:fill="F2F4F8"/>
          </w:tcPr>
          <w:p>
            <w:r>
              <w:rPr>
                <w:color w:val="444444"/>
                <w:sz w:val="20"/>
              </w:rPr>
              <w:t>4,129</w:t>
            </w:r>
          </w:p>
        </w:tc>
      </w:tr>
      <w:tr>
        <w:tc>
          <w:tcPr>
            <w:tcW w:type="dxa" w:w="5040"/>
          </w:tcPr>
          <w:p>
            <w:r>
              <w:rPr>
                <w:color w:val="444444"/>
                <w:sz w:val="20"/>
              </w:rPr>
              <w:t>Rows with blank job title (excluded)</w:t>
            </w:r>
          </w:p>
        </w:tc>
        <w:tc>
          <w:tcPr>
            <w:tcW w:type="dxa" w:w="4320"/>
          </w:tcPr>
          <w:p>
            <w:r>
              <w:rPr>
                <w:color w:val="444444"/>
                <w:sz w:val="20"/>
              </w:rPr>
              <w:t>1,338</w:t>
            </w:r>
          </w:p>
        </w:tc>
      </w:tr>
      <w:tr>
        <w:tc>
          <w:tcPr>
            <w:tcW w:type="dxa" w:w="5040"/>
            <w:shd w:val="clear" w:color="auto" w:fill="F2F4F8"/>
          </w:tcPr>
          <w:p>
            <w:r>
              <w:rPr>
                <w:color w:val="444444"/>
                <w:sz w:val="20"/>
              </w:rPr>
              <w:t>Rows classified and shown on dashboard</w:t>
            </w:r>
          </w:p>
        </w:tc>
        <w:tc>
          <w:tcPr>
            <w:tcW w:type="dxa" w:w="4320"/>
            <w:shd w:val="clear" w:color="auto" w:fill="F2F4F8"/>
          </w:tcPr>
          <w:p>
            <w:r>
              <w:rPr>
                <w:color w:val="444444"/>
                <w:sz w:val="20"/>
              </w:rPr>
              <w:t>2,682</w:t>
            </w:r>
          </w:p>
        </w:tc>
      </w:tr>
      <w:tr>
        <w:tc>
          <w:tcPr>
            <w:tcW w:type="dxa" w:w="5040"/>
          </w:tcPr>
          <w:p>
            <w:r>
              <w:rPr>
                <w:color w:val="444444"/>
                <w:sz w:val="20"/>
              </w:rPr>
              <w:t>Major clusters (display level)</w:t>
            </w:r>
          </w:p>
        </w:tc>
        <w:tc>
          <w:tcPr>
            <w:tcW w:type="dxa" w:w="4320"/>
          </w:tcPr>
          <w:p>
            <w:r>
              <w:rPr>
                <w:color w:val="444444"/>
                <w:sz w:val="20"/>
              </w:rPr>
              <w:t>13</w:t>
            </w:r>
          </w:p>
        </w:tc>
      </w:tr>
      <w:tr>
        <w:tc>
          <w:tcPr>
            <w:tcW w:type="dxa" w:w="5040"/>
            <w:shd w:val="clear" w:color="auto" w:fill="F2F4F8"/>
          </w:tcPr>
          <w:p>
            <w:r>
              <w:rPr>
                <w:color w:val="444444"/>
                <w:sz w:val="20"/>
              </w:rPr>
              <w:t>Career clusters (display level)</w:t>
            </w:r>
          </w:p>
        </w:tc>
        <w:tc>
          <w:tcPr>
            <w:tcW w:type="dxa" w:w="4320"/>
            <w:shd w:val="clear" w:color="auto" w:fill="F2F4F8"/>
          </w:tcPr>
          <w:p>
            <w:r>
              <w:rPr>
                <w:color w:val="444444"/>
                <w:sz w:val="20"/>
              </w:rPr>
              <w:t>8</w:t>
            </w:r>
          </w:p>
        </w:tc>
      </w:tr>
      <w:tr>
        <w:tc>
          <w:tcPr>
            <w:tcW w:type="dxa" w:w="5040"/>
          </w:tcPr>
          <w:p>
            <w:r>
              <w:rPr>
                <w:color w:val="444444"/>
                <w:sz w:val="20"/>
              </w:rPr>
              <w:t>Large academic families</w:t>
            </w:r>
          </w:p>
        </w:tc>
        <w:tc>
          <w:tcPr>
            <w:tcW w:type="dxa" w:w="4320"/>
          </w:tcPr>
          <w:p>
            <w:r>
              <w:rPr>
                <w:color w:val="444444"/>
                <w:sz w:val="20"/>
              </w:rPr>
              <w:t>4</w:t>
            </w:r>
          </w:p>
        </w:tc>
      </w:tr>
      <w:tr>
        <w:tc>
          <w:tcPr>
            <w:tcW w:type="dxa" w:w="5040"/>
            <w:shd w:val="clear" w:color="auto" w:fill="F2F4F8"/>
          </w:tcPr>
          <w:p>
            <w:r>
              <w:rPr>
                <w:color w:val="444444"/>
                <w:sz w:val="20"/>
              </w:rPr>
              <w:t>Students in mobility dashboards</w:t>
            </w:r>
          </w:p>
        </w:tc>
        <w:tc>
          <w:tcPr>
            <w:tcW w:type="dxa" w:w="4320"/>
            <w:shd w:val="clear" w:color="auto" w:fill="F2F4F8"/>
          </w:tcPr>
          <w:p>
            <w:r>
              <w:rPr>
                <w:color w:val="444444"/>
                <w:sz w:val="20"/>
              </w:rPr>
              <w:t>925</w:t>
            </w:r>
          </w:p>
        </w:tc>
      </w:tr>
      <w:tr>
        <w:tc>
          <w:tcPr>
            <w:tcW w:type="dxa" w:w="5040"/>
          </w:tcPr>
          <w:p>
            <w:r>
              <w:rPr>
                <w:color w:val="444444"/>
                <w:sz w:val="20"/>
              </w:rPr>
              <w:t>Industry groups (mobility)</w:t>
            </w:r>
          </w:p>
        </w:tc>
        <w:tc>
          <w:tcPr>
            <w:tcW w:type="dxa" w:w="4320"/>
          </w:tcPr>
          <w:p>
            <w:r>
              <w:rPr>
                <w:color w:val="444444"/>
                <w:sz w:val="20"/>
              </w:rPr>
              <w:t>14</w:t>
            </w:r>
          </w:p>
        </w:tc>
      </w:tr>
      <w:tr>
        <w:tc>
          <w:tcPr>
            <w:tcW w:type="dxa" w:w="5040"/>
            <w:shd w:val="clear" w:color="auto" w:fill="F2F4F8"/>
          </w:tcPr>
          <w:p>
            <w:r>
              <w:rPr>
                <w:color w:val="444444"/>
                <w:sz w:val="20"/>
              </w:rPr>
              <w:t>Colleges (mobility)</w:t>
            </w:r>
          </w:p>
        </w:tc>
        <w:tc>
          <w:tcPr>
            <w:tcW w:type="dxa" w:w="4320"/>
            <w:shd w:val="clear" w:color="auto" w:fill="F2F4F8"/>
          </w:tcPr>
          <w:p>
            <w:r>
              <w:rPr>
                <w:color w:val="444444"/>
                <w:sz w:val="20"/>
              </w:rPr>
              <w:t>6  (OCB, CAS, EDUC, COH, SOE, Other)</w:t>
            </w:r>
          </w:p>
        </w:tc>
      </w:tr>
      <w:tr>
        <w:tc>
          <w:tcPr>
            <w:tcW w:type="dxa" w:w="5040"/>
          </w:tcPr>
          <w:p>
            <w:r>
              <w:rPr>
                <w:color w:val="444444"/>
                <w:sz w:val="20"/>
              </w:rPr>
              <w:t>Total SVGs generated per pipeline run</w:t>
            </w:r>
          </w:p>
        </w:tc>
        <w:tc>
          <w:tcPr>
            <w:tcW w:type="dxa" w:w="4320"/>
          </w:tcPr>
          <w:p>
            <w:r>
              <w:rPr>
                <w:color w:val="444444"/>
                <w:sz w:val="20"/>
              </w:rPr>
              <w:t>87  (22 + 27 + 38)</w:t>
            </w:r>
          </w:p>
        </w:tc>
      </w:tr>
      <w:tr>
        <w:tc>
          <w:tcPr>
            <w:tcW w:type="dxa" w:w="5040"/>
            <w:shd w:val="clear" w:color="auto" w:fill="F2F4F8"/>
          </w:tcPr>
          <w:p>
            <w:r>
              <w:rPr>
                <w:color w:val="444444"/>
                <w:sz w:val="20"/>
              </w:rPr>
              <w:t>Python scripts in pipeline</w:t>
            </w:r>
          </w:p>
        </w:tc>
        <w:tc>
          <w:tcPr>
            <w:tcW w:type="dxa" w:w="4320"/>
            <w:shd w:val="clear" w:color="auto" w:fill="F2F4F8"/>
          </w:tcPr>
          <w:p>
            <w:r>
              <w:rPr>
                <w:color w:val="444444"/>
                <w:sz w:val="20"/>
              </w:rPr>
              <w:t>10</w:t>
            </w:r>
          </w:p>
        </w:tc>
      </w:tr>
      <w:tr>
        <w:tc>
          <w:tcPr>
            <w:tcW w:type="dxa" w:w="5040"/>
          </w:tcPr>
          <w:p>
            <w:r>
              <w:rPr>
                <w:color w:val="444444"/>
                <w:sz w:val="20"/>
              </w:rPr>
              <w:t>Manual job-title overrides</w:t>
            </w:r>
          </w:p>
        </w:tc>
        <w:tc>
          <w:tcPr>
            <w:tcW w:type="dxa" w:w="4320"/>
          </w:tcPr>
          <w:p>
            <w:r>
              <w:rPr>
                <w:color w:val="444444"/>
                <w:sz w:val="20"/>
              </w:rPr>
              <w:t>~87 titles in job_title_categorized.csv</w:t>
            </w:r>
          </w:p>
        </w:tc>
      </w:tr>
      <w:tr>
        <w:tc>
          <w:tcPr>
            <w:tcW w:type="dxa" w:w="5040"/>
            <w:shd w:val="clear" w:color="auto" w:fill="F2F4F8"/>
          </w:tcPr>
          <w:p>
            <w:r>
              <w:rPr>
                <w:color w:val="444444"/>
                <w:sz w:val="20"/>
              </w:rPr>
              <w:t>Layout experiments tested</w:t>
            </w:r>
          </w:p>
        </w:tc>
        <w:tc>
          <w:tcPr>
            <w:tcW w:type="dxa" w:w="4320"/>
            <w:shd w:val="clear" w:color="auto" w:fill="F2F4F8"/>
          </w:tcPr>
          <w:p>
            <w:r>
              <w:rPr>
                <w:color w:val="444444"/>
                <w:sz w:val="20"/>
              </w:rPr>
              <w:t>7  (v1–v7 arc orderings)</w:t>
            </w:r>
          </w:p>
        </w:tc>
      </w:tr>
      <w:tr>
        <w:tc>
          <w:tcPr>
            <w:tcW w:type="dxa" w:w="5040"/>
          </w:tcPr>
          <w:p>
            <w:r>
              <w:rPr>
                <w:color w:val="444444"/>
                <w:sz w:val="20"/>
              </w:rPr>
              <w:t>Development period</w:t>
            </w:r>
          </w:p>
        </w:tc>
        <w:tc>
          <w:tcPr>
            <w:tcW w:type="dxa" w:w="4320"/>
          </w:tcPr>
          <w:p>
            <w:r>
              <w:rPr>
                <w:color w:val="444444"/>
                <w:sz w:val="20"/>
              </w:rPr>
              <w:t>January–May 2026 (approx. 4 months)</w:t>
            </w:r>
          </w:p>
        </w:tc>
      </w:tr>
    </w:tbl>
    <w:p/>
    <w:p>
      <w:r>
        <w:br w:type="page"/>
      </w:r>
    </w:p>
    <w:p>
      <w:r>
        <w:br w:type="page"/>
      </w:r>
    </w:p>
    <w:p>
      <w:pPr>
        <w:spacing w:before="360" w:after="80"/>
        <w:pBdr>
          <w:bottom w:val="single" w:sz="8" w:space="1" w:color="2F6DB3"/>
        </w:pBdr>
      </w:pPr>
      <w:r>
        <w:rPr>
          <w:b/>
          <w:color w:val="122A52"/>
          <w:sz w:val="32"/>
        </w:rPr>
        <w:t>10. MAJOR MOBILITY ANALYSIS</w:t>
      </w:r>
    </w:p>
    <w:p>
      <w:pPr>
        <w:spacing w:before="40" w:after="80"/>
      </w:pPr>
      <w:r>
        <w:rPr>
          <w:i w:val="0"/>
          <w:color w:val="444444"/>
          <w:sz w:val="21"/>
        </w:rPr>
        <w:t>The following tables are derived from analysis_outputs/mobility_tables/mobility_transition_tables.xlsx — a companion analysis file that quantifies how students moved between major groups and colleges between their incoming semester and graduation. The dataset covers 925 students from the Class of 2026 with both a recorded incoming major and a recorded graduating major.</w:t>
      </w:r>
    </w:p>
    <w:p>
      <w:pPr>
        <w:spacing w:before="40" w:after="120"/>
        <w:ind w:left="432"/>
      </w:pPr>
      <w:r>
        <w:rPr>
          <w:i/>
          <w:color w:val="555555"/>
          <w:sz w:val="20"/>
        </w:rPr>
        <w:t>ℹ  How to read the tables: the Incoming row shows where students started. The Graduating column shows where they ended up. The diagonal (same row and column) represents students who stayed in the same group. Off-diagonal cells represent students who switched.</w:t>
      </w:r>
    </w:p>
    <w:p>
      <w:pPr>
        <w:spacing w:before="240" w:after="40"/>
      </w:pPr>
      <w:r>
        <w:rPr>
          <w:b/>
          <w:color w:val="2F6DB3"/>
          <w:sz w:val="26"/>
        </w:rPr>
        <w:t>Major Group Retention Rates</w:t>
      </w:r>
    </w:p>
    <w:p>
      <w:pPr>
        <w:spacing w:before="40" w:after="80"/>
      </w:pPr>
      <w:r>
        <w:rPr>
          <w:i w:val="0"/>
          <w:color w:val="444444"/>
          <w:sz w:val="21"/>
        </w:rPr>
        <w:t>Retention rate = percentage of students who stayed within the same major group from incoming to graduating semester. Higher retention means the group holds students well; lower retention means students frequently switch out.</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2F6DB3"/>
          </w:tcPr>
          <w:p>
            <w:r>
              <w:rPr>
                <w:b/>
                <w:color w:val="FFFFFF"/>
                <w:sz w:val="20"/>
              </w:rPr>
              <w:t>Major group</w:t>
            </w:r>
          </w:p>
        </w:tc>
        <w:tc>
          <w:tcPr>
            <w:tcW w:type="dxa" w:w="5328"/>
            <w:shd w:val="clear" w:color="auto" w:fill="2F6DB3"/>
          </w:tcPr>
          <w:p>
            <w:r>
              <w:rPr>
                <w:b/>
                <w:color w:val="FFFFFF"/>
                <w:sz w:val="20"/>
              </w:rPr>
              <w:t>Retention</w:t>
            </w:r>
          </w:p>
        </w:tc>
      </w:tr>
      <w:tr>
        <w:tc>
          <w:tcPr>
            <w:tcW w:type="dxa" w:w="4032"/>
            <w:shd w:val="clear" w:color="auto" w:fill="F2F4F8"/>
          </w:tcPr>
          <w:p>
            <w:r>
              <w:rPr>
                <w:color w:val="444444"/>
                <w:sz w:val="20"/>
              </w:rPr>
              <w:t>Accounting / Finance / Ops</w:t>
            </w:r>
          </w:p>
        </w:tc>
        <w:tc>
          <w:tcPr>
            <w:tcW w:type="dxa" w:w="5328"/>
            <w:shd w:val="clear" w:color="auto" w:fill="F2F4F8"/>
          </w:tcPr>
          <w:p>
            <w:r>
              <w:rPr>
                <w:color w:val="444444"/>
                <w:sz w:val="20"/>
              </w:rPr>
              <w:t>80.1%  —  197 of 246 students stayed</w:t>
            </w:r>
          </w:p>
        </w:tc>
      </w:tr>
      <w:tr>
        <w:tc>
          <w:tcPr>
            <w:tcW w:type="dxa" w:w="4032"/>
          </w:tcPr>
          <w:p>
            <w:r>
              <w:rPr>
                <w:color w:val="444444"/>
                <w:sz w:val="20"/>
              </w:rPr>
              <w:t>Engineering</w:t>
            </w:r>
          </w:p>
        </w:tc>
        <w:tc>
          <w:tcPr>
            <w:tcW w:type="dxa" w:w="5328"/>
          </w:tcPr>
          <w:p>
            <w:r>
              <w:rPr>
                <w:color w:val="444444"/>
                <w:sz w:val="20"/>
              </w:rPr>
              <w:t>76.6%  —  164 of 214 students stayed</w:t>
            </w:r>
          </w:p>
        </w:tc>
      </w:tr>
      <w:tr>
        <w:tc>
          <w:tcPr>
            <w:tcW w:type="dxa" w:w="4032"/>
            <w:shd w:val="clear" w:color="auto" w:fill="F2F4F8"/>
          </w:tcPr>
          <w:p>
            <w:r>
              <w:rPr>
                <w:color w:val="444444"/>
                <w:sz w:val="20"/>
              </w:rPr>
              <w:t>Humanities</w:t>
            </w:r>
          </w:p>
        </w:tc>
        <w:tc>
          <w:tcPr>
            <w:tcW w:type="dxa" w:w="5328"/>
            <w:shd w:val="clear" w:color="auto" w:fill="F2F4F8"/>
          </w:tcPr>
          <w:p>
            <w:r>
              <w:rPr>
                <w:color w:val="444444"/>
                <w:sz w:val="20"/>
              </w:rPr>
              <w:t>74.3%  —  52 of 70 students stayed</w:t>
            </w:r>
          </w:p>
        </w:tc>
      </w:tr>
      <w:tr>
        <w:tc>
          <w:tcPr>
            <w:tcW w:type="dxa" w:w="4032"/>
          </w:tcPr>
          <w:p>
            <w:r>
              <w:rPr>
                <w:color w:val="444444"/>
                <w:sz w:val="20"/>
              </w:rPr>
              <w:t>Computing / Data / Math / Stats</w:t>
            </w:r>
          </w:p>
        </w:tc>
        <w:tc>
          <w:tcPr>
            <w:tcW w:type="dxa" w:w="5328"/>
          </w:tcPr>
          <w:p>
            <w:r>
              <w:rPr>
                <w:color w:val="444444"/>
                <w:sz w:val="20"/>
              </w:rPr>
              <w:t>69.7%  —  92 of 132 students stayed</w:t>
            </w:r>
          </w:p>
        </w:tc>
      </w:tr>
      <w:tr>
        <w:tc>
          <w:tcPr>
            <w:tcW w:type="dxa" w:w="4032"/>
            <w:shd w:val="clear" w:color="auto" w:fill="F2F4F8"/>
          </w:tcPr>
          <w:p>
            <w:r>
              <w:rPr>
                <w:color w:val="444444"/>
                <w:sz w:val="20"/>
              </w:rPr>
              <w:t>Health Sciences</w:t>
            </w:r>
          </w:p>
        </w:tc>
        <w:tc>
          <w:tcPr>
            <w:tcW w:type="dxa" w:w="5328"/>
            <w:shd w:val="clear" w:color="auto" w:fill="F2F4F8"/>
          </w:tcPr>
          <w:p>
            <w:r>
              <w:rPr>
                <w:color w:val="444444"/>
                <w:sz w:val="20"/>
              </w:rPr>
              <w:t>68.4%  —  130 of 190 students stayed</w:t>
            </w:r>
          </w:p>
        </w:tc>
      </w:tr>
      <w:tr>
        <w:tc>
          <w:tcPr>
            <w:tcW w:type="dxa" w:w="4032"/>
          </w:tcPr>
          <w:p>
            <w:r>
              <w:rPr>
                <w:color w:val="444444"/>
                <w:sz w:val="20"/>
              </w:rPr>
              <w:t>Marketing</w:t>
            </w:r>
          </w:p>
        </w:tc>
        <w:tc>
          <w:tcPr>
            <w:tcW w:type="dxa" w:w="5328"/>
          </w:tcPr>
          <w:p>
            <w:r>
              <w:rPr>
                <w:color w:val="444444"/>
                <w:sz w:val="20"/>
              </w:rPr>
              <w:t>67.2%  —  78 of 116 students stayed</w:t>
            </w:r>
          </w:p>
        </w:tc>
      </w:tr>
      <w:tr>
        <w:tc>
          <w:tcPr>
            <w:tcW w:type="dxa" w:w="4032"/>
            <w:shd w:val="clear" w:color="auto" w:fill="F2F4F8"/>
          </w:tcPr>
          <w:p>
            <w:r>
              <w:rPr>
                <w:color w:val="444444"/>
                <w:sz w:val="20"/>
              </w:rPr>
              <w:t>Natural Sciences</w:t>
            </w:r>
          </w:p>
        </w:tc>
        <w:tc>
          <w:tcPr>
            <w:tcW w:type="dxa" w:w="5328"/>
            <w:shd w:val="clear" w:color="auto" w:fill="F2F4F8"/>
          </w:tcPr>
          <w:p>
            <w:r>
              <w:rPr>
                <w:color w:val="444444"/>
                <w:sz w:val="20"/>
              </w:rPr>
              <w:t>61.4%  —  108 of 176 students stayed</w:t>
            </w:r>
          </w:p>
        </w:tc>
      </w:tr>
      <w:tr>
        <w:tc>
          <w:tcPr>
            <w:tcW w:type="dxa" w:w="4032"/>
          </w:tcPr>
          <w:p>
            <w:r>
              <w:rPr>
                <w:color w:val="444444"/>
                <w:sz w:val="20"/>
              </w:rPr>
              <w:t>Social Sciences</w:t>
            </w:r>
          </w:p>
        </w:tc>
        <w:tc>
          <w:tcPr>
            <w:tcW w:type="dxa" w:w="5328"/>
          </w:tcPr>
          <w:p>
            <w:r>
              <w:rPr>
                <w:color w:val="444444"/>
                <w:sz w:val="20"/>
              </w:rPr>
              <w:t>59.6%  —  93 of 156 students stayed</w:t>
            </w:r>
          </w:p>
        </w:tc>
      </w:tr>
      <w:tr>
        <w:tc>
          <w:tcPr>
            <w:tcW w:type="dxa" w:w="4032"/>
            <w:shd w:val="clear" w:color="auto" w:fill="F2F4F8"/>
          </w:tcPr>
          <w:p>
            <w:r>
              <w:rPr>
                <w:color w:val="444444"/>
                <w:sz w:val="20"/>
              </w:rPr>
              <w:t>Writing / Communication</w:t>
            </w:r>
          </w:p>
        </w:tc>
        <w:tc>
          <w:tcPr>
            <w:tcW w:type="dxa" w:w="5328"/>
            <w:shd w:val="clear" w:color="auto" w:fill="F2F4F8"/>
          </w:tcPr>
          <w:p>
            <w:r>
              <w:rPr>
                <w:color w:val="444444"/>
                <w:sz w:val="20"/>
              </w:rPr>
              <w:t>58.3%  —  28 of 48 students stayed</w:t>
            </w:r>
          </w:p>
        </w:tc>
      </w:tr>
      <w:tr>
        <w:tc>
          <w:tcPr>
            <w:tcW w:type="dxa" w:w="4032"/>
          </w:tcPr>
          <w:p>
            <w:r>
              <w:rPr>
                <w:color w:val="444444"/>
                <w:sz w:val="20"/>
              </w:rPr>
              <w:t>Education</w:t>
            </w:r>
          </w:p>
        </w:tc>
        <w:tc>
          <w:tcPr>
            <w:tcW w:type="dxa" w:w="5328"/>
          </w:tcPr>
          <w:p>
            <w:r>
              <w:rPr>
                <w:color w:val="444444"/>
                <w:sz w:val="20"/>
              </w:rPr>
              <w:t>53.8%  —  14 of 26 students stayed</w:t>
            </w:r>
          </w:p>
        </w:tc>
      </w:tr>
      <w:tr>
        <w:tc>
          <w:tcPr>
            <w:tcW w:type="dxa" w:w="4032"/>
            <w:shd w:val="clear" w:color="auto" w:fill="F2F4F8"/>
          </w:tcPr>
          <w:p>
            <w:r>
              <w:rPr>
                <w:color w:val="444444"/>
                <w:sz w:val="20"/>
              </w:rPr>
              <w:t>Management</w:t>
            </w:r>
          </w:p>
        </w:tc>
        <w:tc>
          <w:tcPr>
            <w:tcW w:type="dxa" w:w="5328"/>
            <w:shd w:val="clear" w:color="auto" w:fill="F2F4F8"/>
          </w:tcPr>
          <w:p>
            <w:r>
              <w:rPr>
                <w:color w:val="444444"/>
                <w:sz w:val="20"/>
              </w:rPr>
              <w:t>42.6%  —  52 of 122 students stayed</w:t>
            </w:r>
          </w:p>
        </w:tc>
      </w:tr>
      <w:tr>
        <w:tc>
          <w:tcPr>
            <w:tcW w:type="dxa" w:w="4032"/>
          </w:tcPr>
          <w:p>
            <w:r>
              <w:rPr>
                <w:color w:val="444444"/>
                <w:sz w:val="20"/>
              </w:rPr>
              <w:t>Specialized Business</w:t>
            </w:r>
          </w:p>
        </w:tc>
        <w:tc>
          <w:tcPr>
            <w:tcW w:type="dxa" w:w="5328"/>
          </w:tcPr>
          <w:p>
            <w:r>
              <w:rPr>
                <w:color w:val="444444"/>
                <w:sz w:val="20"/>
              </w:rPr>
              <w:t>33.5%  —  53 of 158 students stayed</w:t>
            </w:r>
          </w:p>
        </w:tc>
      </w:tr>
      <w:tr>
        <w:tc>
          <w:tcPr>
            <w:tcW w:type="dxa" w:w="4032"/>
            <w:shd w:val="clear" w:color="auto" w:fill="F2F4F8"/>
          </w:tcPr>
          <w:p>
            <w:r>
              <w:rPr>
                <w:color w:val="444444"/>
                <w:sz w:val="20"/>
              </w:rPr>
              <w:t>Pre-Professional / Undeclared</w:t>
            </w:r>
          </w:p>
        </w:tc>
        <w:tc>
          <w:tcPr>
            <w:tcW w:type="dxa" w:w="5328"/>
            <w:shd w:val="clear" w:color="auto" w:fill="F2F4F8"/>
          </w:tcPr>
          <w:p>
            <w:r>
              <w:rPr>
                <w:color w:val="444444"/>
                <w:sz w:val="20"/>
              </w:rPr>
              <w:t>N/A  —  by definition, all students in this group switch to a declared major</w:t>
            </w:r>
          </w:p>
        </w:tc>
      </w:tr>
    </w:tbl>
    <w:p/>
    <w:p>
      <w:pPr>
        <w:spacing w:before="240" w:after="40"/>
      </w:pPr>
      <w:r>
        <w:rPr>
          <w:b/>
          <w:color w:val="2F6DB3"/>
          <w:sz w:val="26"/>
        </w:rPr>
        <w:t>Major Group Transition Counts (Incoming → Graduating)</w:t>
      </w:r>
    </w:p>
    <w:p>
      <w:pPr>
        <w:spacing w:before="40" w:after="80"/>
      </w:pPr>
      <w:r>
        <w:rPr>
          <w:i w:val="0"/>
          <w:color w:val="444444"/>
          <w:sz w:val="21"/>
        </w:rPr>
        <w:t>Full transition count matrix. Rows = incoming group. Columns = graduating group. Row Total = number of students who started in that group.</w:t>
      </w:r>
    </w:p>
    <w:tbl>
      <w:tblPr>
        <w:tblStyle w:val="TableGrid"/>
        <w:tblW w:type="auto" w:w="0"/>
        <w:tblLook w:firstColumn="1" w:firstRow="1" w:lastColumn="0" w:lastRow="0" w:noHBand="0" w:noVBand="1" w:val="04A0"/>
      </w:tblPr>
      <w:tblGrid>
        <w:gridCol w:w="627"/>
        <w:gridCol w:w="627"/>
        <w:gridCol w:w="627"/>
        <w:gridCol w:w="627"/>
        <w:gridCol w:w="627"/>
        <w:gridCol w:w="627"/>
        <w:gridCol w:w="627"/>
        <w:gridCol w:w="627"/>
        <w:gridCol w:w="627"/>
        <w:gridCol w:w="627"/>
        <w:gridCol w:w="627"/>
        <w:gridCol w:w="627"/>
        <w:gridCol w:w="627"/>
        <w:gridCol w:w="627"/>
        <w:gridCol w:w="627"/>
      </w:tblGrid>
      <w:tr>
        <w:tc>
          <w:tcPr>
            <w:tcW w:type="dxa" w:w="627"/>
            <w:shd w:val="clear" w:color="auto" w:fill="2F6DB3"/>
          </w:tcPr>
          <w:p>
            <w:pPr>
              <w:spacing w:before="0" w:after="0"/>
            </w:pPr>
            <w:r>
              <w:rPr>
                <w:b/>
                <w:color w:val="FFFFFF"/>
                <w:sz w:val="14"/>
              </w:rPr>
              <w:t>Incoming \ Graduating</w:t>
            </w:r>
          </w:p>
        </w:tc>
        <w:tc>
          <w:tcPr>
            <w:tcW w:type="dxa" w:w="627"/>
            <w:shd w:val="clear" w:color="auto" w:fill="2F6DB3"/>
          </w:tcPr>
          <w:p>
            <w:pPr>
              <w:spacing w:before="0" w:after="0"/>
            </w:pPr>
            <w:r>
              <w:rPr>
                <w:b/>
                <w:color w:val="FFFFFF"/>
                <w:sz w:val="14"/>
              </w:rPr>
              <w:t>Acct/Fin</w:t>
            </w:r>
          </w:p>
        </w:tc>
        <w:tc>
          <w:tcPr>
            <w:tcW w:type="dxa" w:w="627"/>
            <w:shd w:val="clear" w:color="auto" w:fill="2F6DB3"/>
          </w:tcPr>
          <w:p>
            <w:pPr>
              <w:spacing w:before="0" w:after="0"/>
            </w:pPr>
            <w:r>
              <w:rPr>
                <w:b/>
                <w:color w:val="FFFFFF"/>
                <w:sz w:val="14"/>
              </w:rPr>
              <w:t>Mgmt</w:t>
            </w:r>
          </w:p>
        </w:tc>
        <w:tc>
          <w:tcPr>
            <w:tcW w:type="dxa" w:w="627"/>
            <w:shd w:val="clear" w:color="auto" w:fill="2F6DB3"/>
          </w:tcPr>
          <w:p>
            <w:pPr>
              <w:spacing w:before="0" w:after="0"/>
            </w:pPr>
            <w:r>
              <w:rPr>
                <w:b/>
                <w:color w:val="FFFFFF"/>
                <w:sz w:val="14"/>
              </w:rPr>
              <w:t>Spec</w:t>
              <w:br/>
              <w:t>Bus</w:t>
            </w:r>
          </w:p>
        </w:tc>
        <w:tc>
          <w:tcPr>
            <w:tcW w:type="dxa" w:w="627"/>
            <w:shd w:val="clear" w:color="auto" w:fill="2F6DB3"/>
          </w:tcPr>
          <w:p>
            <w:pPr>
              <w:spacing w:before="0" w:after="0"/>
            </w:pPr>
            <w:r>
              <w:rPr>
                <w:b/>
                <w:color w:val="FFFFFF"/>
                <w:sz w:val="14"/>
              </w:rPr>
              <w:t>Mktg</w:t>
            </w:r>
          </w:p>
        </w:tc>
        <w:tc>
          <w:tcPr>
            <w:tcW w:type="dxa" w:w="627"/>
            <w:shd w:val="clear" w:color="auto" w:fill="2F6DB3"/>
          </w:tcPr>
          <w:p>
            <w:pPr>
              <w:spacing w:before="0" w:after="0"/>
            </w:pPr>
            <w:r>
              <w:rPr>
                <w:b/>
                <w:color w:val="FFFFFF"/>
                <w:sz w:val="14"/>
              </w:rPr>
              <w:t>Writing</w:t>
            </w:r>
          </w:p>
        </w:tc>
        <w:tc>
          <w:tcPr>
            <w:tcW w:type="dxa" w:w="627"/>
            <w:shd w:val="clear" w:color="auto" w:fill="2F6DB3"/>
          </w:tcPr>
          <w:p>
            <w:pPr>
              <w:spacing w:before="0" w:after="0"/>
            </w:pPr>
            <w:r>
              <w:rPr>
                <w:b/>
                <w:color w:val="FFFFFF"/>
                <w:sz w:val="14"/>
              </w:rPr>
              <w:t>Hum.</w:t>
            </w:r>
          </w:p>
        </w:tc>
        <w:tc>
          <w:tcPr>
            <w:tcW w:type="dxa" w:w="627"/>
            <w:shd w:val="clear" w:color="auto" w:fill="2F6DB3"/>
          </w:tcPr>
          <w:p>
            <w:pPr>
              <w:spacing w:before="0" w:after="0"/>
            </w:pPr>
            <w:r>
              <w:rPr>
                <w:b/>
                <w:color w:val="FFFFFF"/>
                <w:sz w:val="14"/>
              </w:rPr>
              <w:t>Social</w:t>
            </w:r>
          </w:p>
        </w:tc>
        <w:tc>
          <w:tcPr>
            <w:tcW w:type="dxa" w:w="627"/>
            <w:shd w:val="clear" w:color="auto" w:fill="2F6DB3"/>
          </w:tcPr>
          <w:p>
            <w:pPr>
              <w:spacing w:before="0" w:after="0"/>
            </w:pPr>
            <w:r>
              <w:rPr>
                <w:b/>
                <w:color w:val="FFFFFF"/>
                <w:sz w:val="14"/>
              </w:rPr>
              <w:t>Pre</w:t>
              <w:br/>
              <w:t>Prof</w:t>
            </w:r>
          </w:p>
        </w:tc>
        <w:tc>
          <w:tcPr>
            <w:tcW w:type="dxa" w:w="627"/>
            <w:shd w:val="clear" w:color="auto" w:fill="2F6DB3"/>
          </w:tcPr>
          <w:p>
            <w:pPr>
              <w:spacing w:before="0" w:after="0"/>
            </w:pPr>
            <w:r>
              <w:rPr>
                <w:b/>
                <w:color w:val="FFFFFF"/>
                <w:sz w:val="14"/>
              </w:rPr>
              <w:t>Educ</w:t>
            </w:r>
          </w:p>
        </w:tc>
        <w:tc>
          <w:tcPr>
            <w:tcW w:type="dxa" w:w="627"/>
            <w:shd w:val="clear" w:color="auto" w:fill="2F6DB3"/>
          </w:tcPr>
          <w:p>
            <w:pPr>
              <w:spacing w:before="0" w:after="0"/>
            </w:pPr>
            <w:r>
              <w:rPr>
                <w:b/>
                <w:color w:val="FFFFFF"/>
                <w:sz w:val="14"/>
              </w:rPr>
              <w:t>Health</w:t>
            </w:r>
          </w:p>
        </w:tc>
        <w:tc>
          <w:tcPr>
            <w:tcW w:type="dxa" w:w="627"/>
            <w:shd w:val="clear" w:color="auto" w:fill="2F6DB3"/>
          </w:tcPr>
          <w:p>
            <w:pPr>
              <w:spacing w:before="0" w:after="0"/>
            </w:pPr>
            <w:r>
              <w:rPr>
                <w:b/>
                <w:color w:val="FFFFFF"/>
                <w:sz w:val="14"/>
              </w:rPr>
              <w:t>Nat</w:t>
              <w:br/>
              <w:t>Sci</w:t>
            </w:r>
          </w:p>
        </w:tc>
        <w:tc>
          <w:tcPr>
            <w:tcW w:type="dxa" w:w="627"/>
            <w:shd w:val="clear" w:color="auto" w:fill="2F6DB3"/>
          </w:tcPr>
          <w:p>
            <w:pPr>
              <w:spacing w:before="0" w:after="0"/>
            </w:pPr>
            <w:r>
              <w:rPr>
                <w:b/>
                <w:color w:val="FFFFFF"/>
                <w:sz w:val="14"/>
              </w:rPr>
              <w:t>Eng.</w:t>
            </w:r>
          </w:p>
        </w:tc>
        <w:tc>
          <w:tcPr>
            <w:tcW w:type="dxa" w:w="627"/>
            <w:shd w:val="clear" w:color="auto" w:fill="2F6DB3"/>
          </w:tcPr>
          <w:p>
            <w:pPr>
              <w:spacing w:before="0" w:after="0"/>
            </w:pPr>
            <w:r>
              <w:rPr>
                <w:b/>
                <w:color w:val="FFFFFF"/>
                <w:sz w:val="14"/>
              </w:rPr>
              <w:t>Comp</w:t>
              <w:br/>
              <w:t>Data</w:t>
            </w:r>
          </w:p>
        </w:tc>
        <w:tc>
          <w:tcPr>
            <w:tcW w:type="dxa" w:w="627"/>
            <w:shd w:val="clear" w:color="auto" w:fill="2F6DB3"/>
          </w:tcPr>
          <w:p>
            <w:pPr>
              <w:spacing w:before="0" w:after="0"/>
            </w:pPr>
            <w:r>
              <w:rPr>
                <w:b/>
                <w:color w:val="FFFFFF"/>
                <w:sz w:val="14"/>
              </w:rPr>
              <w:t>Total</w:t>
            </w:r>
          </w:p>
        </w:tc>
      </w:tr>
      <w:tr>
        <w:tc>
          <w:tcPr>
            <w:tcW w:type="dxa" w:w="627"/>
            <w:shd w:val="clear" w:color="auto" w:fill="F2F4F8"/>
          </w:tcPr>
          <w:p>
            <w:pPr>
              <w:spacing w:before="0" w:after="0"/>
            </w:pPr>
            <w:r>
              <w:rPr>
                <w:b/>
                <w:color w:val="122A52"/>
                <w:sz w:val="15"/>
              </w:rPr>
              <w:t>Acct/Fin/Ops (n=246)</w:t>
            </w:r>
          </w:p>
        </w:tc>
        <w:tc>
          <w:tcPr>
            <w:tcW w:type="dxa" w:w="627"/>
            <w:shd w:val="clear" w:color="auto" w:fill="F2F4F8"/>
          </w:tcPr>
          <w:p>
            <w:pPr>
              <w:spacing w:before="0" w:after="0"/>
            </w:pPr>
            <w:r>
              <w:rPr>
                <w:b w:val="0"/>
                <w:color w:val="444444"/>
                <w:sz w:val="15"/>
              </w:rPr>
              <w:t>197</w:t>
            </w:r>
          </w:p>
        </w:tc>
        <w:tc>
          <w:tcPr>
            <w:tcW w:type="dxa" w:w="627"/>
            <w:shd w:val="clear" w:color="auto" w:fill="F2F4F8"/>
          </w:tcPr>
          <w:p>
            <w:pPr>
              <w:spacing w:before="0" w:after="0"/>
            </w:pPr>
            <w:r>
              <w:rPr>
                <w:b w:val="0"/>
                <w:color w:val="444444"/>
                <w:sz w:val="15"/>
              </w:rPr>
              <w:t>9</w:t>
            </w:r>
          </w:p>
        </w:tc>
        <w:tc>
          <w:tcPr>
            <w:tcW w:type="dxa" w:w="627"/>
            <w:shd w:val="clear" w:color="auto" w:fill="F2F4F8"/>
          </w:tcPr>
          <w:p>
            <w:pPr>
              <w:spacing w:before="0" w:after="0"/>
            </w:pPr>
            <w:r>
              <w:rPr>
                <w:b w:val="0"/>
                <w:color w:val="444444"/>
                <w:sz w:val="15"/>
              </w:rPr>
              <w:t>4</w:t>
            </w:r>
          </w:p>
        </w:tc>
        <w:tc>
          <w:tcPr>
            <w:tcW w:type="dxa" w:w="627"/>
            <w:shd w:val="clear" w:color="auto" w:fill="F2F4F8"/>
          </w:tcPr>
          <w:p>
            <w:pPr>
              <w:spacing w:before="0" w:after="0"/>
            </w:pPr>
            <w:r>
              <w:rPr>
                <w:b w:val="0"/>
                <w:color w:val="444444"/>
                <w:sz w:val="15"/>
              </w:rPr>
              <w:t>18</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6</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6</w:t>
            </w:r>
          </w:p>
        </w:tc>
        <w:tc>
          <w:tcPr>
            <w:tcW w:type="dxa" w:w="627"/>
            <w:shd w:val="clear" w:color="auto" w:fill="F2F4F8"/>
          </w:tcPr>
          <w:p>
            <w:pPr>
              <w:spacing w:before="0" w:after="0"/>
            </w:pPr>
            <w:r>
              <w:rPr>
                <w:b w:val="0"/>
                <w:color w:val="444444"/>
                <w:sz w:val="15"/>
              </w:rPr>
              <w:t>246</w:t>
            </w:r>
          </w:p>
        </w:tc>
      </w:tr>
      <w:tr>
        <w:tc>
          <w:tcPr>
            <w:tcW w:type="dxa" w:w="627"/>
            <w:shd w:val="clear" w:color="auto" w:fill="FFFFFF"/>
          </w:tcPr>
          <w:p>
            <w:pPr>
              <w:spacing w:before="0" w:after="0"/>
            </w:pPr>
            <w:r>
              <w:rPr>
                <w:b/>
                <w:color w:val="122A52"/>
                <w:sz w:val="15"/>
              </w:rPr>
              <w:t>Management (n=122)</w:t>
            </w:r>
          </w:p>
        </w:tc>
        <w:tc>
          <w:tcPr>
            <w:tcW w:type="dxa" w:w="627"/>
            <w:shd w:val="clear" w:color="auto" w:fill="FFFFFF"/>
          </w:tcPr>
          <w:p>
            <w:pPr>
              <w:spacing w:before="0" w:after="0"/>
            </w:pPr>
            <w:r>
              <w:rPr>
                <w:b w:val="0"/>
                <w:color w:val="444444"/>
                <w:sz w:val="15"/>
              </w:rPr>
              <w:t>45</w:t>
            </w:r>
          </w:p>
        </w:tc>
        <w:tc>
          <w:tcPr>
            <w:tcW w:type="dxa" w:w="627"/>
            <w:shd w:val="clear" w:color="auto" w:fill="FFFFFF"/>
          </w:tcPr>
          <w:p>
            <w:pPr>
              <w:spacing w:before="0" w:after="0"/>
            </w:pPr>
            <w:r>
              <w:rPr>
                <w:b w:val="0"/>
                <w:color w:val="444444"/>
                <w:sz w:val="15"/>
              </w:rPr>
              <w:t>52</w:t>
            </w:r>
          </w:p>
        </w:tc>
        <w:tc>
          <w:tcPr>
            <w:tcW w:type="dxa" w:w="627"/>
            <w:shd w:val="clear" w:color="auto" w:fill="FFFFFF"/>
          </w:tcPr>
          <w:p>
            <w:pPr>
              <w:spacing w:before="0" w:after="0"/>
            </w:pPr>
            <w:r>
              <w:rPr>
                <w:b w:val="0"/>
                <w:color w:val="444444"/>
                <w:sz w:val="15"/>
              </w:rPr>
              <w:t>11</w:t>
            </w:r>
          </w:p>
        </w:tc>
        <w:tc>
          <w:tcPr>
            <w:tcW w:type="dxa" w:w="627"/>
            <w:shd w:val="clear" w:color="auto" w:fill="FFFFFF"/>
          </w:tcPr>
          <w:p>
            <w:pPr>
              <w:spacing w:before="0" w:after="0"/>
            </w:pPr>
            <w:r>
              <w:rPr>
                <w:b w:val="0"/>
                <w:color w:val="444444"/>
                <w:sz w:val="15"/>
              </w:rPr>
              <w:t>10</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122</w:t>
            </w:r>
          </w:p>
        </w:tc>
      </w:tr>
      <w:tr>
        <w:tc>
          <w:tcPr>
            <w:tcW w:type="dxa" w:w="627"/>
            <w:shd w:val="clear" w:color="auto" w:fill="F2F4F8"/>
          </w:tcPr>
          <w:p>
            <w:pPr>
              <w:spacing w:before="0" w:after="0"/>
            </w:pPr>
            <w:r>
              <w:rPr>
                <w:b/>
                <w:color w:val="122A52"/>
                <w:sz w:val="15"/>
              </w:rPr>
              <w:t>Spec. Business (n=158)</w:t>
            </w:r>
          </w:p>
        </w:tc>
        <w:tc>
          <w:tcPr>
            <w:tcW w:type="dxa" w:w="627"/>
            <w:shd w:val="clear" w:color="auto" w:fill="F2F4F8"/>
          </w:tcPr>
          <w:p>
            <w:pPr>
              <w:spacing w:before="0" w:after="0"/>
            </w:pPr>
            <w:r>
              <w:rPr>
                <w:b w:val="0"/>
                <w:color w:val="444444"/>
                <w:sz w:val="15"/>
              </w:rPr>
              <w:t>41</w:t>
            </w:r>
          </w:p>
        </w:tc>
        <w:tc>
          <w:tcPr>
            <w:tcW w:type="dxa" w:w="627"/>
            <w:shd w:val="clear" w:color="auto" w:fill="F2F4F8"/>
          </w:tcPr>
          <w:p>
            <w:pPr>
              <w:spacing w:before="0" w:after="0"/>
            </w:pPr>
            <w:r>
              <w:rPr>
                <w:b w:val="0"/>
                <w:color w:val="444444"/>
                <w:sz w:val="15"/>
              </w:rPr>
              <w:t>14</w:t>
            </w:r>
          </w:p>
        </w:tc>
        <w:tc>
          <w:tcPr>
            <w:tcW w:type="dxa" w:w="627"/>
            <w:shd w:val="clear" w:color="auto" w:fill="F2F4F8"/>
          </w:tcPr>
          <w:p>
            <w:pPr>
              <w:spacing w:before="0" w:after="0"/>
            </w:pPr>
            <w:r>
              <w:rPr>
                <w:b w:val="0"/>
                <w:color w:val="444444"/>
                <w:sz w:val="15"/>
              </w:rPr>
              <w:t>53</w:t>
            </w:r>
          </w:p>
        </w:tc>
        <w:tc>
          <w:tcPr>
            <w:tcW w:type="dxa" w:w="627"/>
            <w:shd w:val="clear" w:color="auto" w:fill="F2F4F8"/>
          </w:tcPr>
          <w:p>
            <w:pPr>
              <w:spacing w:before="0" w:after="0"/>
            </w:pPr>
            <w:r>
              <w:rPr>
                <w:b w:val="0"/>
                <w:color w:val="444444"/>
                <w:sz w:val="15"/>
              </w:rPr>
              <w:t>26</w:t>
            </w:r>
          </w:p>
        </w:tc>
        <w:tc>
          <w:tcPr>
            <w:tcW w:type="dxa" w:w="627"/>
            <w:shd w:val="clear" w:color="auto" w:fill="F2F4F8"/>
          </w:tcPr>
          <w:p>
            <w:pPr>
              <w:spacing w:before="0" w:after="0"/>
            </w:pPr>
            <w:r>
              <w:rPr>
                <w:b w:val="0"/>
                <w:color w:val="444444"/>
                <w:sz w:val="15"/>
              </w:rPr>
              <w:t>8</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10</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158</w:t>
            </w:r>
          </w:p>
        </w:tc>
      </w:tr>
      <w:tr>
        <w:tc>
          <w:tcPr>
            <w:tcW w:type="dxa" w:w="627"/>
            <w:shd w:val="clear" w:color="auto" w:fill="FFFFFF"/>
          </w:tcPr>
          <w:p>
            <w:pPr>
              <w:spacing w:before="0" w:after="0"/>
            </w:pPr>
            <w:r>
              <w:rPr>
                <w:b/>
                <w:color w:val="122A52"/>
                <w:sz w:val="15"/>
              </w:rPr>
              <w:t>Marketing (n=116)</w:t>
            </w:r>
          </w:p>
        </w:tc>
        <w:tc>
          <w:tcPr>
            <w:tcW w:type="dxa" w:w="627"/>
            <w:shd w:val="clear" w:color="auto" w:fill="FFFFFF"/>
          </w:tcPr>
          <w:p>
            <w:pPr>
              <w:spacing w:before="0" w:after="0"/>
            </w:pPr>
            <w:r>
              <w:rPr>
                <w:b w:val="0"/>
                <w:color w:val="444444"/>
                <w:sz w:val="15"/>
              </w:rPr>
              <w:t>17</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9</w:t>
            </w:r>
          </w:p>
        </w:tc>
        <w:tc>
          <w:tcPr>
            <w:tcW w:type="dxa" w:w="627"/>
            <w:shd w:val="clear" w:color="auto" w:fill="FFFFFF"/>
          </w:tcPr>
          <w:p>
            <w:pPr>
              <w:spacing w:before="0" w:after="0"/>
            </w:pPr>
            <w:r>
              <w:rPr>
                <w:b w:val="0"/>
                <w:color w:val="444444"/>
                <w:sz w:val="15"/>
              </w:rPr>
              <w:t>78</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4</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116</w:t>
            </w:r>
          </w:p>
        </w:tc>
      </w:tr>
      <w:tr>
        <w:tc>
          <w:tcPr>
            <w:tcW w:type="dxa" w:w="627"/>
            <w:shd w:val="clear" w:color="auto" w:fill="F2F4F8"/>
          </w:tcPr>
          <w:p>
            <w:pPr>
              <w:spacing w:before="0" w:after="0"/>
            </w:pPr>
            <w:r>
              <w:rPr>
                <w:b/>
                <w:color w:val="122A52"/>
                <w:sz w:val="15"/>
              </w:rPr>
              <w:t>Writing/Comm (n=48)</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4</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28</w:t>
            </w:r>
          </w:p>
        </w:tc>
        <w:tc>
          <w:tcPr>
            <w:tcW w:type="dxa" w:w="627"/>
            <w:shd w:val="clear" w:color="auto" w:fill="F2F4F8"/>
          </w:tcPr>
          <w:p>
            <w:pPr>
              <w:spacing w:before="0" w:after="0"/>
            </w:pPr>
            <w:r>
              <w:rPr>
                <w:b w:val="0"/>
                <w:color w:val="444444"/>
                <w:sz w:val="15"/>
              </w:rPr>
              <w:t>5</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3</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48</w:t>
            </w:r>
          </w:p>
        </w:tc>
      </w:tr>
      <w:tr>
        <w:tc>
          <w:tcPr>
            <w:tcW w:type="dxa" w:w="627"/>
            <w:shd w:val="clear" w:color="auto" w:fill="FFFFFF"/>
          </w:tcPr>
          <w:p>
            <w:pPr>
              <w:spacing w:before="0" w:after="0"/>
            </w:pPr>
            <w:r>
              <w:rPr>
                <w:b/>
                <w:color w:val="122A52"/>
                <w:sz w:val="15"/>
              </w:rPr>
              <w:t>Humanities (n=70)</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4</w:t>
            </w:r>
          </w:p>
        </w:tc>
        <w:tc>
          <w:tcPr>
            <w:tcW w:type="dxa" w:w="627"/>
            <w:shd w:val="clear" w:color="auto" w:fill="FFFFFF"/>
          </w:tcPr>
          <w:p>
            <w:pPr>
              <w:spacing w:before="0" w:after="0"/>
            </w:pPr>
            <w:r>
              <w:rPr>
                <w:b w:val="0"/>
                <w:color w:val="444444"/>
                <w:sz w:val="15"/>
              </w:rPr>
              <w:t>6</w:t>
            </w:r>
          </w:p>
        </w:tc>
        <w:tc>
          <w:tcPr>
            <w:tcW w:type="dxa" w:w="627"/>
            <w:shd w:val="clear" w:color="auto" w:fill="FFFFFF"/>
          </w:tcPr>
          <w:p>
            <w:pPr>
              <w:spacing w:before="0" w:after="0"/>
            </w:pPr>
            <w:r>
              <w:rPr>
                <w:b w:val="0"/>
                <w:color w:val="444444"/>
                <w:sz w:val="15"/>
              </w:rPr>
              <w:t>52</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70</w:t>
            </w:r>
          </w:p>
        </w:tc>
      </w:tr>
      <w:tr>
        <w:tc>
          <w:tcPr>
            <w:tcW w:type="dxa" w:w="627"/>
            <w:shd w:val="clear" w:color="auto" w:fill="F2F4F8"/>
          </w:tcPr>
          <w:p>
            <w:pPr>
              <w:spacing w:before="0" w:after="0"/>
            </w:pPr>
            <w:r>
              <w:rPr>
                <w:b/>
                <w:color w:val="122A52"/>
                <w:sz w:val="15"/>
              </w:rPr>
              <w:t>Social Sciences (n=156)</w:t>
            </w:r>
          </w:p>
        </w:tc>
        <w:tc>
          <w:tcPr>
            <w:tcW w:type="dxa" w:w="627"/>
            <w:shd w:val="clear" w:color="auto" w:fill="F2F4F8"/>
          </w:tcPr>
          <w:p>
            <w:pPr>
              <w:spacing w:before="0" w:after="0"/>
            </w:pPr>
            <w:r>
              <w:rPr>
                <w:b w:val="0"/>
                <w:color w:val="444444"/>
                <w:sz w:val="15"/>
              </w:rPr>
              <w:t>8</w:t>
            </w:r>
          </w:p>
        </w:tc>
        <w:tc>
          <w:tcPr>
            <w:tcW w:type="dxa" w:w="627"/>
            <w:shd w:val="clear" w:color="auto" w:fill="F2F4F8"/>
          </w:tcPr>
          <w:p>
            <w:pPr>
              <w:spacing w:before="0" w:after="0"/>
            </w:pPr>
            <w:r>
              <w:rPr>
                <w:b w:val="0"/>
                <w:color w:val="444444"/>
                <w:sz w:val="15"/>
              </w:rPr>
              <w:t>6</w:t>
            </w:r>
          </w:p>
        </w:tc>
        <w:tc>
          <w:tcPr>
            <w:tcW w:type="dxa" w:w="627"/>
            <w:shd w:val="clear" w:color="auto" w:fill="F2F4F8"/>
          </w:tcPr>
          <w:p>
            <w:pPr>
              <w:spacing w:before="0" w:after="0"/>
            </w:pPr>
            <w:r>
              <w:rPr>
                <w:b w:val="0"/>
                <w:color w:val="444444"/>
                <w:sz w:val="15"/>
              </w:rPr>
              <w:t>6</w:t>
            </w:r>
          </w:p>
        </w:tc>
        <w:tc>
          <w:tcPr>
            <w:tcW w:type="dxa" w:w="627"/>
            <w:shd w:val="clear" w:color="auto" w:fill="F2F4F8"/>
          </w:tcPr>
          <w:p>
            <w:pPr>
              <w:spacing w:before="0" w:after="0"/>
            </w:pPr>
            <w:r>
              <w:rPr>
                <w:b w:val="0"/>
                <w:color w:val="444444"/>
                <w:sz w:val="15"/>
              </w:rPr>
              <w:t>6</w:t>
            </w:r>
          </w:p>
        </w:tc>
        <w:tc>
          <w:tcPr>
            <w:tcW w:type="dxa" w:w="627"/>
            <w:shd w:val="clear" w:color="auto" w:fill="F2F4F8"/>
          </w:tcPr>
          <w:p>
            <w:pPr>
              <w:spacing w:before="0" w:after="0"/>
            </w:pPr>
            <w:r>
              <w:rPr>
                <w:b w:val="0"/>
                <w:color w:val="444444"/>
                <w:sz w:val="15"/>
              </w:rPr>
              <w:t>4</w:t>
            </w:r>
          </w:p>
        </w:tc>
        <w:tc>
          <w:tcPr>
            <w:tcW w:type="dxa" w:w="627"/>
            <w:shd w:val="clear" w:color="auto" w:fill="F2F4F8"/>
          </w:tcPr>
          <w:p>
            <w:pPr>
              <w:spacing w:before="0" w:after="0"/>
            </w:pPr>
            <w:r>
              <w:rPr>
                <w:b w:val="0"/>
                <w:color w:val="444444"/>
                <w:sz w:val="15"/>
              </w:rPr>
              <w:t>5</w:t>
            </w:r>
          </w:p>
        </w:tc>
        <w:tc>
          <w:tcPr>
            <w:tcW w:type="dxa" w:w="627"/>
            <w:shd w:val="clear" w:color="auto" w:fill="F2F4F8"/>
          </w:tcPr>
          <w:p>
            <w:pPr>
              <w:spacing w:before="0" w:after="0"/>
            </w:pPr>
            <w:r>
              <w:rPr>
                <w:b w:val="0"/>
                <w:color w:val="444444"/>
                <w:sz w:val="15"/>
              </w:rPr>
              <w:t>4</w:t>
            </w:r>
          </w:p>
        </w:tc>
        <w:tc>
          <w:tcPr>
            <w:tcW w:type="dxa" w:w="627"/>
            <w:shd w:val="clear" w:color="auto" w:fill="F2F4F8"/>
          </w:tcPr>
          <w:p>
            <w:pPr>
              <w:spacing w:before="0" w:after="0"/>
            </w:pPr>
            <w:r>
              <w:rPr>
                <w:b w:val="0"/>
                <w:color w:val="444444"/>
                <w:sz w:val="15"/>
              </w:rPr>
              <w:t>93</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10</w:t>
            </w:r>
          </w:p>
        </w:tc>
        <w:tc>
          <w:tcPr>
            <w:tcW w:type="dxa" w:w="627"/>
            <w:shd w:val="clear" w:color="auto" w:fill="F2F4F8"/>
          </w:tcPr>
          <w:p>
            <w:pPr>
              <w:spacing w:before="0" w:after="0"/>
            </w:pPr>
            <w:r>
              <w:rPr>
                <w:b w:val="0"/>
                <w:color w:val="444444"/>
                <w:sz w:val="15"/>
              </w:rPr>
              <w:t>7</w:t>
            </w:r>
          </w:p>
        </w:tc>
        <w:tc>
          <w:tcPr>
            <w:tcW w:type="dxa" w:w="627"/>
            <w:shd w:val="clear" w:color="auto" w:fill="F2F4F8"/>
          </w:tcPr>
          <w:p>
            <w:pPr>
              <w:spacing w:before="0" w:after="0"/>
            </w:pPr>
            <w:r>
              <w:rPr>
                <w:b w:val="0"/>
                <w:color w:val="444444"/>
                <w:sz w:val="15"/>
              </w:rPr>
              <w:t>4</w:t>
            </w:r>
          </w:p>
        </w:tc>
        <w:tc>
          <w:tcPr>
            <w:tcW w:type="dxa" w:w="627"/>
            <w:shd w:val="clear" w:color="auto" w:fill="F2F4F8"/>
          </w:tcPr>
          <w:p>
            <w:pPr>
              <w:spacing w:before="0" w:after="0"/>
            </w:pPr>
            <w:r>
              <w:rPr>
                <w:b w:val="0"/>
                <w:color w:val="444444"/>
                <w:sz w:val="15"/>
              </w:rPr>
              <w:t>1</w:t>
            </w:r>
          </w:p>
        </w:tc>
        <w:tc>
          <w:tcPr>
            <w:tcW w:type="dxa" w:w="627"/>
            <w:shd w:val="clear" w:color="auto" w:fill="F2F4F8"/>
          </w:tcPr>
          <w:p>
            <w:pPr>
              <w:spacing w:before="0" w:after="0"/>
            </w:pPr>
            <w:r>
              <w:rPr>
                <w:b w:val="0"/>
                <w:color w:val="444444"/>
                <w:sz w:val="15"/>
              </w:rPr>
              <w:t>156</w:t>
            </w:r>
          </w:p>
        </w:tc>
      </w:tr>
      <w:tr>
        <w:tc>
          <w:tcPr>
            <w:tcW w:type="dxa" w:w="627"/>
            <w:shd w:val="clear" w:color="auto" w:fill="FFFFFF"/>
          </w:tcPr>
          <w:p>
            <w:pPr>
              <w:spacing w:before="0" w:after="0"/>
            </w:pPr>
            <w:r>
              <w:rPr>
                <w:b/>
                <w:color w:val="122A52"/>
                <w:sz w:val="15"/>
              </w:rPr>
              <w:t>Pre-Prof/Undecl. (n=196)</w:t>
            </w:r>
          </w:p>
        </w:tc>
        <w:tc>
          <w:tcPr>
            <w:tcW w:type="dxa" w:w="627"/>
            <w:shd w:val="clear" w:color="auto" w:fill="FFFFFF"/>
          </w:tcPr>
          <w:p>
            <w:pPr>
              <w:spacing w:before="0" w:after="0"/>
            </w:pPr>
            <w:r>
              <w:rPr>
                <w:b w:val="0"/>
                <w:color w:val="444444"/>
                <w:sz w:val="15"/>
              </w:rPr>
              <w:t>29</w:t>
            </w:r>
          </w:p>
        </w:tc>
        <w:tc>
          <w:tcPr>
            <w:tcW w:type="dxa" w:w="627"/>
            <w:shd w:val="clear" w:color="auto" w:fill="FFFFFF"/>
          </w:tcPr>
          <w:p>
            <w:pPr>
              <w:spacing w:before="0" w:after="0"/>
            </w:pPr>
            <w:r>
              <w:rPr>
                <w:b w:val="0"/>
                <w:color w:val="444444"/>
                <w:sz w:val="15"/>
              </w:rPr>
              <w:t>18</w:t>
            </w:r>
          </w:p>
        </w:tc>
        <w:tc>
          <w:tcPr>
            <w:tcW w:type="dxa" w:w="627"/>
            <w:shd w:val="clear" w:color="auto" w:fill="FFFFFF"/>
          </w:tcPr>
          <w:p>
            <w:pPr>
              <w:spacing w:before="0" w:after="0"/>
            </w:pPr>
            <w:r>
              <w:rPr>
                <w:b w:val="0"/>
                <w:color w:val="444444"/>
                <w:sz w:val="15"/>
              </w:rPr>
              <w:t>12</w:t>
            </w:r>
          </w:p>
        </w:tc>
        <w:tc>
          <w:tcPr>
            <w:tcW w:type="dxa" w:w="627"/>
            <w:shd w:val="clear" w:color="auto" w:fill="FFFFFF"/>
          </w:tcPr>
          <w:p>
            <w:pPr>
              <w:spacing w:before="0" w:after="0"/>
            </w:pPr>
            <w:r>
              <w:rPr>
                <w:b w:val="0"/>
                <w:color w:val="444444"/>
                <w:sz w:val="15"/>
              </w:rPr>
              <w:t>19</w:t>
            </w:r>
          </w:p>
        </w:tc>
        <w:tc>
          <w:tcPr>
            <w:tcW w:type="dxa" w:w="627"/>
            <w:shd w:val="clear" w:color="auto" w:fill="FFFFFF"/>
          </w:tcPr>
          <w:p>
            <w:pPr>
              <w:spacing w:before="0" w:after="0"/>
            </w:pPr>
            <w:r>
              <w:rPr>
                <w:b w:val="0"/>
                <w:color w:val="444444"/>
                <w:sz w:val="15"/>
              </w:rPr>
              <w:t>12</w:t>
            </w:r>
          </w:p>
        </w:tc>
        <w:tc>
          <w:tcPr>
            <w:tcW w:type="dxa" w:w="627"/>
            <w:shd w:val="clear" w:color="auto" w:fill="FFFFFF"/>
          </w:tcPr>
          <w:p>
            <w:pPr>
              <w:spacing w:before="0" w:after="0"/>
            </w:pPr>
            <w:r>
              <w:rPr>
                <w:b w:val="0"/>
                <w:color w:val="444444"/>
                <w:sz w:val="15"/>
              </w:rPr>
              <w:t>1</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35</w:t>
            </w:r>
          </w:p>
        </w:tc>
        <w:tc>
          <w:tcPr>
            <w:tcW w:type="dxa" w:w="627"/>
            <w:shd w:val="clear" w:color="auto" w:fill="FFFFFF"/>
          </w:tcPr>
          <w:p>
            <w:pPr>
              <w:spacing w:before="0" w:after="0"/>
            </w:pPr>
            <w:r>
              <w:rPr>
                <w:b w:val="0"/>
                <w:color w:val="444444"/>
                <w:sz w:val="15"/>
              </w:rPr>
              <w:t>8</w:t>
            </w:r>
          </w:p>
        </w:tc>
        <w:tc>
          <w:tcPr>
            <w:tcW w:type="dxa" w:w="627"/>
            <w:shd w:val="clear" w:color="auto" w:fill="FFFFFF"/>
          </w:tcPr>
          <w:p>
            <w:pPr>
              <w:spacing w:before="0" w:after="0"/>
            </w:pPr>
            <w:r>
              <w:rPr>
                <w:b w:val="0"/>
                <w:color w:val="444444"/>
                <w:sz w:val="15"/>
              </w:rPr>
              <w:t>14</w:t>
            </w:r>
          </w:p>
        </w:tc>
        <w:tc>
          <w:tcPr>
            <w:tcW w:type="dxa" w:w="627"/>
            <w:shd w:val="clear" w:color="auto" w:fill="FFFFFF"/>
          </w:tcPr>
          <w:p>
            <w:pPr>
              <w:spacing w:before="0" w:after="0"/>
            </w:pPr>
            <w:r>
              <w:rPr>
                <w:b w:val="0"/>
                <w:color w:val="444444"/>
                <w:sz w:val="15"/>
              </w:rPr>
              <w:t>14</w:t>
            </w:r>
          </w:p>
        </w:tc>
        <w:tc>
          <w:tcPr>
            <w:tcW w:type="dxa" w:w="627"/>
            <w:shd w:val="clear" w:color="auto" w:fill="FFFFFF"/>
          </w:tcPr>
          <w:p>
            <w:pPr>
              <w:spacing w:before="0" w:after="0"/>
            </w:pPr>
            <w:r>
              <w:rPr>
                <w:b w:val="0"/>
                <w:color w:val="444444"/>
                <w:sz w:val="15"/>
              </w:rPr>
              <w:t>10</w:t>
            </w:r>
          </w:p>
        </w:tc>
        <w:tc>
          <w:tcPr>
            <w:tcW w:type="dxa" w:w="627"/>
            <w:shd w:val="clear" w:color="auto" w:fill="FFFFFF"/>
          </w:tcPr>
          <w:p>
            <w:pPr>
              <w:spacing w:before="0" w:after="0"/>
            </w:pPr>
            <w:r>
              <w:rPr>
                <w:b w:val="0"/>
                <w:color w:val="444444"/>
                <w:sz w:val="15"/>
              </w:rPr>
              <w:t>22</w:t>
            </w:r>
          </w:p>
        </w:tc>
        <w:tc>
          <w:tcPr>
            <w:tcW w:type="dxa" w:w="627"/>
            <w:shd w:val="clear" w:color="auto" w:fill="FFFFFF"/>
          </w:tcPr>
          <w:p>
            <w:pPr>
              <w:spacing w:before="0" w:after="0"/>
            </w:pPr>
            <w:r>
              <w:rPr>
                <w:b w:val="0"/>
                <w:color w:val="444444"/>
                <w:sz w:val="15"/>
              </w:rPr>
              <w:t>196</w:t>
            </w:r>
          </w:p>
        </w:tc>
      </w:tr>
      <w:tr>
        <w:tc>
          <w:tcPr>
            <w:tcW w:type="dxa" w:w="627"/>
            <w:shd w:val="clear" w:color="auto" w:fill="F2F4F8"/>
          </w:tcPr>
          <w:p>
            <w:pPr>
              <w:spacing w:before="0" w:after="0"/>
            </w:pPr>
            <w:r>
              <w:rPr>
                <w:b/>
                <w:color w:val="122A52"/>
                <w:sz w:val="15"/>
              </w:rPr>
              <w:t>Education (n=26)</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1</w:t>
            </w:r>
          </w:p>
        </w:tc>
        <w:tc>
          <w:tcPr>
            <w:tcW w:type="dxa" w:w="627"/>
            <w:shd w:val="clear" w:color="auto" w:fill="F2F4F8"/>
          </w:tcPr>
          <w:p>
            <w:pPr>
              <w:spacing w:before="0" w:after="0"/>
            </w:pPr>
            <w:r>
              <w:rPr>
                <w:b w:val="0"/>
                <w:color w:val="444444"/>
                <w:sz w:val="15"/>
              </w:rPr>
              <w:t>5</w:t>
            </w:r>
          </w:p>
        </w:tc>
        <w:tc>
          <w:tcPr>
            <w:tcW w:type="dxa" w:w="627"/>
            <w:shd w:val="clear" w:color="auto" w:fill="F2F4F8"/>
          </w:tcPr>
          <w:p>
            <w:pPr>
              <w:spacing w:before="0" w:after="0"/>
            </w:pPr>
            <w:r>
              <w:rPr>
                <w:b w:val="0"/>
                <w:color w:val="444444"/>
                <w:sz w:val="15"/>
              </w:rPr>
              <w:t>14</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26</w:t>
            </w:r>
          </w:p>
        </w:tc>
      </w:tr>
      <w:tr>
        <w:tc>
          <w:tcPr>
            <w:tcW w:type="dxa" w:w="627"/>
            <w:shd w:val="clear" w:color="auto" w:fill="FFFFFF"/>
          </w:tcPr>
          <w:p>
            <w:pPr>
              <w:spacing w:before="0" w:after="0"/>
            </w:pPr>
            <w:r>
              <w:rPr>
                <w:b/>
                <w:color w:val="122A52"/>
                <w:sz w:val="15"/>
              </w:rPr>
              <w:t>Health Sciences (n=190)</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4</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12</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18</w:t>
            </w:r>
          </w:p>
        </w:tc>
        <w:tc>
          <w:tcPr>
            <w:tcW w:type="dxa" w:w="627"/>
            <w:shd w:val="clear" w:color="auto" w:fill="FFFFFF"/>
          </w:tcPr>
          <w:p>
            <w:pPr>
              <w:spacing w:before="0" w:after="0"/>
            </w:pPr>
            <w:r>
              <w:rPr>
                <w:b w:val="0"/>
                <w:color w:val="444444"/>
                <w:sz w:val="15"/>
              </w:rPr>
              <w:t>4</w:t>
            </w:r>
          </w:p>
        </w:tc>
        <w:tc>
          <w:tcPr>
            <w:tcW w:type="dxa" w:w="627"/>
            <w:shd w:val="clear" w:color="auto" w:fill="FFFFFF"/>
          </w:tcPr>
          <w:p>
            <w:pPr>
              <w:spacing w:before="0" w:after="0"/>
            </w:pPr>
            <w:r>
              <w:rPr>
                <w:b w:val="0"/>
                <w:color w:val="444444"/>
                <w:sz w:val="15"/>
              </w:rPr>
              <w:t>130</w:t>
            </w:r>
          </w:p>
        </w:tc>
        <w:tc>
          <w:tcPr>
            <w:tcW w:type="dxa" w:w="627"/>
            <w:shd w:val="clear" w:color="auto" w:fill="FFFFFF"/>
          </w:tcPr>
          <w:p>
            <w:pPr>
              <w:spacing w:before="0" w:after="0"/>
            </w:pPr>
            <w:r>
              <w:rPr>
                <w:b w:val="0"/>
                <w:color w:val="444444"/>
                <w:sz w:val="15"/>
              </w:rPr>
              <w:t>14</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190</w:t>
            </w:r>
          </w:p>
        </w:tc>
      </w:tr>
      <w:tr>
        <w:tc>
          <w:tcPr>
            <w:tcW w:type="dxa" w:w="627"/>
            <w:shd w:val="clear" w:color="auto" w:fill="F2F4F8"/>
          </w:tcPr>
          <w:p>
            <w:pPr>
              <w:spacing w:before="0" w:after="0"/>
            </w:pPr>
            <w:r>
              <w:rPr>
                <w:b/>
                <w:color w:val="122A52"/>
                <w:sz w:val="15"/>
              </w:rPr>
              <w:t>Natural Sciences (n=176)</w:t>
            </w:r>
          </w:p>
        </w:tc>
        <w:tc>
          <w:tcPr>
            <w:tcW w:type="dxa" w:w="627"/>
            <w:shd w:val="clear" w:color="auto" w:fill="F2F4F8"/>
          </w:tcPr>
          <w:p>
            <w:pPr>
              <w:spacing w:before="0" w:after="0"/>
            </w:pPr>
            <w:r>
              <w:rPr>
                <w:b w:val="0"/>
                <w:color w:val="444444"/>
                <w:sz w:val="15"/>
              </w:rPr>
              <w:t>18</w:t>
            </w:r>
          </w:p>
        </w:tc>
        <w:tc>
          <w:tcPr>
            <w:tcW w:type="dxa" w:w="627"/>
            <w:shd w:val="clear" w:color="auto" w:fill="F2F4F8"/>
          </w:tcPr>
          <w:p>
            <w:pPr>
              <w:spacing w:before="0" w:after="0"/>
            </w:pPr>
            <w:r>
              <w:rPr>
                <w:b w:val="0"/>
                <w:color w:val="444444"/>
                <w:sz w:val="15"/>
              </w:rPr>
              <w:t>4</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4</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12</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18</w:t>
            </w:r>
          </w:p>
        </w:tc>
        <w:tc>
          <w:tcPr>
            <w:tcW w:type="dxa" w:w="627"/>
            <w:shd w:val="clear" w:color="auto" w:fill="F2F4F8"/>
          </w:tcPr>
          <w:p>
            <w:pPr>
              <w:spacing w:before="0" w:after="0"/>
            </w:pPr>
            <w:r>
              <w:rPr>
                <w:b w:val="0"/>
                <w:color w:val="444444"/>
                <w:sz w:val="15"/>
              </w:rPr>
              <w:t>108</w:t>
            </w:r>
          </w:p>
        </w:tc>
        <w:tc>
          <w:tcPr>
            <w:tcW w:type="dxa" w:w="627"/>
            <w:shd w:val="clear" w:color="auto" w:fill="F2F4F8"/>
          </w:tcPr>
          <w:p>
            <w:pPr>
              <w:spacing w:before="0" w:after="0"/>
            </w:pPr>
            <w:r>
              <w:rPr>
                <w:b w:val="0"/>
                <w:color w:val="444444"/>
                <w:sz w:val="15"/>
              </w:rPr>
              <w:t>6</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176</w:t>
            </w:r>
          </w:p>
        </w:tc>
      </w:tr>
      <w:tr>
        <w:tc>
          <w:tcPr>
            <w:tcW w:type="dxa" w:w="627"/>
            <w:shd w:val="clear" w:color="auto" w:fill="FFFFFF"/>
          </w:tcPr>
          <w:p>
            <w:pPr>
              <w:spacing w:before="0" w:after="0"/>
            </w:pPr>
            <w:r>
              <w:rPr>
                <w:b/>
                <w:color w:val="122A52"/>
                <w:sz w:val="15"/>
              </w:rPr>
              <w:t>Engineering (n=214)</w:t>
            </w:r>
          </w:p>
        </w:tc>
        <w:tc>
          <w:tcPr>
            <w:tcW w:type="dxa" w:w="627"/>
            <w:shd w:val="clear" w:color="auto" w:fill="FFFFFF"/>
          </w:tcPr>
          <w:p>
            <w:pPr>
              <w:spacing w:before="0" w:after="0"/>
            </w:pPr>
            <w:r>
              <w:rPr>
                <w:b w:val="0"/>
                <w:color w:val="444444"/>
                <w:sz w:val="15"/>
              </w:rPr>
              <w:t>12</w:t>
            </w:r>
          </w:p>
        </w:tc>
        <w:tc>
          <w:tcPr>
            <w:tcW w:type="dxa" w:w="627"/>
            <w:shd w:val="clear" w:color="auto" w:fill="FFFFFF"/>
          </w:tcPr>
          <w:p>
            <w:pPr>
              <w:spacing w:before="0" w:after="0"/>
            </w:pPr>
            <w:r>
              <w:rPr>
                <w:b w:val="0"/>
                <w:color w:val="444444"/>
                <w:sz w:val="15"/>
              </w:rPr>
              <w:t>9</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1</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6</w:t>
            </w:r>
          </w:p>
        </w:tc>
        <w:tc>
          <w:tcPr>
            <w:tcW w:type="dxa" w:w="627"/>
            <w:shd w:val="clear" w:color="auto" w:fill="FFFFFF"/>
          </w:tcPr>
          <w:p>
            <w:pPr>
              <w:spacing w:before="0" w:after="0"/>
            </w:pPr>
            <w:r>
              <w:rPr>
                <w:b w:val="0"/>
                <w:color w:val="444444"/>
                <w:sz w:val="15"/>
              </w:rPr>
              <w:t>2</w:t>
            </w:r>
          </w:p>
        </w:tc>
        <w:tc>
          <w:tcPr>
            <w:tcW w:type="dxa" w:w="627"/>
            <w:shd w:val="clear" w:color="auto" w:fill="FFFFFF"/>
          </w:tcPr>
          <w:p>
            <w:pPr>
              <w:spacing w:before="0" w:after="0"/>
            </w:pPr>
            <w:r>
              <w:rPr>
                <w:b w:val="0"/>
                <w:color w:val="444444"/>
                <w:sz w:val="15"/>
              </w:rPr>
              <w:t>0</w:t>
            </w:r>
          </w:p>
        </w:tc>
        <w:tc>
          <w:tcPr>
            <w:tcW w:type="dxa" w:w="627"/>
            <w:shd w:val="clear" w:color="auto" w:fill="FFFFFF"/>
          </w:tcPr>
          <w:p>
            <w:pPr>
              <w:spacing w:before="0" w:after="0"/>
            </w:pPr>
            <w:r>
              <w:rPr>
                <w:b w:val="0"/>
                <w:color w:val="444444"/>
                <w:sz w:val="15"/>
              </w:rPr>
              <w:t>6</w:t>
            </w:r>
          </w:p>
        </w:tc>
        <w:tc>
          <w:tcPr>
            <w:tcW w:type="dxa" w:w="627"/>
            <w:shd w:val="clear" w:color="auto" w:fill="FFFFFF"/>
          </w:tcPr>
          <w:p>
            <w:pPr>
              <w:spacing w:before="0" w:after="0"/>
            </w:pPr>
            <w:r>
              <w:rPr>
                <w:b w:val="0"/>
                <w:color w:val="444444"/>
                <w:sz w:val="15"/>
              </w:rPr>
              <w:t>6</w:t>
            </w:r>
          </w:p>
        </w:tc>
        <w:tc>
          <w:tcPr>
            <w:tcW w:type="dxa" w:w="627"/>
            <w:shd w:val="clear" w:color="auto" w:fill="FFFFFF"/>
          </w:tcPr>
          <w:p>
            <w:pPr>
              <w:spacing w:before="0" w:after="0"/>
            </w:pPr>
            <w:r>
              <w:rPr>
                <w:b w:val="0"/>
                <w:color w:val="444444"/>
                <w:sz w:val="15"/>
              </w:rPr>
              <w:t>164</w:t>
            </w:r>
          </w:p>
        </w:tc>
        <w:tc>
          <w:tcPr>
            <w:tcW w:type="dxa" w:w="627"/>
            <w:shd w:val="clear" w:color="auto" w:fill="FFFFFF"/>
          </w:tcPr>
          <w:p>
            <w:pPr>
              <w:spacing w:before="0" w:after="0"/>
            </w:pPr>
            <w:r>
              <w:rPr>
                <w:b w:val="0"/>
                <w:color w:val="444444"/>
                <w:sz w:val="15"/>
              </w:rPr>
              <w:t>6</w:t>
            </w:r>
          </w:p>
        </w:tc>
        <w:tc>
          <w:tcPr>
            <w:tcW w:type="dxa" w:w="627"/>
            <w:shd w:val="clear" w:color="auto" w:fill="FFFFFF"/>
          </w:tcPr>
          <w:p>
            <w:pPr>
              <w:spacing w:before="0" w:after="0"/>
            </w:pPr>
            <w:r>
              <w:rPr>
                <w:b w:val="0"/>
                <w:color w:val="444444"/>
                <w:sz w:val="15"/>
              </w:rPr>
              <w:t>214</w:t>
            </w:r>
          </w:p>
        </w:tc>
      </w:tr>
      <w:tr>
        <w:tc>
          <w:tcPr>
            <w:tcW w:type="dxa" w:w="627"/>
            <w:shd w:val="clear" w:color="auto" w:fill="F2F4F8"/>
          </w:tcPr>
          <w:p>
            <w:pPr>
              <w:spacing w:before="0" w:after="0"/>
            </w:pPr>
            <w:r>
              <w:rPr>
                <w:b/>
                <w:color w:val="122A52"/>
                <w:sz w:val="15"/>
              </w:rPr>
              <w:t>Computing/Data (n=132)</w:t>
            </w:r>
          </w:p>
        </w:tc>
        <w:tc>
          <w:tcPr>
            <w:tcW w:type="dxa" w:w="627"/>
            <w:shd w:val="clear" w:color="auto" w:fill="F2F4F8"/>
          </w:tcPr>
          <w:p>
            <w:pPr>
              <w:spacing w:before="0" w:after="0"/>
            </w:pPr>
            <w:r>
              <w:rPr>
                <w:b w:val="0"/>
                <w:color w:val="444444"/>
                <w:sz w:val="15"/>
              </w:rPr>
              <w:t>17</w:t>
            </w:r>
          </w:p>
        </w:tc>
        <w:tc>
          <w:tcPr>
            <w:tcW w:type="dxa" w:w="627"/>
            <w:shd w:val="clear" w:color="auto" w:fill="F2F4F8"/>
          </w:tcPr>
          <w:p>
            <w:pPr>
              <w:spacing w:before="0" w:after="0"/>
            </w:pPr>
            <w:r>
              <w:rPr>
                <w:b w:val="0"/>
                <w:color w:val="444444"/>
                <w:sz w:val="15"/>
              </w:rPr>
              <w:t>4</w:t>
            </w:r>
          </w:p>
        </w:tc>
        <w:tc>
          <w:tcPr>
            <w:tcW w:type="dxa" w:w="627"/>
            <w:shd w:val="clear" w:color="auto" w:fill="F2F4F8"/>
          </w:tcPr>
          <w:p>
            <w:pPr>
              <w:spacing w:before="0" w:after="0"/>
            </w:pPr>
            <w:r>
              <w:rPr>
                <w:b w:val="0"/>
                <w:color w:val="444444"/>
                <w:sz w:val="15"/>
              </w:rPr>
              <w:t>1</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2</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8</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0</w:t>
            </w:r>
          </w:p>
        </w:tc>
        <w:tc>
          <w:tcPr>
            <w:tcW w:type="dxa" w:w="627"/>
            <w:shd w:val="clear" w:color="auto" w:fill="F2F4F8"/>
          </w:tcPr>
          <w:p>
            <w:pPr>
              <w:spacing w:before="0" w:after="0"/>
            </w:pPr>
            <w:r>
              <w:rPr>
                <w:b w:val="0"/>
                <w:color w:val="444444"/>
                <w:sz w:val="15"/>
              </w:rPr>
              <w:t>8</w:t>
            </w:r>
          </w:p>
        </w:tc>
        <w:tc>
          <w:tcPr>
            <w:tcW w:type="dxa" w:w="627"/>
            <w:shd w:val="clear" w:color="auto" w:fill="F2F4F8"/>
          </w:tcPr>
          <w:p>
            <w:pPr>
              <w:spacing w:before="0" w:after="0"/>
            </w:pPr>
            <w:r>
              <w:rPr>
                <w:b w:val="0"/>
                <w:color w:val="444444"/>
                <w:sz w:val="15"/>
              </w:rPr>
              <w:t>92</w:t>
            </w:r>
          </w:p>
        </w:tc>
        <w:tc>
          <w:tcPr>
            <w:tcW w:type="dxa" w:w="627"/>
            <w:shd w:val="clear" w:color="auto" w:fill="F2F4F8"/>
          </w:tcPr>
          <w:p>
            <w:pPr>
              <w:spacing w:before="0" w:after="0"/>
            </w:pPr>
            <w:r>
              <w:rPr>
                <w:b w:val="0"/>
                <w:color w:val="444444"/>
                <w:sz w:val="15"/>
              </w:rPr>
              <w:t>132</w:t>
            </w:r>
          </w:p>
        </w:tc>
      </w:tr>
      <w:tr>
        <w:tc>
          <w:tcPr>
            <w:tcW w:type="dxa" w:w="627"/>
            <w:shd w:val="clear" w:color="auto" w:fill="E8EEF7"/>
          </w:tcPr>
          <w:p>
            <w:pPr>
              <w:spacing w:before="0" w:after="0"/>
            </w:pPr>
            <w:r>
              <w:rPr>
                <w:b/>
                <w:color w:val="122A52"/>
                <w:sz w:val="15"/>
              </w:rPr>
              <w:t>Col. Total</w:t>
            </w:r>
          </w:p>
        </w:tc>
        <w:tc>
          <w:tcPr>
            <w:tcW w:type="dxa" w:w="627"/>
            <w:shd w:val="clear" w:color="auto" w:fill="E8EEF7"/>
          </w:tcPr>
          <w:p>
            <w:pPr>
              <w:spacing w:before="0" w:after="0"/>
            </w:pPr>
            <w:r>
              <w:rPr>
                <w:b/>
                <w:color w:val="122A52"/>
                <w:sz w:val="15"/>
              </w:rPr>
              <w:t>386</w:t>
            </w:r>
          </w:p>
        </w:tc>
        <w:tc>
          <w:tcPr>
            <w:tcW w:type="dxa" w:w="627"/>
            <w:shd w:val="clear" w:color="auto" w:fill="E8EEF7"/>
          </w:tcPr>
          <w:p>
            <w:pPr>
              <w:spacing w:before="0" w:after="0"/>
            </w:pPr>
            <w:r>
              <w:rPr>
                <w:b/>
                <w:color w:val="122A52"/>
                <w:sz w:val="15"/>
              </w:rPr>
              <w:t>124</w:t>
            </w:r>
          </w:p>
        </w:tc>
        <w:tc>
          <w:tcPr>
            <w:tcW w:type="dxa" w:w="627"/>
            <w:shd w:val="clear" w:color="auto" w:fill="E8EEF7"/>
          </w:tcPr>
          <w:p>
            <w:pPr>
              <w:spacing w:before="0" w:after="0"/>
            </w:pPr>
            <w:r>
              <w:rPr>
                <w:b/>
                <w:color w:val="122A52"/>
                <w:sz w:val="15"/>
              </w:rPr>
              <w:t>102</w:t>
            </w:r>
          </w:p>
        </w:tc>
        <w:tc>
          <w:tcPr>
            <w:tcW w:type="dxa" w:w="627"/>
            <w:shd w:val="clear" w:color="auto" w:fill="E8EEF7"/>
          </w:tcPr>
          <w:p>
            <w:pPr>
              <w:spacing w:before="0" w:after="0"/>
            </w:pPr>
            <w:r>
              <w:rPr>
                <w:b/>
                <w:color w:val="122A52"/>
                <w:sz w:val="15"/>
              </w:rPr>
              <w:t>180</w:t>
            </w:r>
          </w:p>
        </w:tc>
        <w:tc>
          <w:tcPr>
            <w:tcW w:type="dxa" w:w="627"/>
            <w:shd w:val="clear" w:color="auto" w:fill="E8EEF7"/>
          </w:tcPr>
          <w:p>
            <w:pPr>
              <w:spacing w:before="0" w:after="0"/>
            </w:pPr>
            <w:r>
              <w:rPr>
                <w:b/>
                <w:color w:val="122A52"/>
                <w:sz w:val="15"/>
              </w:rPr>
              <w:t>66</w:t>
            </w:r>
          </w:p>
        </w:tc>
        <w:tc>
          <w:tcPr>
            <w:tcW w:type="dxa" w:w="627"/>
            <w:shd w:val="clear" w:color="auto" w:fill="E8EEF7"/>
          </w:tcPr>
          <w:p>
            <w:pPr>
              <w:spacing w:before="0" w:after="0"/>
            </w:pPr>
            <w:r>
              <w:rPr>
                <w:b/>
                <w:color w:val="122A52"/>
                <w:sz w:val="15"/>
              </w:rPr>
              <w:t>71</w:t>
            </w:r>
          </w:p>
        </w:tc>
        <w:tc>
          <w:tcPr>
            <w:tcW w:type="dxa" w:w="627"/>
            <w:shd w:val="clear" w:color="auto" w:fill="E8EEF7"/>
          </w:tcPr>
          <w:p>
            <w:pPr>
              <w:spacing w:before="0" w:after="0"/>
            </w:pPr>
            <w:r>
              <w:rPr>
                <w:b/>
                <w:color w:val="122A52"/>
                <w:sz w:val="15"/>
              </w:rPr>
              <w:t>13</w:t>
            </w:r>
          </w:p>
        </w:tc>
        <w:tc>
          <w:tcPr>
            <w:tcW w:type="dxa" w:w="627"/>
            <w:shd w:val="clear" w:color="auto" w:fill="E8EEF7"/>
          </w:tcPr>
          <w:p>
            <w:pPr>
              <w:spacing w:before="0" w:after="0"/>
            </w:pPr>
            <w:r>
              <w:rPr>
                <w:b/>
                <w:color w:val="122A52"/>
                <w:sz w:val="15"/>
              </w:rPr>
              <w:t>198</w:t>
            </w:r>
          </w:p>
        </w:tc>
        <w:tc>
          <w:tcPr>
            <w:tcW w:type="dxa" w:w="627"/>
            <w:shd w:val="clear" w:color="auto" w:fill="E8EEF7"/>
          </w:tcPr>
          <w:p>
            <w:pPr>
              <w:spacing w:before="0" w:after="0"/>
            </w:pPr>
            <w:r>
              <w:rPr>
                <w:b/>
                <w:color w:val="122A52"/>
                <w:sz w:val="15"/>
              </w:rPr>
              <w:t>32</w:t>
            </w:r>
          </w:p>
        </w:tc>
        <w:tc>
          <w:tcPr>
            <w:tcW w:type="dxa" w:w="627"/>
            <w:shd w:val="clear" w:color="auto" w:fill="E8EEF7"/>
          </w:tcPr>
          <w:p>
            <w:pPr>
              <w:spacing w:before="0" w:after="0"/>
            </w:pPr>
            <w:r>
              <w:rPr>
                <w:b/>
                <w:color w:val="122A52"/>
                <w:sz w:val="15"/>
              </w:rPr>
              <w:t>188</w:t>
            </w:r>
          </w:p>
        </w:tc>
        <w:tc>
          <w:tcPr>
            <w:tcW w:type="dxa" w:w="627"/>
            <w:shd w:val="clear" w:color="auto" w:fill="E8EEF7"/>
          </w:tcPr>
          <w:p>
            <w:pPr>
              <w:spacing w:before="0" w:after="0"/>
            </w:pPr>
            <w:r>
              <w:rPr>
                <w:b/>
                <w:color w:val="122A52"/>
                <w:sz w:val="15"/>
              </w:rPr>
              <w:t>153</w:t>
            </w:r>
          </w:p>
        </w:tc>
        <w:tc>
          <w:tcPr>
            <w:tcW w:type="dxa" w:w="627"/>
            <w:shd w:val="clear" w:color="auto" w:fill="E8EEF7"/>
          </w:tcPr>
          <w:p>
            <w:pPr>
              <w:spacing w:before="0" w:after="0"/>
            </w:pPr>
            <w:r>
              <w:rPr>
                <w:b/>
                <w:color w:val="122A52"/>
                <w:sz w:val="15"/>
              </w:rPr>
              <w:t>198</w:t>
            </w:r>
          </w:p>
        </w:tc>
        <w:tc>
          <w:tcPr>
            <w:tcW w:type="dxa" w:w="627"/>
            <w:shd w:val="clear" w:color="auto" w:fill="E8EEF7"/>
          </w:tcPr>
          <w:p>
            <w:pPr>
              <w:spacing w:before="0" w:after="0"/>
            </w:pPr>
            <w:r>
              <w:rPr>
                <w:b/>
                <w:color w:val="122A52"/>
                <w:sz w:val="15"/>
              </w:rPr>
              <w:t>139</w:t>
            </w:r>
          </w:p>
        </w:tc>
        <w:tc>
          <w:tcPr>
            <w:tcW w:type="dxa" w:w="627"/>
            <w:shd w:val="clear" w:color="auto" w:fill="E8EEF7"/>
          </w:tcPr>
          <w:p>
            <w:pPr>
              <w:spacing w:before="0" w:after="0"/>
            </w:pPr>
            <w:r>
              <w:rPr>
                <w:b/>
                <w:color w:val="122A52"/>
                <w:sz w:val="15"/>
              </w:rPr>
              <w:t>1,850</w:t>
            </w:r>
          </w:p>
        </w:tc>
      </w:tr>
    </w:tbl>
    <w:p/>
    <w:p>
      <w:pPr>
        <w:spacing w:before="240" w:after="40"/>
      </w:pPr>
      <w:r>
        <w:rPr>
          <w:b/>
          <w:color w:val="2F6DB3"/>
          <w:sz w:val="26"/>
        </w:rPr>
        <w:t>Notable Switching Patterns (Major Groups)</w:t>
      </w:r>
    </w:p>
    <w:p>
      <w:pPr>
        <w:spacing w:before="40" w:after="80"/>
      </w:pPr>
      <w:r>
        <w:rPr>
          <w:i w:val="0"/>
          <w:color w:val="444444"/>
          <w:sz w:val="21"/>
        </w:rPr>
        <w:t>Key flows where students left their incoming group at notable rates:</w:t>
      </w:r>
    </w:p>
    <w:tbl>
      <w:tblPr>
        <w:tblStyle w:val="TableGrid"/>
        <w:tblW w:type="auto" w:w="0"/>
        <w:jc w:val="left"/>
        <w:tblLook w:firstColumn="1" w:firstRow="1" w:lastColumn="0" w:lastRow="0" w:noHBand="0" w:noVBand="1" w:val="04A0"/>
      </w:tblPr>
      <w:tblGrid>
        <w:gridCol w:w="4703"/>
        <w:gridCol w:w="4703"/>
      </w:tblGrid>
      <w:tr>
        <w:tc>
          <w:tcPr>
            <w:tcW w:type="dxa" w:w="3312"/>
            <w:shd w:val="clear" w:color="auto" w:fill="2F6DB3"/>
          </w:tcPr>
          <w:p>
            <w:r>
              <w:rPr>
                <w:b/>
                <w:color w:val="FFFFFF"/>
                <w:sz w:val="20"/>
              </w:rPr>
              <w:t>Flow</w:t>
            </w:r>
          </w:p>
        </w:tc>
        <w:tc>
          <w:tcPr>
            <w:tcW w:type="dxa" w:w="6048"/>
            <w:shd w:val="clear" w:color="auto" w:fill="2F6DB3"/>
          </w:tcPr>
          <w:p>
            <w:r>
              <w:rPr>
                <w:b/>
                <w:color w:val="FFFFFF"/>
                <w:sz w:val="20"/>
              </w:rPr>
              <w:t>Detail</w:t>
            </w:r>
          </w:p>
        </w:tc>
      </w:tr>
      <w:tr>
        <w:tc>
          <w:tcPr>
            <w:tcW w:type="dxa" w:w="3312"/>
            <w:shd w:val="clear" w:color="auto" w:fill="F2F4F8"/>
          </w:tcPr>
          <w:p>
            <w:r>
              <w:rPr>
                <w:color w:val="444444"/>
                <w:sz w:val="20"/>
              </w:rPr>
              <w:t>Management → Accounting/Finance/Ops</w:t>
            </w:r>
          </w:p>
        </w:tc>
        <w:tc>
          <w:tcPr>
            <w:tcW w:type="dxa" w:w="6048"/>
            <w:shd w:val="clear" w:color="auto" w:fill="F2F4F8"/>
          </w:tcPr>
          <w:p>
            <w:r>
              <w:rPr>
                <w:color w:val="444444"/>
                <w:sz w:val="20"/>
              </w:rPr>
              <w:t>36.9% of Management students (45 of 122) graduated in Accounting/Finance/Ops. The largest single cross-group flow in the dataset.</w:t>
            </w:r>
          </w:p>
        </w:tc>
      </w:tr>
      <w:tr>
        <w:tc>
          <w:tcPr>
            <w:tcW w:type="dxa" w:w="3312"/>
          </w:tcPr>
          <w:p>
            <w:r>
              <w:rPr>
                <w:color w:val="444444"/>
                <w:sz w:val="20"/>
              </w:rPr>
              <w:t>Specialized Business → Accounting/Finance/Ops</w:t>
            </w:r>
          </w:p>
        </w:tc>
        <w:tc>
          <w:tcPr>
            <w:tcW w:type="dxa" w:w="6048"/>
          </w:tcPr>
          <w:p>
            <w:r>
              <w:rPr>
                <w:color w:val="444444"/>
                <w:sz w:val="20"/>
              </w:rPr>
              <w:t>25.9% (41 of 158) — second largest outflow. Specialized Business has the lowest retention of any declared group at 33.5%.</w:t>
            </w:r>
          </w:p>
        </w:tc>
      </w:tr>
      <w:tr>
        <w:tc>
          <w:tcPr>
            <w:tcW w:type="dxa" w:w="3312"/>
            <w:shd w:val="clear" w:color="auto" w:fill="F2F4F8"/>
          </w:tcPr>
          <w:p>
            <w:r>
              <w:rPr>
                <w:color w:val="444444"/>
                <w:sz w:val="20"/>
              </w:rPr>
              <w:t>Pre-Prof/Undeclared → Social Sciences</w:t>
            </w:r>
          </w:p>
        </w:tc>
        <w:tc>
          <w:tcPr>
            <w:tcW w:type="dxa" w:w="6048"/>
            <w:shd w:val="clear" w:color="auto" w:fill="F2F4F8"/>
          </w:tcPr>
          <w:p>
            <w:r>
              <w:rPr>
                <w:color w:val="444444"/>
                <w:sz w:val="20"/>
              </w:rPr>
              <w:t>17.9% (35 of 196) — the top landing group for undeclared students, followed by Accounting/Finance/Ops (14.8%) and Computing/Data (11.2%).</w:t>
            </w:r>
          </w:p>
        </w:tc>
      </w:tr>
      <w:tr>
        <w:tc>
          <w:tcPr>
            <w:tcW w:type="dxa" w:w="3312"/>
          </w:tcPr>
          <w:p>
            <w:r>
              <w:rPr>
                <w:color w:val="444444"/>
                <w:sz w:val="20"/>
              </w:rPr>
              <w:t>Natural Sciences → Health Sciences</w:t>
            </w:r>
          </w:p>
        </w:tc>
        <w:tc>
          <w:tcPr>
            <w:tcW w:type="dxa" w:w="6048"/>
          </w:tcPr>
          <w:p>
            <w:r>
              <w:rPr>
                <w:color w:val="444444"/>
                <w:sz w:val="20"/>
              </w:rPr>
              <w:t>10.2% (18 of 176) — a meaningful cross-flow reflecting pre-health pathways.</w:t>
            </w:r>
          </w:p>
        </w:tc>
      </w:tr>
      <w:tr>
        <w:tc>
          <w:tcPr>
            <w:tcW w:type="dxa" w:w="3312"/>
            <w:shd w:val="clear" w:color="auto" w:fill="F2F4F8"/>
          </w:tcPr>
          <w:p>
            <w:r>
              <w:rPr>
                <w:color w:val="444444"/>
                <w:sz w:val="20"/>
              </w:rPr>
              <w:t>Health Sciences → Social Sciences</w:t>
            </w:r>
          </w:p>
        </w:tc>
        <w:tc>
          <w:tcPr>
            <w:tcW w:type="dxa" w:w="6048"/>
            <w:shd w:val="clear" w:color="auto" w:fill="F2F4F8"/>
          </w:tcPr>
          <w:p>
            <w:r>
              <w:rPr>
                <w:color w:val="444444"/>
                <w:sz w:val="20"/>
              </w:rPr>
              <w:t>9.5% (18 of 190) — students from health-related majors who re-declared into Social Sciences (e.g., Psychology).</w:t>
            </w:r>
          </w:p>
        </w:tc>
      </w:tr>
      <w:tr>
        <w:tc>
          <w:tcPr>
            <w:tcW w:type="dxa" w:w="3312"/>
          </w:tcPr>
          <w:p>
            <w:r>
              <w:rPr>
                <w:color w:val="444444"/>
                <w:sz w:val="20"/>
              </w:rPr>
              <w:t>Social Sciences → Health Sciences</w:t>
            </w:r>
          </w:p>
        </w:tc>
        <w:tc>
          <w:tcPr>
            <w:tcW w:type="dxa" w:w="6048"/>
          </w:tcPr>
          <w:p>
            <w:r>
              <w:rPr>
                <w:color w:val="444444"/>
                <w:sz w:val="20"/>
              </w:rPr>
              <w:t>6.4% (10 of 156) — reverse flow; Psychology/Social Work students re-declaring into health-focused majors.</w:t>
            </w:r>
          </w:p>
        </w:tc>
      </w:tr>
    </w:tbl>
    <w:p/>
    <w:p>
      <w:pPr>
        <w:spacing w:before="240" w:after="40"/>
      </w:pPr>
      <w:r>
        <w:rPr>
          <w:b/>
          <w:color w:val="2F6DB3"/>
          <w:sz w:val="26"/>
        </w:rPr>
        <w:t>College-Level Retention Rates</w:t>
      </w:r>
    </w:p>
    <w:p>
      <w:pPr>
        <w:spacing w:before="40" w:after="80"/>
      </w:pPr>
      <w:r>
        <w:rPr>
          <w:i w:val="0"/>
          <w:color w:val="444444"/>
          <w:sz w:val="21"/>
        </w:rPr>
        <w:t>At the college level, retention rates are higher because the definition of 'staying' is broader — a student who switches between two business majors still counts as retained in OCB.</w:t>
      </w:r>
    </w:p>
    <w:tbl>
      <w:tblPr>
        <w:tblStyle w:val="TableGrid"/>
        <w:tblW w:type="auto" w:w="0"/>
        <w:jc w:val="left"/>
        <w:tblLook w:firstColumn="1" w:firstRow="1" w:lastColumn="0" w:lastRow="0" w:noHBand="0" w:noVBand="1" w:val="04A0"/>
      </w:tblPr>
      <w:tblGrid>
        <w:gridCol w:w="4703"/>
        <w:gridCol w:w="4703"/>
      </w:tblGrid>
      <w:tr>
        <w:tc>
          <w:tcPr>
            <w:tcW w:type="dxa" w:w="4608"/>
            <w:shd w:val="clear" w:color="auto" w:fill="2F6DB3"/>
          </w:tcPr>
          <w:p>
            <w:r>
              <w:rPr>
                <w:b/>
                <w:color w:val="FFFFFF"/>
                <w:sz w:val="20"/>
              </w:rPr>
              <w:t>College</w:t>
            </w:r>
          </w:p>
        </w:tc>
        <w:tc>
          <w:tcPr>
            <w:tcW w:type="dxa" w:w="4752"/>
            <w:shd w:val="clear" w:color="auto" w:fill="2F6DB3"/>
          </w:tcPr>
          <w:p>
            <w:r>
              <w:rPr>
                <w:b/>
                <w:color w:val="FFFFFF"/>
                <w:sz w:val="20"/>
              </w:rPr>
              <w:t>Retention</w:t>
            </w:r>
          </w:p>
        </w:tc>
      </w:tr>
      <w:tr>
        <w:tc>
          <w:tcPr>
            <w:tcW w:type="dxa" w:w="4608"/>
            <w:shd w:val="clear" w:color="auto" w:fill="F2F4F8"/>
          </w:tcPr>
          <w:p>
            <w:r>
              <w:rPr>
                <w:color w:val="444444"/>
                <w:sz w:val="20"/>
              </w:rPr>
              <w:t>Opus College of Business (OCB)</w:t>
            </w:r>
          </w:p>
        </w:tc>
        <w:tc>
          <w:tcPr>
            <w:tcW w:type="dxa" w:w="4752"/>
            <w:shd w:val="clear" w:color="auto" w:fill="F2F4F8"/>
          </w:tcPr>
          <w:p>
            <w:r>
              <w:rPr>
                <w:color w:val="444444"/>
                <w:sz w:val="20"/>
              </w:rPr>
              <w:t>91.3%  —  586 of 642 students  |  incoming n=642</w:t>
            </w:r>
          </w:p>
        </w:tc>
      </w:tr>
      <w:tr>
        <w:tc>
          <w:tcPr>
            <w:tcW w:type="dxa" w:w="4608"/>
          </w:tcPr>
          <w:p>
            <w:r>
              <w:rPr>
                <w:color w:val="444444"/>
                <w:sz w:val="20"/>
              </w:rPr>
              <w:t>School of Engineering (SOE)</w:t>
            </w:r>
          </w:p>
        </w:tc>
        <w:tc>
          <w:tcPr>
            <w:tcW w:type="dxa" w:w="4752"/>
          </w:tcPr>
          <w:p>
            <w:r>
              <w:rPr>
                <w:color w:val="444444"/>
                <w:sz w:val="20"/>
              </w:rPr>
              <w:t>76.6%  —  164 of 214 students  |  incoming n=214</w:t>
            </w:r>
          </w:p>
        </w:tc>
      </w:tr>
      <w:tr>
        <w:tc>
          <w:tcPr>
            <w:tcW w:type="dxa" w:w="4608"/>
            <w:shd w:val="clear" w:color="auto" w:fill="F2F4F8"/>
          </w:tcPr>
          <w:p>
            <w:r>
              <w:rPr>
                <w:color w:val="444444"/>
                <w:sz w:val="20"/>
              </w:rPr>
              <w:t>College of Arts and Sciences (CAS)</w:t>
            </w:r>
          </w:p>
        </w:tc>
        <w:tc>
          <w:tcPr>
            <w:tcW w:type="dxa" w:w="4752"/>
            <w:shd w:val="clear" w:color="auto" w:fill="F2F4F8"/>
          </w:tcPr>
          <w:p>
            <w:r>
              <w:rPr>
                <w:color w:val="444444"/>
                <w:sz w:val="20"/>
              </w:rPr>
              <w:t>75.3%  —  438 of 582 students  |  incoming n=582</w:t>
            </w:r>
          </w:p>
        </w:tc>
      </w:tr>
      <w:tr>
        <w:tc>
          <w:tcPr>
            <w:tcW w:type="dxa" w:w="4608"/>
          </w:tcPr>
          <w:p>
            <w:r>
              <w:rPr>
                <w:color w:val="444444"/>
                <w:sz w:val="20"/>
              </w:rPr>
              <w:t>Morrison Family College of Health (COH)</w:t>
            </w:r>
          </w:p>
        </w:tc>
        <w:tc>
          <w:tcPr>
            <w:tcW w:type="dxa" w:w="4752"/>
          </w:tcPr>
          <w:p>
            <w:r>
              <w:rPr>
                <w:color w:val="444444"/>
                <w:sz w:val="20"/>
              </w:rPr>
              <w:t>68.4%  —  130 of 190 students  |  incoming n=190</w:t>
            </w:r>
          </w:p>
        </w:tc>
      </w:tr>
      <w:tr>
        <w:tc>
          <w:tcPr>
            <w:tcW w:type="dxa" w:w="4608"/>
            <w:shd w:val="clear" w:color="auto" w:fill="F2F4F8"/>
          </w:tcPr>
          <w:p>
            <w:r>
              <w:rPr>
                <w:color w:val="444444"/>
                <w:sz w:val="20"/>
              </w:rPr>
              <w:t>School of Education (EDUC)</w:t>
            </w:r>
          </w:p>
        </w:tc>
        <w:tc>
          <w:tcPr>
            <w:tcW w:type="dxa" w:w="4752"/>
            <w:shd w:val="clear" w:color="auto" w:fill="F2F4F8"/>
          </w:tcPr>
          <w:p>
            <w:r>
              <w:rPr>
                <w:color w:val="444444"/>
                <w:sz w:val="20"/>
              </w:rPr>
              <w:t>53.8%  —  14 of 26 students    |  incoming n=26</w:t>
            </w:r>
          </w:p>
        </w:tc>
      </w:tr>
      <w:tr>
        <w:tc>
          <w:tcPr>
            <w:tcW w:type="dxa" w:w="4608"/>
          </w:tcPr>
          <w:p>
            <w:r>
              <w:rPr>
                <w:color w:val="444444"/>
                <w:sz w:val="20"/>
              </w:rPr>
              <w:t>Other / Undeclared</w:t>
            </w:r>
          </w:p>
        </w:tc>
        <w:tc>
          <w:tcPr>
            <w:tcW w:type="dxa" w:w="4752"/>
          </w:tcPr>
          <w:p>
            <w:r>
              <w:rPr>
                <w:color w:val="444444"/>
                <w:sz w:val="20"/>
              </w:rPr>
              <w:t>N/A    —  196 students dispersed: 43.9% → CAS, 39.8% → OCB</w:t>
            </w:r>
          </w:p>
        </w:tc>
      </w:tr>
    </w:tbl>
    <w:p/>
    <w:p>
      <w:pPr>
        <w:spacing w:before="240" w:after="40"/>
      </w:pPr>
      <w:r>
        <w:rPr>
          <w:b/>
          <w:color w:val="2F6DB3"/>
          <w:sz w:val="26"/>
        </w:rPr>
        <w:t>College-Level Transition Counts (Incoming → Graduating)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F6DB3"/>
          </w:tcPr>
          <w:p>
            <w:r>
              <w:rPr>
                <w:b/>
                <w:color w:val="FFFFFF"/>
                <w:sz w:val="20"/>
              </w:rPr>
              <w:t>Flow</w:t>
            </w:r>
          </w:p>
        </w:tc>
        <w:tc>
          <w:tcPr>
            <w:tcW w:type="dxa" w:w="3135"/>
            <w:shd w:val="clear" w:color="auto" w:fill="2F6DB3"/>
          </w:tcPr>
          <w:p>
            <w:r>
              <w:rPr>
                <w:b/>
                <w:color w:val="FFFFFF"/>
                <w:sz w:val="20"/>
              </w:rPr>
              <w:t>Count</w:t>
            </w:r>
          </w:p>
        </w:tc>
        <w:tc>
          <w:tcPr>
            <w:tcW w:type="dxa" w:w="3135"/>
            <w:shd w:val="clear" w:color="auto" w:fill="2F6DB3"/>
          </w:tcPr>
          <w:p>
            <w:r>
              <w:rPr>
                <w:b/>
                <w:color w:val="FFFFFF"/>
                <w:sz w:val="20"/>
              </w:rPr>
              <w:t>Note</w:t>
            </w:r>
          </w:p>
        </w:tc>
      </w:tr>
      <w:tr>
        <w:tc>
          <w:tcPr>
            <w:tcW w:type="dxa" w:w="3135"/>
            <w:shd w:val="clear" w:color="auto" w:fill="F2F4F8"/>
          </w:tcPr>
          <w:p>
            <w:r>
              <w:rPr>
                <w:color w:val="444444"/>
                <w:sz w:val="20"/>
              </w:rPr>
              <w:t>OCB → CAS</w:t>
            </w:r>
          </w:p>
        </w:tc>
        <w:tc>
          <w:tcPr>
            <w:tcW w:type="dxa" w:w="3135"/>
            <w:shd w:val="clear" w:color="auto" w:fill="F2F4F8"/>
          </w:tcPr>
          <w:p>
            <w:r>
              <w:rPr>
                <w:color w:val="444444"/>
                <w:sz w:val="20"/>
              </w:rPr>
              <w:t>46 students (7.2%)</w:t>
            </w:r>
          </w:p>
        </w:tc>
        <w:tc>
          <w:tcPr>
            <w:tcW w:type="dxa" w:w="3135"/>
            <w:shd w:val="clear" w:color="auto" w:fill="F2F4F8"/>
          </w:tcPr>
          <w:p>
            <w:r>
              <w:rPr>
                <w:color w:val="444444"/>
                <w:sz w:val="20"/>
              </w:rPr>
              <w:t>Second most common college switch</w:t>
            </w:r>
          </w:p>
        </w:tc>
      </w:tr>
      <w:tr>
        <w:tc>
          <w:tcPr>
            <w:tcW w:type="dxa" w:w="3135"/>
          </w:tcPr>
          <w:p>
            <w:r>
              <w:rPr>
                <w:color w:val="444444"/>
                <w:sz w:val="20"/>
              </w:rPr>
              <w:t>CAS → OCB</w:t>
            </w:r>
          </w:p>
        </w:tc>
        <w:tc>
          <w:tcPr>
            <w:tcW w:type="dxa" w:w="3135"/>
          </w:tcPr>
          <w:p>
            <w:r>
              <w:rPr>
                <w:color w:val="444444"/>
                <w:sz w:val="20"/>
              </w:rPr>
              <w:t>90 students (15.5%)</w:t>
            </w:r>
          </w:p>
        </w:tc>
        <w:tc>
          <w:tcPr>
            <w:tcW w:type="dxa" w:w="3135"/>
          </w:tcPr>
          <w:p>
            <w:r>
              <w:rPr>
                <w:color w:val="444444"/>
                <w:sz w:val="20"/>
              </w:rPr>
              <w:t>Largest cross-college flow in the dataset</w:t>
            </w:r>
          </w:p>
        </w:tc>
      </w:tr>
      <w:tr>
        <w:tc>
          <w:tcPr>
            <w:tcW w:type="dxa" w:w="3135"/>
            <w:shd w:val="clear" w:color="auto" w:fill="F2F4F8"/>
          </w:tcPr>
          <w:p>
            <w:r>
              <w:rPr>
                <w:color w:val="444444"/>
                <w:sz w:val="20"/>
              </w:rPr>
              <w:t>CAS → COH</w:t>
            </w:r>
          </w:p>
        </w:tc>
        <w:tc>
          <w:tcPr>
            <w:tcW w:type="dxa" w:w="3135"/>
            <w:shd w:val="clear" w:color="auto" w:fill="F2F4F8"/>
          </w:tcPr>
          <w:p>
            <w:r>
              <w:rPr>
                <w:color w:val="444444"/>
                <w:sz w:val="20"/>
              </w:rPr>
              <w:t>32 students (5.5%)</w:t>
            </w:r>
          </w:p>
        </w:tc>
        <w:tc>
          <w:tcPr>
            <w:tcW w:type="dxa" w:w="3135"/>
            <w:shd w:val="clear" w:color="auto" w:fill="F2F4F8"/>
          </w:tcPr>
          <w:p>
            <w:r>
              <w:rPr>
                <w:color w:val="444444"/>
                <w:sz w:val="20"/>
              </w:rPr>
              <w:t>CAS students moving into health sciences</w:t>
            </w:r>
          </w:p>
        </w:tc>
      </w:tr>
      <w:tr>
        <w:tc>
          <w:tcPr>
            <w:tcW w:type="dxa" w:w="3135"/>
          </w:tcPr>
          <w:p>
            <w:r>
              <w:rPr>
                <w:color w:val="444444"/>
                <w:sz w:val="20"/>
              </w:rPr>
              <w:t>COH → CAS</w:t>
            </w:r>
          </w:p>
        </w:tc>
        <w:tc>
          <w:tcPr>
            <w:tcW w:type="dxa" w:w="3135"/>
          </w:tcPr>
          <w:p>
            <w:r>
              <w:rPr>
                <w:color w:val="444444"/>
                <w:sz w:val="20"/>
              </w:rPr>
              <w:t>38 students (20.0%)</w:t>
            </w:r>
          </w:p>
        </w:tc>
        <w:tc>
          <w:tcPr>
            <w:tcW w:type="dxa" w:w="3135"/>
          </w:tcPr>
          <w:p>
            <w:r>
              <w:rPr>
                <w:color w:val="444444"/>
                <w:sz w:val="20"/>
              </w:rPr>
              <w:t>Health students switching to arts/sciences</w:t>
            </w:r>
          </w:p>
        </w:tc>
      </w:tr>
      <w:tr>
        <w:tc>
          <w:tcPr>
            <w:tcW w:type="dxa" w:w="3135"/>
            <w:shd w:val="clear" w:color="auto" w:fill="F2F4F8"/>
          </w:tcPr>
          <w:p>
            <w:r>
              <w:rPr>
                <w:color w:val="444444"/>
                <w:sz w:val="20"/>
              </w:rPr>
              <w:t>SOE → OCB</w:t>
            </w:r>
          </w:p>
        </w:tc>
        <w:tc>
          <w:tcPr>
            <w:tcW w:type="dxa" w:w="3135"/>
            <w:shd w:val="clear" w:color="auto" w:fill="F2F4F8"/>
          </w:tcPr>
          <w:p>
            <w:r>
              <w:rPr>
                <w:color w:val="444444"/>
                <w:sz w:val="20"/>
              </w:rPr>
              <w:t>22 students (10.3%)</w:t>
            </w:r>
          </w:p>
        </w:tc>
        <w:tc>
          <w:tcPr>
            <w:tcW w:type="dxa" w:w="3135"/>
            <w:shd w:val="clear" w:color="auto" w:fill="F2F4F8"/>
          </w:tcPr>
          <w:p>
            <w:r>
              <w:rPr>
                <w:color w:val="444444"/>
                <w:sz w:val="20"/>
              </w:rPr>
              <w:t>Engineering students moving to business</w:t>
            </w:r>
          </w:p>
        </w:tc>
      </w:tr>
      <w:tr>
        <w:tc>
          <w:tcPr>
            <w:tcW w:type="dxa" w:w="3135"/>
          </w:tcPr>
          <w:p>
            <w:r>
              <w:rPr>
                <w:color w:val="444444"/>
                <w:sz w:val="20"/>
              </w:rPr>
              <w:t>SOE → CAS</w:t>
            </w:r>
          </w:p>
        </w:tc>
        <w:tc>
          <w:tcPr>
            <w:tcW w:type="dxa" w:w="3135"/>
          </w:tcPr>
          <w:p>
            <w:r>
              <w:rPr>
                <w:color w:val="444444"/>
                <w:sz w:val="20"/>
              </w:rPr>
              <w:t>22 students (10.3%)</w:t>
            </w:r>
          </w:p>
        </w:tc>
        <w:tc>
          <w:tcPr>
            <w:tcW w:type="dxa" w:w="3135"/>
          </w:tcPr>
          <w:p>
            <w:r>
              <w:rPr>
                <w:color w:val="444444"/>
                <w:sz w:val="20"/>
              </w:rPr>
              <w:t>Engineering students moving to arts/sciences (tie with SOE→OCB)</w:t>
            </w:r>
          </w:p>
        </w:tc>
      </w:tr>
      <w:tr>
        <w:tc>
          <w:tcPr>
            <w:tcW w:type="dxa" w:w="3135"/>
            <w:shd w:val="clear" w:color="auto" w:fill="F2F4F8"/>
          </w:tcPr>
          <w:p>
            <w:r>
              <w:rPr>
                <w:color w:val="444444"/>
                <w:sz w:val="20"/>
              </w:rPr>
              <w:t>OTHER → CAS</w:t>
            </w:r>
          </w:p>
        </w:tc>
        <w:tc>
          <w:tcPr>
            <w:tcW w:type="dxa" w:w="3135"/>
            <w:shd w:val="clear" w:color="auto" w:fill="F2F4F8"/>
          </w:tcPr>
          <w:p>
            <w:r>
              <w:rPr>
                <w:color w:val="444444"/>
                <w:sz w:val="20"/>
              </w:rPr>
              <w:t>86 students (43.9%)</w:t>
            </w:r>
          </w:p>
        </w:tc>
        <w:tc>
          <w:tcPr>
            <w:tcW w:type="dxa" w:w="3135"/>
            <w:shd w:val="clear" w:color="auto" w:fill="F2F4F8"/>
          </w:tcPr>
          <w:p>
            <w:r>
              <w:rPr>
                <w:color w:val="444444"/>
                <w:sz w:val="20"/>
              </w:rPr>
              <w:t>Largest single destination for undeclared students</w:t>
            </w:r>
          </w:p>
        </w:tc>
      </w:tr>
      <w:tr>
        <w:tc>
          <w:tcPr>
            <w:tcW w:type="dxa" w:w="3135"/>
          </w:tcPr>
          <w:p>
            <w:r>
              <w:rPr>
                <w:color w:val="444444"/>
                <w:sz w:val="20"/>
              </w:rPr>
              <w:t>OTHER → OCB</w:t>
            </w:r>
          </w:p>
        </w:tc>
        <w:tc>
          <w:tcPr>
            <w:tcW w:type="dxa" w:w="3135"/>
          </w:tcPr>
          <w:p>
            <w:r>
              <w:rPr>
                <w:color w:val="444444"/>
                <w:sz w:val="20"/>
              </w:rPr>
              <w:t>78 students (39.8%)</w:t>
            </w:r>
          </w:p>
        </w:tc>
        <w:tc>
          <w:tcPr>
            <w:tcW w:type="dxa" w:w="3135"/>
          </w:tcPr>
          <w:p>
            <w:r>
              <w:rPr>
                <w:color w:val="444444"/>
                <w:sz w:val="20"/>
              </w:rPr>
              <w:t>Second destination for undeclared students</w:t>
            </w:r>
          </w:p>
        </w:tc>
      </w:tr>
    </w:tbl>
    <w:p/>
    <w:p>
      <w:pPr>
        <w:spacing w:before="240" w:after="40"/>
      </w:pPr>
      <w:r>
        <w:rPr>
          <w:b/>
          <w:color w:val="2F6DB3"/>
          <w:sz w:val="26"/>
        </w:rPr>
        <w:t>Source Files for This Analysis</w:t>
      </w:r>
    </w:p>
    <w:tbl>
      <w:tblPr>
        <w:tblStyle w:val="TableGrid"/>
        <w:tblW w:type="auto" w:w="0"/>
        <w:jc w:val="left"/>
        <w:tblLook w:firstColumn="1" w:firstRow="1" w:lastColumn="0" w:lastRow="0" w:noHBand="0" w:noVBand="1" w:val="04A0"/>
      </w:tblPr>
      <w:tblGrid>
        <w:gridCol w:w="4703"/>
        <w:gridCol w:w="4703"/>
      </w:tblGrid>
      <w:tr>
        <w:tc>
          <w:tcPr>
            <w:tcW w:type="dxa" w:w="4320"/>
            <w:shd w:val="clear" w:color="auto" w:fill="2F6DB3"/>
          </w:tcPr>
          <w:p>
            <w:r>
              <w:rPr>
                <w:b/>
                <w:color w:val="FFFFFF"/>
                <w:sz w:val="20"/>
              </w:rPr>
              <w:t>File</w:t>
            </w:r>
          </w:p>
        </w:tc>
        <w:tc>
          <w:tcPr>
            <w:tcW w:type="dxa" w:w="5040"/>
            <w:shd w:val="clear" w:color="auto" w:fill="2F6DB3"/>
          </w:tcPr>
          <w:p>
            <w:r>
              <w:rPr>
                <w:b/>
                <w:color w:val="FFFFFF"/>
                <w:sz w:val="20"/>
              </w:rPr>
              <w:t>Contents</w:t>
            </w:r>
          </w:p>
        </w:tc>
      </w:tr>
      <w:tr>
        <w:tc>
          <w:tcPr>
            <w:tcW w:type="dxa" w:w="4320"/>
            <w:shd w:val="clear" w:color="auto" w:fill="F2F4F8"/>
          </w:tcPr>
          <w:p>
            <w:r>
              <w:rPr>
                <w:color w:val="444444"/>
                <w:sz w:val="20"/>
              </w:rPr>
              <w:t>analysis_outputs/mobility_tables/mobility_transition_tables.xlsx</w:t>
            </w:r>
          </w:p>
        </w:tc>
        <w:tc>
          <w:tcPr>
            <w:tcW w:type="dxa" w:w="5040"/>
            <w:shd w:val="clear" w:color="auto" w:fill="F2F4F8"/>
          </w:tcPr>
          <w:p>
            <w:r>
              <w:rPr>
                <w:color w:val="444444"/>
                <w:sz w:val="20"/>
              </w:rPr>
              <w:t>Main workbook — 10 sheets: joint counts, raw counts, row %, column %, and long-format tables for both major-group and college levels.</w:t>
            </w:r>
          </w:p>
        </w:tc>
      </w:tr>
      <w:tr>
        <w:tc>
          <w:tcPr>
            <w:tcW w:type="dxa" w:w="4320"/>
          </w:tcPr>
          <w:p>
            <w:r>
              <w:rPr>
                <w:color w:val="444444"/>
                <w:sz w:val="20"/>
              </w:rPr>
              <w:t>analysis_outputs/mobility_tables/mobility_transition_tables_polished.xlsx</w:t>
            </w:r>
          </w:p>
        </w:tc>
        <w:tc>
          <w:tcPr>
            <w:tcW w:type="dxa" w:w="5040"/>
          </w:tcPr>
          <w:p>
            <w:r>
              <w:rPr>
                <w:color w:val="444444"/>
                <w:sz w:val="20"/>
              </w:rPr>
              <w:t>Formatted version of the same tables, suitable for direct inclusion in reports.</w:t>
            </w:r>
          </w:p>
        </w:tc>
      </w:tr>
      <w:tr>
        <w:tc>
          <w:tcPr>
            <w:tcW w:type="dxa" w:w="4320"/>
            <w:shd w:val="clear" w:color="auto" w:fill="F2F4F8"/>
          </w:tcPr>
          <w:p>
            <w:r>
              <w:rPr>
                <w:color w:val="444444"/>
                <w:sz w:val="20"/>
              </w:rPr>
              <w:t>analysis_outputs/mobility_tables/*.csv</w:t>
            </w:r>
          </w:p>
        </w:tc>
        <w:tc>
          <w:tcPr>
            <w:tcW w:type="dxa" w:w="5040"/>
            <w:shd w:val="clear" w:color="auto" w:fill="F2F4F8"/>
          </w:tcPr>
          <w:p>
            <w:r>
              <w:rPr>
                <w:color w:val="444444"/>
                <w:sz w:val="20"/>
              </w:rPr>
              <w:t>Individual CSV exports of each sheet for use in Python/R analysis.</w:t>
            </w:r>
          </w:p>
        </w:tc>
      </w:tr>
      <w:tr>
        <w:tc>
          <w:tcPr>
            <w:tcW w:type="dxa" w:w="4320"/>
          </w:tcPr>
          <w:p>
            <w:r>
              <w:rPr>
                <w:color w:val="444444"/>
                <w:sz w:val="20"/>
              </w:rPr>
              <w:t>build_transition_tables.py (project root)</w:t>
            </w:r>
          </w:p>
        </w:tc>
        <w:tc>
          <w:tcPr>
            <w:tcW w:type="dxa" w:w="5040"/>
          </w:tcPr>
          <w:p>
            <w:r>
              <w:rPr>
                <w:color w:val="444444"/>
                <w:sz w:val="20"/>
              </w:rPr>
              <w:t>Script that generated these tables from Class_of_2026_CPF_vs_SP26.csv + major.csv.</w:t>
            </w:r>
          </w:p>
        </w:tc>
      </w:tr>
    </w:tbl>
    <w:p/>
    <w:p>
      <w:pPr>
        <w:spacing w:before="360" w:after="80"/>
        <w:pBdr>
          <w:bottom w:val="single" w:sz="8" w:space="1" w:color="2F6DB3"/>
        </w:pBdr>
      </w:pPr>
      <w:r>
        <w:rPr>
          <w:b/>
          <w:color w:val="122A52"/>
          <w:sz w:val="32"/>
        </w:rPr>
        <w:t>11. NOTES FOR FUTURE STUDENTS</w:t>
      </w:r>
    </w:p>
    <w:p>
      <w:pPr>
        <w:spacing w:before="40" w:after="80"/>
      </w:pPr>
      <w:r>
        <w:rPr>
          <w:i w:val="0"/>
          <w:color w:val="444444"/>
          <w:sz w:val="21"/>
        </w:rPr>
        <w:t>If you are picking this project up for the first time, here is the recommended reading order before touching any code:</w:t>
      </w:r>
    </w:p>
    <w:p>
      <w:pPr>
        <w:pStyle w:val="ListBullet"/>
        <w:spacing w:before="20" w:after="20"/>
        <w:ind w:left="360"/>
      </w:pPr>
      <w:r>
        <w:rPr>
          <w:color w:val="444444"/>
          <w:sz w:val="21"/>
        </w:rPr>
        <w:t>1. Open site/index.html in a browser to see what the final product looks like.</w:t>
      </w:r>
    </w:p>
    <w:p>
      <w:pPr>
        <w:pStyle w:val="ListBullet"/>
        <w:spacing w:before="20" w:after="20"/>
        <w:ind w:left="360"/>
      </w:pPr>
      <w:r>
        <w:rPr>
          <w:color w:val="444444"/>
          <w:sz w:val="21"/>
        </w:rPr>
        <w:t>2. Read PIPELINE_OVERVIEW.md — understand what each of the 10 steps does.</w:t>
      </w:r>
    </w:p>
    <w:p>
      <w:pPr>
        <w:pStyle w:val="ListBullet"/>
        <w:spacing w:before="20" w:after="20"/>
        <w:ind w:left="360"/>
      </w:pPr>
      <w:r>
        <w:rPr>
          <w:color w:val="444444"/>
          <w:sz w:val="21"/>
        </w:rPr>
        <w:t>3. Read DATA_CLEANING_DECISIONS.md — understand why the data looks the way it does.</w:t>
      </w:r>
    </w:p>
    <w:p>
      <w:pPr>
        <w:pStyle w:val="ListBullet"/>
        <w:spacing w:before="20" w:after="20"/>
        <w:ind w:left="360"/>
      </w:pPr>
      <w:r>
        <w:rPr>
          <w:color w:val="444444"/>
          <w:sz w:val="21"/>
        </w:rPr>
        <w:t>4. Read VISUALIZATION_RULES.md — understand the color and layout system.</w:t>
      </w:r>
    </w:p>
    <w:p>
      <w:pPr>
        <w:pStyle w:val="ListBullet"/>
        <w:spacing w:before="20" w:after="20"/>
        <w:ind w:left="360"/>
      </w:pPr>
      <w:r>
        <w:rPr>
          <w:color w:val="444444"/>
          <w:sz w:val="21"/>
        </w:rPr>
        <w:t>5. Only then: install Circos, update data files, and run python run_pipeline.py.</w:t>
      </w:r>
    </w:p>
    <w:p>
      <w:pPr>
        <w:spacing w:before="240" w:after="40"/>
      </w:pPr>
      <w:r>
        <w:rPr>
          <w:b/>
          <w:color w:val="2F6DB3"/>
          <w:sz w:val="26"/>
        </w:rPr>
        <w:t>The most common mistakes to avoid</w:t>
      </w:r>
    </w:p>
    <w:p>
      <w:pPr>
        <w:pStyle w:val="ListBullet"/>
        <w:spacing w:before="20" w:after="20"/>
        <w:ind w:left="360"/>
      </w:pPr>
      <w:r>
        <w:rPr>
          <w:color w:val="444444"/>
          <w:sz w:val="21"/>
        </w:rPr>
        <w:t>Do not open the HTML files from a restricted network share — browsers may block local SVG loading. Open from a local drive.</w:t>
      </w:r>
    </w:p>
    <w:p>
      <w:pPr>
        <w:pStyle w:val="ListBullet"/>
        <w:spacing w:before="20" w:after="20"/>
        <w:ind w:left="360"/>
      </w:pPr>
      <w:r>
        <w:rPr>
          <w:color w:val="444444"/>
          <w:sz w:val="21"/>
        </w:rPr>
        <w:t>Do not skip the CIRCOS_ROOT environment variable step. Every Circos render call will fail silently if it cannot find the executable.</w:t>
      </w:r>
    </w:p>
    <w:p>
      <w:pPr>
        <w:pStyle w:val="ListBullet"/>
        <w:spacing w:before="20" w:after="20"/>
        <w:ind w:left="360"/>
      </w:pPr>
      <w:r>
        <w:rPr>
          <w:color w:val="444444"/>
          <w:sz w:val="21"/>
        </w:rPr>
        <w:t>When you add new clusters, you must update THREE places: the remap script (Steps 2 or 3), the HTML file (arc display names array), and dashboard_docs_data.js (methodology text). Updating only one will cause mismatches.</w:t>
      </w:r>
    </w:p>
    <w:p>
      <w:pPr>
        <w:pStyle w:val="ListBullet"/>
        <w:spacing w:before="20" w:after="20"/>
        <w:ind w:left="360"/>
      </w:pPr>
      <w:r>
        <w:rPr>
          <w:color w:val="444444"/>
          <w:sz w:val="21"/>
        </w:rPr>
        <w:t>The dashboard_docs_data.js file is NOT generated by any script. It must be updated manually whenever cluster names or graduate counts change.</w:t>
      </w:r>
    </w:p>
    <w:p>
      <w:pPr>
        <w:pStyle w:val="ListBullet"/>
        <w:spacing w:before="20" w:after="20"/>
        <w:ind w:left="360"/>
      </w:pPr>
      <w:r>
        <w:rPr>
          <w:color w:val="444444"/>
          <w:sz w:val="21"/>
        </w:rPr>
        <w:t>After any SVG regeneration, bump the cache-buster query strings in the HTML img src tags (e.g., ?v=20260507 → ?v=20270515). Otherwise browsers will keep showing old cached SVGs.</w:t>
      </w:r>
    </w:p>
    <w:p>
      <w:pPr>
        <w:spacing w:before="240" w:after="40"/>
      </w:pPr>
      <w:r>
        <w:rPr>
          <w:b/>
          <w:color w:val="2F6DB3"/>
          <w:sz w:val="26"/>
        </w:rPr>
        <w:t>Where to find archived decisions</w:t>
      </w:r>
    </w:p>
    <w:p>
      <w:pPr>
        <w:spacing w:before="40" w:after="80"/>
      </w:pPr>
      <w:r>
        <w:rPr>
          <w:i w:val="0"/>
          <w:color w:val="444444"/>
          <w:sz w:val="21"/>
        </w:rPr>
        <w:t>The full rationale for every data and visualization decision is documented in the Markdown files in this package. The original development workspace (circos_refresh_v2/) contains experiment folders (order_exp_v1 through v7), comparison HTML files, and early prototype dashboards that show the evolution of the project. Those are NOT part of this reproducible package but are available in the original project repository if you need to understand why a particular approach was tried and discarded.</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