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>Kết quả phân tích mã độc</w:t>
      </w:r>
    </w:p>
    <w:p w:rsidR="00D57102" w:rsidRPr="00875ED9" w:rsidRDefault="00D57102" w:rsidP="00D57102"/>
    <w:p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ClickMe.exe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9161a1c4fb04ec05096401dd3decc5bb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66c37bde1cb95732f46d057f7e3ae3e1011ab6ae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e3a43d0a8014bd96026a1dfd3bcfd90823232a73d54523aacf7209e654d1e413</w:t>
            </w:r>
          </w:p>
        </w:tc>
      </w:tr>
      <w:tr w:rsidR="00875ED9" w:rsidRPr="00875ED9" w:rsidTr="0069022B">
        <w:trPr>
          <w:trHeight w:val="422"/>
        </w:trPr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>
              <w:t>PE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16.0 KB</w:t>
            </w:r>
          </w:p>
        </w:tc>
      </w:tr>
    </w:tbl>
    <w:p w:rsidR="001A6B60" w:rsidRDefault="001A6B60" w:rsidP="00D57102">
      <w:pPr>
        <w:pStyle w:val="Heading1"/>
      </w:pPr>
      <w:r>
        <w:t>Kết luận chung</w:t>
      </w:r>
    </w:p>
    <w:p w:rsidR="001A6B60" w:rsidRDefault="001A6B60" w:rsidP="001A6B60">
      <w:r>
        <w:t>&lt;Nhận định của người phân tích về mã độc này&gt;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227DD9" w:rsidRDefault="00227DD9" w:rsidP="001A6B60">
            <w:pPr>
              <w:ind w:firstLine="0"/>
            </w:pPr>
            <w:r>
              <w:t>Trojan/backdoor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1A6B60" w:rsidRDefault="0069022B" w:rsidP="0069022B">
            <w:pPr>
              <w:ind w:firstLine="0"/>
            </w:pPr>
            <w:r>
              <w:t>Mã độc thực hiện sao chép export tables của kernel32 vào export tables của EvilFile.dll</w:t>
            </w:r>
            <w:r w:rsidR="00227DD9">
              <w:t>(kerne132.dll)</w:t>
            </w:r>
            <w:r>
              <w:t xml:space="preserve">. Sau đó tìm kiếm các file .exe trong thư mục </w:t>
            </w:r>
            <w:r w:rsidR="00227DD9">
              <w:t>“C\\</w:t>
            </w:r>
            <w:r w:rsidR="00BE62CA">
              <w:t>” rồi thay thế import directory của các file này từ kernel32 thành kerne132</w:t>
            </w:r>
          </w:p>
        </w:tc>
      </w:tr>
    </w:tbl>
    <w:p w:rsidR="00D57102" w:rsidRPr="00875ED9" w:rsidRDefault="00D57102" w:rsidP="00D57102">
      <w:pPr>
        <w:pStyle w:val="Heading1"/>
      </w:pPr>
      <w:r w:rsidRPr="00875ED9">
        <w:t>Phân tích cơ bản</w:t>
      </w:r>
    </w:p>
    <w:p w:rsidR="00D57102" w:rsidRPr="00875ED9" w:rsidRDefault="00D57102" w:rsidP="00D57102">
      <w:pPr>
        <w:pStyle w:val="Heading2"/>
      </w:pPr>
      <w:r w:rsidRPr="00875ED9">
        <w:t>Phân tích tĩnh cơ bản</w:t>
      </w:r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69022B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69022B" w:rsidRPr="0069022B">
        <w:t>2010-12-19 08:16:19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69022B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="0069022B">
        <w:t>: 16.0</w:t>
      </w:r>
      <w:r w:rsidRPr="00875ED9">
        <w:t xml:space="preserve"> KB (</w:t>
      </w:r>
      <w:r w:rsidR="0069022B" w:rsidRPr="0069022B">
        <w:t>16,384</w:t>
      </w:r>
      <w:r w:rsidR="0069022B">
        <w:t xml:space="preserve"> </w:t>
      </w:r>
      <w:r w:rsidRPr="00875ED9">
        <w:t>bytes) - So sánh với filesize</w:t>
      </w:r>
    </w:p>
    <w:p w:rsidR="00D57102" w:rsidRPr="00875ED9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UnmapViewOfFile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MapViewOfFile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FindNextFileA</w:t>
      </w:r>
    </w:p>
    <w:p w:rsidR="00D57102" w:rsidRPr="00875ED9" w:rsidRDefault="00227DD9" w:rsidP="00227DD9">
      <w:pPr>
        <w:pStyle w:val="ListParagraph"/>
        <w:numPr>
          <w:ilvl w:val="0"/>
          <w:numId w:val="3"/>
        </w:numPr>
      </w:pPr>
      <w:r>
        <w:t>FindFirstFileA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CreateProcessA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WSAStartup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send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shutdown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lastRenderedPageBreak/>
        <w:t>recv</w:t>
      </w:r>
    </w:p>
    <w:p w:rsidR="00D57102" w:rsidRPr="00875ED9" w:rsidRDefault="00227DD9" w:rsidP="00227DD9">
      <w:pPr>
        <w:pStyle w:val="ListParagraph"/>
        <w:numPr>
          <w:ilvl w:val="0"/>
          <w:numId w:val="3"/>
        </w:numPr>
      </w:pPr>
      <w:r>
        <w:t>WSACleanup</w:t>
      </w:r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69022B">
        <w:t>English</w:t>
      </w:r>
    </w:p>
    <w:p w:rsidR="006E0097" w:rsidRPr="00875ED9" w:rsidRDefault="00EE0479" w:rsidP="00EE0479">
      <w:pPr>
        <w:pStyle w:val="Heading3"/>
      </w:pPr>
      <w:r w:rsidRPr="00875ED9">
        <w:t>Kết quả tìm kiếm online</w:t>
      </w:r>
    </w:p>
    <w:p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</w:t>
      </w:r>
      <w:r w:rsidR="0069022B">
        <w:t xml:space="preserve">n: </w:t>
      </w:r>
      <w:r w:rsidRPr="00875ED9">
        <w:t>4</w:t>
      </w:r>
      <w:r w:rsidR="0069022B">
        <w:t>5/72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69022B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D712EF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Trojan:Win32/Aenjaris.CT!bit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D712EF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ML.Attribute.HighConfidence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RDN/Generic.grp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Trojan.GenericKD.42948263</w:t>
            </w: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:rsidR="00227DD9" w:rsidRPr="00875ED9" w:rsidRDefault="00227DD9" w:rsidP="00454799">
      <w:pPr>
        <w:pStyle w:val="ListParagraph"/>
        <w:numPr>
          <w:ilvl w:val="0"/>
          <w:numId w:val="3"/>
        </w:numPr>
      </w:pPr>
      <w:r>
        <w:t>EvilFile.dll hay kerne132.dll thực chất là một backdoor cho phép nhận lệnh từ máy chủ điều khiển và thực thi.</w:t>
      </w:r>
    </w:p>
    <w:p w:rsidR="00D57102" w:rsidRPr="00875ED9" w:rsidRDefault="00D57102" w:rsidP="00D57102">
      <w:pPr>
        <w:pStyle w:val="Heading2"/>
      </w:pPr>
      <w:r w:rsidRPr="00875ED9">
        <w:t>Phân tích động cơ bản</w:t>
      </w:r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&lt;Thực hiện monitor hành vi của mã độc, liệt kê các hành vi đặc trưng&gt;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:rsidR="00055D70" w:rsidRPr="0046610F" w:rsidRDefault="0069022B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C:\Windows\System32\Kerne131.dll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bản thân vào thư mục Windows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227DD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</w:t>
            </w:r>
            <w:r w:rsidR="00227DD9">
              <w:rPr>
                <w:rFonts w:ascii="Consolas" w:hAnsi="Consolas"/>
                <w:spacing w:val="-20"/>
                <w:sz w:val="24"/>
                <w:szCs w:val="24"/>
              </w:rPr>
              <w:t>Mutex</w:t>
            </w:r>
          </w:p>
        </w:tc>
        <w:tc>
          <w:tcPr>
            <w:tcW w:w="5130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27DD9">
              <w:rPr>
                <w:rFonts w:ascii="Consolas" w:hAnsi="Consolas"/>
                <w:spacing w:val="-20"/>
                <w:sz w:val="24"/>
                <w:szCs w:val="24"/>
              </w:rPr>
              <w:t>SADFHUHF</w:t>
            </w:r>
          </w:p>
        </w:tc>
        <w:tc>
          <w:tcPr>
            <w:tcW w:w="3595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Tạo mutex để tránh việc lặp instance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27DD9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</w:p>
        </w:tc>
        <w:tc>
          <w:tcPr>
            <w:tcW w:w="3593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Nhận lệnh từ máy chủ điều khiển</w:t>
            </w:r>
          </w:p>
        </w:tc>
      </w:tr>
    </w:tbl>
    <w:p w:rsidR="00D57102" w:rsidRPr="00875ED9" w:rsidRDefault="00D57102" w:rsidP="00C1378B">
      <w:pPr>
        <w:pStyle w:val="Heading2"/>
      </w:pPr>
      <w:r w:rsidRPr="00875ED9">
        <w:t>Phân tích nâng cao</w:t>
      </w:r>
    </w:p>
    <w:p w:rsidR="00D57102" w:rsidRDefault="005D6521" w:rsidP="00D57102">
      <w:pPr>
        <w:rPr>
          <w:i/>
        </w:rPr>
      </w:pPr>
      <w:r>
        <w:rPr>
          <w:i/>
        </w:rPr>
        <w:t>&lt;Kết hợp phân tích tĩnh bằng IDA và debug bằng OllyDbg/x64dbg/… mô tả chi tiết luồng hoạt động của mã độc&gt;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&lt;Vẽ hình minh họa &gt;</w:t>
      </w:r>
    </w:p>
    <w:p w:rsidR="003C45F8" w:rsidRDefault="003C45F8" w:rsidP="005D6521">
      <w:pPr>
        <w:jc w:val="center"/>
        <w:rPr>
          <w:noProof/>
        </w:rPr>
      </w:pPr>
    </w:p>
    <w:p w:rsidR="005D6521" w:rsidRDefault="00227DD9" w:rsidP="005D6521">
      <w:pPr>
        <w:jc w:val="center"/>
      </w:pPr>
      <w:r>
        <w:rPr>
          <w:noProof/>
        </w:rPr>
        <w:lastRenderedPageBreak/>
        <w:t xml:space="preserve"> </w:t>
      </w:r>
      <w:bookmarkStart w:id="0" w:name="_GoBack"/>
      <w:bookmarkEnd w:id="0"/>
    </w:p>
    <w:p w:rsidR="00030831" w:rsidRDefault="00030831" w:rsidP="00030831">
      <w:pPr>
        <w:rPr>
          <w:i/>
        </w:rPr>
      </w:pPr>
      <w:r w:rsidRPr="00030831">
        <w:rPr>
          <w:i/>
        </w:rPr>
        <w:t>&lt;Mô tả luồng hoạt động</w:t>
      </w:r>
      <w:r>
        <w:rPr>
          <w:i/>
        </w:rPr>
        <w:t xml:space="preserve"> chi tiết, bao gồm cả các bước hoạt động, các thuật toán mã hóa, giao thức điều khiển, nếu cần có thể tách làm nhiều đầu mục nhỏ hơn</w:t>
      </w:r>
      <w:r w:rsidRPr="00030831">
        <w:rPr>
          <w:i/>
        </w:rPr>
        <w:t>&gt;</w:t>
      </w:r>
    </w:p>
    <w:p w:rsidR="00030831" w:rsidRDefault="00227DD9" w:rsidP="00030831">
      <w:pPr>
        <w:pStyle w:val="ListParagraph"/>
        <w:numPr>
          <w:ilvl w:val="0"/>
          <w:numId w:val="3"/>
        </w:numPr>
      </w:pPr>
      <w:r>
        <w:t>Trojan</w:t>
      </w:r>
      <w:r w:rsidR="00030831">
        <w:t>:</w:t>
      </w:r>
      <w:r>
        <w:t xml:space="preserve"> 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>Mã độc copy các export tables từ kernel32.dll sang EvilFile.dll.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>Sau khi copy mã độc đổi tên từ EvliFile.dll thành Kerne132.dll rồi copy bản thân vào thư mục Windows.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 Sau thi copy thì sẽ tìm tất cả các file có đuôi .exe trong thư mục và thay thế import tables từ kernel32 thành import tables của Kerne132.dll.</w:t>
      </w:r>
    </w:p>
    <w:p w:rsidR="00030831" w:rsidRDefault="00227DD9" w:rsidP="00227DD9">
      <w:pPr>
        <w:pStyle w:val="ListParagraph"/>
        <w:numPr>
          <w:ilvl w:val="0"/>
          <w:numId w:val="3"/>
        </w:numPr>
      </w:pPr>
      <w:r>
        <w:t>Backdoor</w:t>
      </w:r>
      <w:r w:rsidR="00030831">
        <w:t>: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>Mã độc sau khi đã thay đổi import table thì có thể sử dụng Kerne132.dll như một backdoor.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Kernel132.dll nhận lệnh điều khiển thông qua winsocket tới địa chỉ ip </w:t>
      </w:r>
      <w:r w:rsidRPr="00227DD9">
        <w:t>127.26.152.13</w:t>
      </w:r>
      <w:r>
        <w:t xml:space="preserve"> port 80.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Backdoor nhận lệnh điều khiển qua command “exec” bằng cách thực thi command với api </w:t>
      </w:r>
      <w:r w:rsidRPr="00227DD9">
        <w:t>CreateProcessA</w:t>
      </w:r>
      <w:r>
        <w:t xml:space="preserve">. </w:t>
      </w:r>
    </w:p>
    <w:p w:rsidR="00C1378B" w:rsidRDefault="00C1378B" w:rsidP="00C1378B">
      <w:pPr>
        <w:pStyle w:val="Heading1"/>
        <w:numPr>
          <w:ilvl w:val="0"/>
          <w:numId w:val="1"/>
        </w:numPr>
      </w:pPr>
      <w:r>
        <w:t>Indicators of Compromise (IoC)</w:t>
      </w:r>
    </w:p>
    <w:p w:rsidR="00C1378B" w:rsidRPr="007E6DDE" w:rsidRDefault="00C1378B" w:rsidP="00C1378B">
      <w:pPr>
        <w:rPr>
          <w:i/>
        </w:rPr>
      </w:pPr>
      <w:r w:rsidRPr="007E6DDE">
        <w:rPr>
          <w:i/>
        </w:rPr>
        <w:t>&lt;Danh sách các IoC của mã độc&gt;</w:t>
      </w:r>
    </w:p>
    <w:p w:rsidR="00C1378B" w:rsidRPr="007E6DDE" w:rsidRDefault="00C1378B" w:rsidP="00C1378B">
      <w:pPr>
        <w:rPr>
          <w:u w:val="single"/>
        </w:rPr>
      </w:pPr>
      <w:r w:rsidRPr="007E6DDE">
        <w:rPr>
          <w:u w:val="single"/>
        </w:rPr>
        <w:t>Network IoC:</w:t>
      </w:r>
    </w:p>
    <w:p w:rsidR="007E6DDE" w:rsidRPr="00030831" w:rsidRDefault="00C1378B" w:rsidP="00C1378B">
      <w:pPr>
        <w:pStyle w:val="ListParagraph"/>
        <w:ind w:left="1080" w:firstLine="0"/>
      </w:pPr>
      <w:r w:rsidRPr="00227DD9">
        <w:t>127.26.152.13</w:t>
      </w:r>
      <w:r>
        <w:t>:80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227DD9"/>
    <w:rsid w:val="002510F9"/>
    <w:rsid w:val="003C45F8"/>
    <w:rsid w:val="00411E95"/>
    <w:rsid w:val="00454799"/>
    <w:rsid w:val="0046610F"/>
    <w:rsid w:val="00526D10"/>
    <w:rsid w:val="00546EE2"/>
    <w:rsid w:val="005D6521"/>
    <w:rsid w:val="0069022B"/>
    <w:rsid w:val="006E0097"/>
    <w:rsid w:val="007E6DDE"/>
    <w:rsid w:val="00875ED9"/>
    <w:rsid w:val="00A45EF8"/>
    <w:rsid w:val="00B324FC"/>
    <w:rsid w:val="00B921B7"/>
    <w:rsid w:val="00BE62CA"/>
    <w:rsid w:val="00C1378B"/>
    <w:rsid w:val="00C75E9C"/>
    <w:rsid w:val="00CF5985"/>
    <w:rsid w:val="00D57102"/>
    <w:rsid w:val="00D712EF"/>
    <w:rsid w:val="00DD17EB"/>
    <w:rsid w:val="00EE0479"/>
    <w:rsid w:val="00EF54C5"/>
    <w:rsid w:val="00F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7171"/>
  <w15:chartTrackingRefBased/>
  <w15:docId w15:val="{3FCB0577-FC47-491D-8AF2-FB7B83D1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paragraph" w:customStyle="1" w:styleId="malicious">
    <w:name w:val="malicious"/>
    <w:basedOn w:val="Normal"/>
    <w:rsid w:val="0069022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ndividual-detection">
    <w:name w:val="individual-detection"/>
    <w:basedOn w:val="DefaultParagraphFont"/>
    <w:rsid w:val="0069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6</cp:revision>
  <dcterms:created xsi:type="dcterms:W3CDTF">2019-11-08T07:58:00Z</dcterms:created>
  <dcterms:modified xsi:type="dcterms:W3CDTF">2022-07-21T02:30:00Z</dcterms:modified>
</cp:coreProperties>
</file>