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F51CD" w14:textId="77777777" w:rsidR="00040349" w:rsidRPr="00A54C1A" w:rsidRDefault="00040349" w:rsidP="00040349">
      <w:pPr>
        <w:pStyle w:val="BodyText"/>
        <w:spacing w:line="229" w:lineRule="exact"/>
        <w:jc w:val="center"/>
        <w:rPr>
          <w:rFonts w:ascii="Bahnschrift" w:hAnsi="Bahnschrift" w:cs="Calibri Light"/>
        </w:rPr>
      </w:pPr>
      <w:r w:rsidRPr="00A54C1A">
        <w:rPr>
          <w:rFonts w:ascii="Bahnschrift" w:hAnsi="Bahnschrift" w:cs="Calibri Light"/>
        </w:rPr>
        <w:t xml:space="preserve">MGMT School Student’s Conference “Economics &amp; Business &amp; Management”- </w:t>
      </w:r>
      <w:r>
        <w:rPr>
          <w:rFonts w:ascii="Bahnschrift" w:hAnsi="Bahnschrift" w:cs="Calibri Light"/>
        </w:rPr>
        <w:t>FALL</w:t>
      </w:r>
      <w:r w:rsidRPr="00A54C1A">
        <w:rPr>
          <w:rFonts w:ascii="Bahnschrift" w:hAnsi="Bahnschrift" w:cs="Calibri Light"/>
        </w:rPr>
        <w:t xml:space="preserve"> 2022</w:t>
      </w:r>
    </w:p>
    <w:p w14:paraId="3D61E3E3" w14:textId="77777777" w:rsidR="00040349" w:rsidRPr="00840784" w:rsidRDefault="00040349" w:rsidP="00040349">
      <w:pPr>
        <w:rPr>
          <w:rFonts w:ascii="Calibri Light" w:eastAsia="Book Antiqua" w:hAnsi="Calibri Light" w:cs="Calibri Light"/>
          <w:sz w:val="20"/>
          <w:szCs w:val="20"/>
        </w:rPr>
      </w:pPr>
    </w:p>
    <w:p w14:paraId="6F706111" w14:textId="77777777" w:rsidR="00040349" w:rsidRPr="00840784" w:rsidRDefault="00040349" w:rsidP="00040349">
      <w:pPr>
        <w:rPr>
          <w:rFonts w:ascii="Calibri Light" w:eastAsia="Book Antiqua" w:hAnsi="Calibri Light" w:cs="Calibri Light"/>
          <w:sz w:val="20"/>
          <w:szCs w:val="20"/>
        </w:rPr>
      </w:pPr>
    </w:p>
    <w:p w14:paraId="4548AEB4" w14:textId="77777777" w:rsidR="00040349" w:rsidRDefault="00040349" w:rsidP="00040349">
      <w:pPr>
        <w:spacing w:before="207"/>
        <w:ind w:left="159" w:right="131"/>
        <w:jc w:val="center"/>
        <w:rPr>
          <w:rFonts w:ascii="Calibri Light" w:hAnsi="Calibri Light" w:cs="Calibri Light"/>
          <w:b/>
          <w:bCs/>
          <w:smallCaps/>
          <w:spacing w:val="-2"/>
          <w:w w:val="145"/>
          <w:sz w:val="34"/>
        </w:rPr>
      </w:pPr>
      <w:r>
        <w:rPr>
          <w:rFonts w:ascii="Calibri Light" w:hAnsi="Calibri Light" w:cs="Calibri Light"/>
          <w:b/>
          <w:bCs/>
          <w:smallCaps/>
          <w:w w:val="145"/>
          <w:sz w:val="34"/>
        </w:rPr>
        <w:t>International trade and economic growth, the case of Georgia</w:t>
      </w:r>
    </w:p>
    <w:p w14:paraId="10630E07" w14:textId="77777777" w:rsidR="00040349" w:rsidRPr="00397C23" w:rsidRDefault="00040349" w:rsidP="00040349">
      <w:pPr>
        <w:spacing w:before="207"/>
        <w:ind w:left="159" w:right="131"/>
        <w:jc w:val="center"/>
        <w:rPr>
          <w:rFonts w:ascii="Calibri Light" w:eastAsia="Times New Roman" w:hAnsi="Calibri Light" w:cs="Calibri Light"/>
          <w:i/>
          <w:iCs/>
          <w:smallCaps/>
        </w:rPr>
      </w:pPr>
      <w:r w:rsidRPr="00397C23">
        <w:rPr>
          <w:rFonts w:ascii="Calibri Light" w:hAnsi="Calibri Light" w:cs="Calibri Light"/>
          <w:i/>
          <w:iCs/>
          <w:smallCaps/>
          <w:spacing w:val="-2"/>
          <w:w w:val="145"/>
        </w:rPr>
        <w:t>A</w:t>
      </w:r>
      <w:r>
        <w:rPr>
          <w:rFonts w:ascii="Calibri Light" w:hAnsi="Calibri Light" w:cs="Calibri Light"/>
          <w:i/>
          <w:iCs/>
          <w:smallCaps/>
          <w:spacing w:val="-2"/>
          <w:w w:val="145"/>
        </w:rPr>
        <w:t>n</w:t>
      </w:r>
      <w:r w:rsidRPr="00397C23">
        <w:rPr>
          <w:rFonts w:ascii="Calibri Light" w:hAnsi="Calibri Light" w:cs="Calibri Light"/>
          <w:i/>
          <w:iCs/>
          <w:smallCaps/>
          <w:spacing w:val="-2"/>
          <w:w w:val="145"/>
        </w:rPr>
        <w:t>i Rusieshvili</w:t>
      </w:r>
    </w:p>
    <w:p w14:paraId="431DE5D4" w14:textId="77777777" w:rsidR="00040349" w:rsidRDefault="00040349" w:rsidP="00040349">
      <w:pPr>
        <w:spacing w:before="276"/>
        <w:ind w:left="149" w:right="131"/>
        <w:jc w:val="center"/>
        <w:rPr>
          <w:rFonts w:ascii="Calibri Light" w:hAnsi="Calibri Light" w:cs="Calibri Light"/>
          <w:i/>
          <w:spacing w:val="-2"/>
          <w:w w:val="105"/>
          <w:sz w:val="18"/>
        </w:rPr>
      </w:pPr>
      <w:r w:rsidRPr="00840784">
        <w:rPr>
          <w:rFonts w:ascii="Calibri Light" w:hAnsi="Calibri Light" w:cs="Calibri Light"/>
          <w:i/>
          <w:w w:val="105"/>
          <w:sz w:val="18"/>
        </w:rPr>
        <w:t>Kutaisi</w:t>
      </w:r>
      <w:r w:rsidRPr="00840784">
        <w:rPr>
          <w:rFonts w:ascii="Calibri Light" w:hAnsi="Calibri Light" w:cs="Calibri Light"/>
          <w:i/>
          <w:spacing w:val="-13"/>
          <w:w w:val="105"/>
          <w:sz w:val="18"/>
        </w:rPr>
        <w:t xml:space="preserve"> </w:t>
      </w:r>
      <w:r w:rsidRPr="00840784">
        <w:rPr>
          <w:rFonts w:ascii="Calibri Light" w:hAnsi="Calibri Light" w:cs="Calibri Light"/>
          <w:i/>
          <w:w w:val="105"/>
          <w:sz w:val="18"/>
        </w:rPr>
        <w:t>International</w:t>
      </w:r>
      <w:r w:rsidRPr="00840784">
        <w:rPr>
          <w:rFonts w:ascii="Calibri Light" w:hAnsi="Calibri Light" w:cs="Calibri Light"/>
          <w:i/>
          <w:spacing w:val="-12"/>
          <w:w w:val="105"/>
          <w:sz w:val="18"/>
        </w:rPr>
        <w:t xml:space="preserve"> </w:t>
      </w:r>
      <w:r w:rsidRPr="00840784">
        <w:rPr>
          <w:rFonts w:ascii="Calibri Light" w:hAnsi="Calibri Light" w:cs="Calibri Light"/>
          <w:i/>
          <w:w w:val="105"/>
          <w:sz w:val="18"/>
        </w:rPr>
        <w:t>University,</w:t>
      </w:r>
      <w:r w:rsidRPr="00840784">
        <w:rPr>
          <w:rFonts w:ascii="Calibri Light" w:hAnsi="Calibri Light" w:cs="Calibri Light"/>
          <w:i/>
          <w:spacing w:val="-13"/>
          <w:w w:val="105"/>
          <w:sz w:val="18"/>
        </w:rPr>
        <w:t xml:space="preserve"> </w:t>
      </w:r>
      <w:r w:rsidRPr="00840784">
        <w:rPr>
          <w:rFonts w:ascii="Calibri Light" w:hAnsi="Calibri Light" w:cs="Calibri Light"/>
          <w:i/>
          <w:w w:val="105"/>
          <w:sz w:val="18"/>
        </w:rPr>
        <w:t>Kutaisi</w:t>
      </w:r>
      <w:r w:rsidRPr="00840784">
        <w:rPr>
          <w:rFonts w:ascii="Calibri Light" w:hAnsi="Calibri Light" w:cs="Calibri Light"/>
          <w:i/>
          <w:spacing w:val="-12"/>
          <w:w w:val="105"/>
          <w:sz w:val="18"/>
        </w:rPr>
        <w:t xml:space="preserve"> </w:t>
      </w:r>
      <w:r w:rsidRPr="00840784">
        <w:rPr>
          <w:rFonts w:ascii="Calibri Light" w:hAnsi="Calibri Light" w:cs="Calibri Light"/>
          <w:i/>
          <w:w w:val="105"/>
          <w:sz w:val="18"/>
        </w:rPr>
        <w:t>University</w:t>
      </w:r>
      <w:r w:rsidRPr="00840784">
        <w:rPr>
          <w:rFonts w:ascii="Calibri Light" w:hAnsi="Calibri Light" w:cs="Calibri Light"/>
          <w:i/>
          <w:spacing w:val="-13"/>
          <w:w w:val="105"/>
          <w:sz w:val="18"/>
        </w:rPr>
        <w:t xml:space="preserve"> </w:t>
      </w:r>
      <w:r w:rsidRPr="00840784">
        <w:rPr>
          <w:rFonts w:ascii="Calibri Light" w:hAnsi="Calibri Light" w:cs="Calibri Light"/>
          <w:i/>
          <w:w w:val="105"/>
          <w:sz w:val="18"/>
        </w:rPr>
        <w:t>Campus,</w:t>
      </w:r>
      <w:r w:rsidRPr="00840784">
        <w:rPr>
          <w:rFonts w:ascii="Calibri Light" w:hAnsi="Calibri Light" w:cs="Calibri Light"/>
          <w:i/>
          <w:spacing w:val="-12"/>
          <w:w w:val="105"/>
          <w:sz w:val="18"/>
        </w:rPr>
        <w:t xml:space="preserve"> </w:t>
      </w:r>
      <w:r w:rsidRPr="00840784">
        <w:rPr>
          <w:rFonts w:ascii="Calibri Light" w:hAnsi="Calibri Light" w:cs="Calibri Light"/>
          <w:i/>
          <w:w w:val="105"/>
          <w:sz w:val="18"/>
        </w:rPr>
        <w:t>4600,</w:t>
      </w:r>
      <w:r w:rsidRPr="00840784">
        <w:rPr>
          <w:rFonts w:ascii="Calibri Light" w:hAnsi="Calibri Light" w:cs="Calibri Light"/>
          <w:i/>
          <w:spacing w:val="-12"/>
          <w:w w:val="105"/>
          <w:sz w:val="18"/>
        </w:rPr>
        <w:t xml:space="preserve"> </w:t>
      </w:r>
      <w:r w:rsidRPr="00840784">
        <w:rPr>
          <w:rFonts w:ascii="Calibri Light" w:hAnsi="Calibri Light" w:cs="Calibri Light"/>
          <w:i/>
          <w:w w:val="105"/>
          <w:sz w:val="18"/>
        </w:rPr>
        <w:t>Kutaisi,</w:t>
      </w:r>
      <w:r w:rsidRPr="00840784">
        <w:rPr>
          <w:rFonts w:ascii="Calibri Light" w:hAnsi="Calibri Light" w:cs="Calibri Light"/>
          <w:i/>
          <w:spacing w:val="-12"/>
          <w:w w:val="105"/>
          <w:sz w:val="18"/>
        </w:rPr>
        <w:t xml:space="preserve"> </w:t>
      </w:r>
      <w:r w:rsidRPr="00840784">
        <w:rPr>
          <w:rFonts w:ascii="Calibri Light" w:hAnsi="Calibri Light" w:cs="Calibri Light"/>
          <w:i/>
          <w:spacing w:val="-4"/>
          <w:w w:val="105"/>
          <w:sz w:val="18"/>
        </w:rPr>
        <w:t>Ge</w:t>
      </w:r>
      <w:r w:rsidRPr="00840784">
        <w:rPr>
          <w:rFonts w:ascii="Calibri Light" w:hAnsi="Calibri Light" w:cs="Calibri Light"/>
          <w:i/>
          <w:spacing w:val="-3"/>
          <w:w w:val="105"/>
          <w:sz w:val="18"/>
        </w:rPr>
        <w:t>or</w:t>
      </w:r>
      <w:r w:rsidRPr="00840784">
        <w:rPr>
          <w:rFonts w:ascii="Calibri Light" w:hAnsi="Calibri Light" w:cs="Calibri Light"/>
          <w:i/>
          <w:spacing w:val="-4"/>
          <w:w w:val="105"/>
          <w:sz w:val="18"/>
        </w:rPr>
        <w:t>gia,</w:t>
      </w:r>
      <w:r w:rsidRPr="00840784">
        <w:rPr>
          <w:rFonts w:ascii="Calibri Light" w:hAnsi="Calibri Light" w:cs="Calibri Light"/>
          <w:i/>
          <w:spacing w:val="-13"/>
          <w:w w:val="105"/>
          <w:sz w:val="18"/>
        </w:rPr>
        <w:t xml:space="preserve"> </w:t>
      </w:r>
      <w:hyperlink r:id="rId7" w:history="1">
        <w:r w:rsidRPr="00392D76">
          <w:rPr>
            <w:rStyle w:val="Hyperlink"/>
            <w:rFonts w:ascii="Calibri Light" w:hAnsi="Calibri Light" w:cs="Calibri Light"/>
            <w:i/>
            <w:spacing w:val="-2"/>
            <w:w w:val="105"/>
            <w:sz w:val="18"/>
          </w:rPr>
          <w:t>rusieshvili.ani@kiu.edu.ge</w:t>
        </w:r>
      </w:hyperlink>
      <w:r>
        <w:rPr>
          <w:rFonts w:ascii="Calibri Light" w:hAnsi="Calibri Light" w:cs="Calibri Light"/>
          <w:i/>
          <w:spacing w:val="-2"/>
          <w:w w:val="105"/>
          <w:sz w:val="18"/>
        </w:rPr>
        <w:t xml:space="preserve">, </w:t>
      </w:r>
    </w:p>
    <w:p w14:paraId="6D06D433" w14:textId="77777777" w:rsidR="00040349" w:rsidRPr="00840784" w:rsidRDefault="00040349" w:rsidP="00040349">
      <w:pPr>
        <w:spacing w:before="276"/>
        <w:ind w:left="149" w:right="131"/>
        <w:jc w:val="center"/>
        <w:rPr>
          <w:rFonts w:ascii="Calibri Light" w:eastAsia="Arial" w:hAnsi="Calibri Light" w:cs="Calibri Light"/>
          <w:sz w:val="18"/>
          <w:szCs w:val="18"/>
        </w:rPr>
      </w:pPr>
      <w:r>
        <w:rPr>
          <w:rFonts w:ascii="Calibri Light" w:hAnsi="Calibri Light" w:cs="Calibri Light"/>
          <w:i/>
          <w:spacing w:val="-2"/>
          <w:w w:val="105"/>
          <w:sz w:val="18"/>
        </w:rPr>
        <w:t>School of Management</w:t>
      </w:r>
    </w:p>
    <w:p w14:paraId="3A078EBB" w14:textId="77777777" w:rsidR="00040349" w:rsidRPr="00840784" w:rsidRDefault="00040349" w:rsidP="00040349">
      <w:pPr>
        <w:rPr>
          <w:rFonts w:ascii="Calibri Light" w:eastAsia="Arial" w:hAnsi="Calibri Light" w:cs="Calibri Light"/>
          <w:i/>
          <w:sz w:val="20"/>
          <w:szCs w:val="20"/>
        </w:rPr>
      </w:pPr>
    </w:p>
    <w:p w14:paraId="4EFB6C7B"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 xml:space="preserve">Trade is a very well-established term in society. In fact, it is almost as old as humankind itself. Neither trade nor the debate about the trade-growth nexus is new. Every day you wake up and routinely benefit from things obtained through trading. You may pour yourself juice distributed from Turkey. Along with it, you can look through a journal prepared in Los Angeles on a phone made in China. Get in a car manufactured in dozens of counties. This never-ending cycle continues throughout your lifetime and the key point is that people around the world are interdependent. Not only do you gain from trade, as consumption choices increase, but so does the economy. As a result, there is a positive correlation between international trade and economic growth. </w:t>
      </w:r>
    </w:p>
    <w:p w14:paraId="1E7D8EA4" w14:textId="77777777" w:rsidR="00040349" w:rsidRPr="00FC7A1D" w:rsidRDefault="00040349" w:rsidP="00040349">
      <w:pPr>
        <w:ind w:firstLine="709"/>
        <w:jc w:val="both"/>
        <w:rPr>
          <w:rFonts w:ascii="Calibri Light" w:hAnsi="Calibri Light" w:cs="Calibri Light"/>
        </w:rPr>
      </w:pPr>
      <w:proofErr w:type="gramStart"/>
      <w:r w:rsidRPr="00FC7A1D">
        <w:rPr>
          <w:rFonts w:ascii="Calibri Light" w:hAnsi="Calibri Light" w:cs="Calibri Light"/>
        </w:rPr>
        <w:t>This abstract</w:t>
      </w:r>
      <w:r>
        <w:rPr>
          <w:rFonts w:ascii="Calibri Light" w:hAnsi="Calibri Light" w:cs="Calibri Light"/>
          <w:lang w:val="ka-GE"/>
        </w:rPr>
        <w:t xml:space="preserve"> </w:t>
      </w:r>
      <w:r w:rsidRPr="00FC7A1D">
        <w:rPr>
          <w:rFonts w:ascii="Calibri Light" w:hAnsi="Calibri Light" w:cs="Calibri Light"/>
        </w:rPr>
        <w:t>aims</w:t>
      </w:r>
      <w:proofErr w:type="gramEnd"/>
      <w:r w:rsidRPr="00FC7A1D">
        <w:rPr>
          <w:rFonts w:ascii="Calibri Light" w:hAnsi="Calibri Light" w:cs="Calibri Light"/>
        </w:rPr>
        <w:t xml:space="preserve"> to contribute to the debate on the consequences of international trade on economic growth. It digs through the theories of classical economists and displays modern trade outlay. In addition, some trade policies and the case of Georgia are considered. In the end, the information is summarized. Moreover, the paper introduces suggestions for new points of research.</w:t>
      </w:r>
    </w:p>
    <w:p w14:paraId="51D5E8E4"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The view that trade enhances economic growth has a long history. Adam Smith delineated trade as a powerful mechanism for allocating resources and for increasing national welfare, regardless of a county’s development level. His book</w:t>
      </w:r>
      <w:r w:rsidRPr="00FC7A1D">
        <w:rPr>
          <w:rStyle w:val="FootnoteReference"/>
          <w:rFonts w:ascii="Calibri Light" w:hAnsi="Calibri Light" w:cs="Calibri Light"/>
        </w:rPr>
        <w:footnoteReference w:id="1"/>
      </w:r>
      <w:r w:rsidRPr="00FC7A1D">
        <w:rPr>
          <w:rFonts w:ascii="Calibri Light" w:hAnsi="Calibri Light" w:cs="Calibri Light"/>
        </w:rPr>
        <w:t xml:space="preserve"> then became a landmark in the analysis of trade and economic interdependence. In the same vein, David Ricardo built his theory around the concept of comparative advantage. The conclusions of Adam Smith and David Ricardo on the gains of free trade have held up over time. As developed by classical economists the theory of international trade is an extremely powerful one due to its generality. </w:t>
      </w:r>
    </w:p>
    <w:p w14:paraId="16545F54"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The renewed interest in the benefits of international trade is largely attributable to the latest wave of globalization. Globalization is characterized not only by technological development but by trade integration and trade openness as well. To give an illustration, according to the World Trade Organization merchandise trade volume will increase by 3.5% in 2022. The figure would be even higher if not for several related shocks such as the war in Ukraine, high energy prices, inflation, and monetary tightening. Despite these factors, in the broader sense, the evolving global landscape has caused an increase in the volume of both, the trade of merchandise and services. Furthermore, considering the increased proliferation of mega-trading partnerships along with regional trade agreements, a discussion of global development without addressing trade dynamics is incomplete. Thus, the topic of international trade is as relevant as ever and so is the trade and growth relationship.</w:t>
      </w:r>
    </w:p>
    <w:p w14:paraId="3DD9CD97"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General consensus supports the idea that trade accelerates growth. There are empirical studies and real-life examples from different parts of the world proving this point. Statistically speaking, trade liberalization increases economic growth by an average of 1.0 to 1.5 percentage points, which results in 10 to 20 percent higher income after a decade</w:t>
      </w:r>
      <w:r w:rsidRPr="00FC7A1D">
        <w:rPr>
          <w:rStyle w:val="FootnoteReference"/>
          <w:rFonts w:ascii="Calibri Light" w:hAnsi="Calibri Light" w:cs="Calibri Light"/>
        </w:rPr>
        <w:footnoteReference w:id="2"/>
      </w:r>
      <w:r w:rsidRPr="00FC7A1D">
        <w:rPr>
          <w:rFonts w:ascii="Calibri Light" w:hAnsi="Calibri Light" w:cs="Calibri Light"/>
        </w:rPr>
        <w:t>. However, if there is a positive relationship between trade and income, then trade liberalization should also improve the standard of living. To prove this point, let’s consider the results of a readily available survey. A survey from IGM economic experts panel reveals that the majority, approximately 68%, of industry experts strongly agree with the hypothesis: the Freer movement of goods and services across borders within Europe has made the average western European citizen better off since the 1980s</w:t>
      </w:r>
      <w:r w:rsidRPr="00FC7A1D">
        <w:rPr>
          <w:rStyle w:val="FootnoteReference"/>
          <w:rFonts w:ascii="Calibri Light" w:hAnsi="Calibri Light" w:cs="Calibri Light"/>
        </w:rPr>
        <w:footnoteReference w:id="3"/>
      </w:r>
      <w:r w:rsidRPr="00FC7A1D">
        <w:rPr>
          <w:rFonts w:ascii="Calibri Light" w:hAnsi="Calibri Light" w:cs="Calibri Light"/>
        </w:rPr>
        <w:t xml:space="preserve">. Although this particular survey is conducted with Europe in mind, the </w:t>
      </w:r>
      <w:r w:rsidRPr="00FC7A1D">
        <w:rPr>
          <w:rFonts w:ascii="Calibri Light" w:hAnsi="Calibri Light" w:cs="Calibri Light"/>
        </w:rPr>
        <w:lastRenderedPageBreak/>
        <w:t>results can be applied to the whole world.</w:t>
      </w:r>
    </w:p>
    <w:p w14:paraId="67B0FCE9"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The signs of efficiency gains can be obtained by observing both, static and dynamic, factors. Let’s start by digging into traditional (static) trade theory. International trade helps to combat the reduced dimension of the market. Along with the extension of the market, trade allows specialization, which is built around the concept of competitive advantage. Counties participating in international trade benefit from specialization, thus, lowering costs through economies of scale and increased competition. The dynamic trade theory, on the other hand, is concerned with the gains resulting from the accelerated accumulation of physical and human capital. The accelerated accumulation, in turn, stems from higher saving rates and the spread of technology. The bond between economic growth and technological progress is specifically stressed by growth theory. As stated by growth theory, trade, through technological development, contributes to productivity and completeness gains, fostering economic performance and growth. Moreover, International trade is an avenue for the acquisition of investment and intermediate goods that are crucial for development</w:t>
      </w:r>
      <w:r w:rsidRPr="00FC7A1D">
        <w:rPr>
          <w:rStyle w:val="FootnoteReference"/>
          <w:rFonts w:ascii="Calibri Light" w:hAnsi="Calibri Light" w:cs="Calibri Light"/>
        </w:rPr>
        <w:footnoteReference w:id="4"/>
      </w:r>
      <w:r w:rsidRPr="00FC7A1D">
        <w:rPr>
          <w:rFonts w:ascii="Calibri Light" w:hAnsi="Calibri Light" w:cs="Calibri Light"/>
        </w:rPr>
        <w:t xml:space="preserve">. Efficient acquisition of human capital due to trade liberalization leads to higher productivity, especially in the import-competitor sector. Moreover, productivity improves due to the reshuffling of resources and workers from less to more efficient producers. Not surprisingly, because of all of that </w:t>
      </w:r>
      <w:r w:rsidRPr="00FC7A1D">
        <w:rPr>
          <w:rFonts w:ascii="Calibri Light" w:hAnsi="Calibri Light" w:cs="Calibri Light"/>
          <w:shd w:val="clear" w:color="auto" w:fill="FFFFFF"/>
        </w:rPr>
        <w:t>trade is one of the drives of GDP per capita and GDP per worker over the long run</w:t>
      </w:r>
      <w:r w:rsidRPr="00FC7A1D">
        <w:rPr>
          <w:rFonts w:ascii="Calibri Light" w:hAnsi="Calibri Light" w:cs="Calibri Light"/>
        </w:rPr>
        <w:t>.</w:t>
      </w:r>
    </w:p>
    <w:p w14:paraId="0BE3556F" w14:textId="77777777" w:rsidR="00040349" w:rsidRPr="00FC7A1D" w:rsidRDefault="00040349" w:rsidP="00040349">
      <w:pPr>
        <w:ind w:firstLine="709"/>
        <w:jc w:val="both"/>
        <w:rPr>
          <w:rFonts w:ascii="Calibri Light" w:hAnsi="Calibri Light" w:cs="Calibri Light"/>
        </w:rPr>
      </w:pPr>
      <w:r w:rsidRPr="00FC7A1D">
        <w:rPr>
          <w:rFonts w:ascii="Calibri Light" w:hAnsi="Calibri Light" w:cs="Calibri Light"/>
        </w:rPr>
        <w:t>Trade-related issues can give rise to strong feelings. Surprisingly, trade barriers are positively associated with growth. In fact, barriers, such as import quotas, tariffs, export taxes, and taxes on international trade, can significantly prompt economic opportunities. Reshuffling workers to increase productivity often means closing down some jobs. Distributional concerns are real; hence, formulation of appropriate public policies is a priority. Trade restrictions are assumed to be useful when a country’s new and key industries need protection from global competition. In addition, trade restrictions constitute a good bargaining tool. Contrary, some argue that as barriers decrease the volume of trade, they decrease welfare and cause deadweight losses</w:t>
      </w:r>
      <w:r w:rsidRPr="00FC7A1D">
        <w:rPr>
          <w:rFonts w:ascii="Calibri Light" w:hAnsi="Calibri Light" w:cs="Calibri Light"/>
          <w:b/>
          <w:bCs/>
        </w:rPr>
        <w:t>.</w:t>
      </w:r>
      <w:r w:rsidRPr="00FC7A1D">
        <w:rPr>
          <w:rFonts w:ascii="Calibri Light" w:hAnsi="Calibri Light" w:cs="Calibri Light"/>
        </w:rPr>
        <w:t xml:space="preserve"> Because the efficiency of trade is not generally equally shared and inequalities are rarely compensated, the debate over trade policy is often contentious. </w:t>
      </w:r>
    </w:p>
    <w:p w14:paraId="2B512E2F" w14:textId="77777777" w:rsidR="00040349" w:rsidRPr="00FC7A1D" w:rsidRDefault="00040349" w:rsidP="00040349">
      <w:pPr>
        <w:ind w:firstLine="709"/>
        <w:jc w:val="both"/>
        <w:rPr>
          <w:rFonts w:ascii="Calibri Light" w:hAnsi="Calibri Light" w:cs="Calibri Light"/>
          <w:shd w:val="clear" w:color="auto" w:fill="FFFFFF"/>
        </w:rPr>
      </w:pPr>
      <w:r w:rsidRPr="00FC7A1D">
        <w:rPr>
          <w:rFonts w:ascii="Calibri Light" w:hAnsi="Calibri Light" w:cs="Calibri Light"/>
          <w:shd w:val="clear" w:color="auto" w:fill="FFFFFF"/>
        </w:rPr>
        <w:t>Liberal foreign trade policy is one of the major principles of the economic policy of Georgia</w:t>
      </w:r>
      <w:r w:rsidRPr="00FC7A1D">
        <w:rPr>
          <w:rStyle w:val="FootnoteReference"/>
          <w:rFonts w:ascii="Calibri Light" w:hAnsi="Calibri Light" w:cs="Calibri Light"/>
          <w:shd w:val="clear" w:color="auto" w:fill="FFFFFF"/>
        </w:rPr>
        <w:footnoteReference w:id="5"/>
      </w:r>
      <w:r w:rsidRPr="00FC7A1D">
        <w:rPr>
          <w:rFonts w:ascii="Calibri Light" w:hAnsi="Calibri Light" w:cs="Calibri Light"/>
          <w:shd w:val="clear" w:color="auto" w:fill="FFFFFF"/>
        </w:rPr>
        <w:t>.</w:t>
      </w:r>
      <w:r w:rsidRPr="00FC7A1D">
        <w:rPr>
          <w:rFonts w:ascii="Calibri Light" w:hAnsi="Calibri Light" w:cs="Calibri Light"/>
          <w:shd w:val="clear" w:color="auto" w:fill="FFFFFF"/>
          <w:lang w:val="ka-GE"/>
        </w:rPr>
        <w:t xml:space="preserve"> </w:t>
      </w:r>
      <w:r w:rsidRPr="00FC7A1D">
        <w:rPr>
          <w:rFonts w:ascii="Calibri Light" w:hAnsi="Calibri Light" w:cs="Calibri Light"/>
          <w:shd w:val="clear" w:color="auto" w:fill="FFFFFF"/>
        </w:rPr>
        <w:t>Hence, Georgia, just like the rest of the world, faces trade integration and openness. For instance, after a slight drop in 2020, it has seen an increase in the volume of merchandise trade. As of October 2022, external merchandise trade accounts for 15228.4 million US dollars, which compared to 2020 is increased by 25%</w:t>
      </w:r>
      <w:r w:rsidRPr="00FC7A1D">
        <w:rPr>
          <w:rStyle w:val="FootnoteReference"/>
          <w:rFonts w:ascii="Calibri Light" w:hAnsi="Calibri Light" w:cs="Calibri Light"/>
          <w:shd w:val="clear" w:color="auto" w:fill="FFFFFF"/>
        </w:rPr>
        <w:footnoteReference w:id="6"/>
      </w:r>
      <w:r w:rsidRPr="00FC7A1D">
        <w:rPr>
          <w:rFonts w:ascii="Calibri Light" w:hAnsi="Calibri Light" w:cs="Calibri Light"/>
          <w:shd w:val="clear" w:color="auto" w:fill="FFFFFF"/>
        </w:rPr>
        <w:t>. Interestingly, along with the relatively steady growth in trade, GDP per capita has also been increasing. Data from 2009 gives useful insights while analyzing the interdependence of trade and economic growth using the example of Georgia. Briefly said, the period of 2003-2008 was characterized by a steady increase in external trade-about 39.5%. However, in 2009 the figure dropped by 29.5%. During that time economic growth dropped to its lowest point in multiple years of -3.7%</w:t>
      </w:r>
      <w:r w:rsidRPr="00FC7A1D">
        <w:rPr>
          <w:rStyle w:val="FootnoteReference"/>
          <w:rFonts w:ascii="Calibri Light" w:hAnsi="Calibri Light" w:cs="Calibri Light"/>
          <w:shd w:val="clear" w:color="auto" w:fill="FFFFFF"/>
        </w:rPr>
        <w:footnoteReference w:id="7"/>
      </w:r>
      <w:r w:rsidRPr="00FC7A1D">
        <w:rPr>
          <w:rFonts w:ascii="Calibri Light" w:hAnsi="Calibri Light" w:cs="Calibri Light"/>
          <w:shd w:val="clear" w:color="auto" w:fill="FFFFFF"/>
        </w:rPr>
        <w:t>. Not surprisingly, Georgia tries to catch up with changing landscape. As a result of changes and reforms in tariff policies and technical regulations, Georgia can gain through the facilitated foreign trade regimes and customs procedures, low import tariffs, and minimal non-tariff regulations.</w:t>
      </w:r>
    </w:p>
    <w:p w14:paraId="64659704" w14:textId="77777777" w:rsidR="00040349" w:rsidRDefault="00040349" w:rsidP="00040349">
      <w:pPr>
        <w:ind w:firstLine="709"/>
        <w:jc w:val="both"/>
        <w:rPr>
          <w:rFonts w:ascii="Calibri Light" w:hAnsi="Calibri Light" w:cs="Calibri Light"/>
        </w:rPr>
      </w:pPr>
      <w:r w:rsidRPr="00FC7A1D">
        <w:rPr>
          <w:rFonts w:ascii="Calibri Light" w:hAnsi="Calibri Light" w:cs="Calibri Light"/>
          <w:shd w:val="clear" w:color="auto" w:fill="FFFFFF"/>
        </w:rPr>
        <w:t xml:space="preserve">To conclude, international trade expands the market for consumers, allows countries to take advantage of economies of scale, and facilitates increased efficiency and enhanced technological flow. Although closes down some jobs, it creates new economic opportunities and increases the standard of living. On the whole, the available evidence suggests trade liberalization indeed improves economic efficiency. Notably, this evidence comes from different contexts and includes micro and macro measures of efficiency. Although there is a vast literature on this subject, some gaps can still be found. Therefore, further research is needed. The topics such as the measurement and qualification of trade policies and non-tariff barriers and welfare can use further analysis. </w:t>
      </w:r>
      <w:r w:rsidRPr="00FC7A1D">
        <w:rPr>
          <w:rFonts w:ascii="Calibri Light" w:hAnsi="Calibri Light" w:cs="Calibri Light"/>
        </w:rPr>
        <w:t>Future research should also explore the rising role of services, including the impact of services on economic growth.</w:t>
      </w:r>
    </w:p>
    <w:p w14:paraId="285F5B68" w14:textId="77777777" w:rsidR="00040349" w:rsidRDefault="00040349" w:rsidP="00040349">
      <w:pPr>
        <w:ind w:firstLine="709"/>
        <w:jc w:val="both"/>
        <w:rPr>
          <w:rFonts w:ascii="Calibri Light" w:hAnsi="Calibri Light" w:cs="Calibri Light"/>
        </w:rPr>
      </w:pPr>
    </w:p>
    <w:p w14:paraId="6D426E49" w14:textId="77777777" w:rsidR="00040349" w:rsidRPr="00FC7A1D" w:rsidRDefault="00040349" w:rsidP="00040349">
      <w:pPr>
        <w:ind w:firstLine="709"/>
        <w:jc w:val="both"/>
        <w:rPr>
          <w:rFonts w:ascii="Calibri Light" w:hAnsi="Calibri Light" w:cs="Calibri Light"/>
          <w:shd w:val="clear" w:color="auto" w:fill="FFFFFF"/>
        </w:rPr>
      </w:pPr>
    </w:p>
    <w:p w14:paraId="288DC7A1" w14:textId="77777777" w:rsidR="00040349" w:rsidRPr="007532DC" w:rsidRDefault="00040349" w:rsidP="00040349">
      <w:pPr>
        <w:ind w:firstLine="709"/>
        <w:jc w:val="both"/>
        <w:rPr>
          <w:rFonts w:ascii="Calibri Light" w:hAnsi="Calibri Light" w:cs="Calibri Light"/>
        </w:rPr>
      </w:pPr>
      <w:r w:rsidRPr="007532DC">
        <w:rPr>
          <w:rFonts w:ascii="Calibri Light" w:hAnsi="Calibri Light" w:cs="Calibri Light"/>
        </w:rPr>
        <w:lastRenderedPageBreak/>
        <w:t>References:</w:t>
      </w:r>
    </w:p>
    <w:p w14:paraId="62302E8C" w14:textId="77777777" w:rsidR="00040349" w:rsidRPr="007532DC" w:rsidRDefault="00040349" w:rsidP="00040349">
      <w:pPr>
        <w:pStyle w:val="ListParagraph"/>
        <w:numPr>
          <w:ilvl w:val="0"/>
          <w:numId w:val="1"/>
        </w:numPr>
        <w:jc w:val="both"/>
        <w:rPr>
          <w:rFonts w:ascii="Calibri Light" w:hAnsi="Calibri Light" w:cs="Calibri Light"/>
        </w:rPr>
      </w:pPr>
      <w:r w:rsidRPr="007532DC">
        <w:rPr>
          <w:rFonts w:ascii="Calibri Light" w:hAnsi="Calibri Light" w:cs="Calibri Light"/>
        </w:rPr>
        <w:t xml:space="preserve">Maureen Were, Differential effects of trade on economic growth and investment: A cross-country empirical investigation, 2015  </w:t>
      </w:r>
      <w:hyperlink r:id="rId8" w:history="1">
        <w:r w:rsidRPr="007532DC">
          <w:rPr>
            <w:rStyle w:val="Hyperlink"/>
            <w:rFonts w:ascii="Calibri Light" w:hAnsi="Calibri Light" w:cs="Calibri Light"/>
          </w:rPr>
          <w:t>https://www.sciencedirect.com/science/article/pii/S2214851515000067</w:t>
        </w:r>
      </w:hyperlink>
    </w:p>
    <w:p w14:paraId="3372ADA6" w14:textId="77777777" w:rsidR="00FC3D0D" w:rsidRPr="00FC3D0D" w:rsidRDefault="00040349" w:rsidP="00FC3D0D">
      <w:pPr>
        <w:pStyle w:val="ListParagraph"/>
        <w:numPr>
          <w:ilvl w:val="0"/>
          <w:numId w:val="1"/>
        </w:numPr>
        <w:jc w:val="both"/>
        <w:rPr>
          <w:rStyle w:val="Hyperlink"/>
          <w:rFonts w:ascii="Calibri Light" w:hAnsi="Calibri Light" w:cs="Calibri Light"/>
          <w:color w:val="auto"/>
          <w:u w:val="none"/>
        </w:rPr>
      </w:pPr>
      <w:r w:rsidRPr="007532DC">
        <w:rPr>
          <w:rFonts w:ascii="Calibri Light" w:hAnsi="Calibri Light" w:cs="Calibri Light"/>
        </w:rPr>
        <w:t xml:space="preserve">The world bank, Trade </w:t>
      </w:r>
      <w:hyperlink r:id="rId9" w:history="1">
        <w:r w:rsidRPr="007532DC">
          <w:rPr>
            <w:rStyle w:val="Hyperlink"/>
            <w:rFonts w:ascii="Calibri Light" w:hAnsi="Calibri Light" w:cs="Calibri Light"/>
          </w:rPr>
          <w:t>https://www.worldbank.org/en/topic/trade/overview</w:t>
        </w:r>
      </w:hyperlink>
    </w:p>
    <w:p w14:paraId="7AF84110" w14:textId="4C4CA56A" w:rsidR="00040349" w:rsidRPr="00FC3D0D" w:rsidRDefault="00040349" w:rsidP="00FC3D0D">
      <w:pPr>
        <w:pStyle w:val="ListParagraph"/>
        <w:numPr>
          <w:ilvl w:val="0"/>
          <w:numId w:val="1"/>
        </w:numPr>
        <w:jc w:val="both"/>
        <w:rPr>
          <w:rStyle w:val="Hyperlink"/>
          <w:rFonts w:ascii="Calibri Light" w:hAnsi="Calibri Light" w:cs="Calibri Light"/>
          <w:color w:val="auto"/>
          <w:u w:val="none"/>
        </w:rPr>
      </w:pPr>
      <w:r w:rsidRPr="00FC3D0D">
        <w:rPr>
          <w:rFonts w:ascii="Calibri Light" w:hAnsi="Calibri Light" w:cs="Calibri Light"/>
        </w:rPr>
        <w:t xml:space="preserve">European IGM Economic Experts Panel, Trade Within Europe </w:t>
      </w:r>
      <w:hyperlink r:id="rId10" w:history="1">
        <w:r w:rsidRPr="00FC3D0D">
          <w:rPr>
            <w:rStyle w:val="Hyperlink"/>
            <w:rFonts w:ascii="Calibri Light" w:hAnsi="Calibri Light" w:cs="Calibri Light"/>
          </w:rPr>
          <w:t>https://www.igmchicago.org/surveys/trade-within-europe/</w:t>
        </w:r>
      </w:hyperlink>
    </w:p>
    <w:p w14:paraId="0B24D40D" w14:textId="17EEE3AC" w:rsidR="00040349" w:rsidRPr="007532DC" w:rsidRDefault="00040349" w:rsidP="00FC3D0D">
      <w:pPr>
        <w:pStyle w:val="FootnoteText"/>
        <w:numPr>
          <w:ilvl w:val="0"/>
          <w:numId w:val="1"/>
        </w:numPr>
        <w:rPr>
          <w:rFonts w:ascii="Calibri Light" w:hAnsi="Calibri Light" w:cs="Calibri Light"/>
          <w:sz w:val="22"/>
          <w:szCs w:val="22"/>
          <w:lang w:val="en-US"/>
        </w:rPr>
      </w:pPr>
      <w:r w:rsidRPr="007532DC">
        <w:rPr>
          <w:rFonts w:ascii="Calibri Light" w:hAnsi="Calibri Light" w:cs="Calibri Light"/>
          <w:sz w:val="22"/>
          <w:szCs w:val="22"/>
          <w:lang w:val="en-US"/>
        </w:rPr>
        <w:t xml:space="preserve">Ministry of economy and sustainable development of Georgia, Foreign Trade </w:t>
      </w:r>
      <w:hyperlink r:id="rId11" w:history="1">
        <w:r w:rsidRPr="007532DC">
          <w:rPr>
            <w:rStyle w:val="Hyperlink"/>
            <w:rFonts w:ascii="Calibri Light" w:hAnsi="Calibri Light" w:cs="Calibri Light"/>
            <w:sz w:val="22"/>
            <w:szCs w:val="22"/>
            <w:lang w:val="en-US"/>
          </w:rPr>
          <w:t>http://www.economy.ge/?page=ecopolitic&amp;s=12</w:t>
        </w:r>
      </w:hyperlink>
    </w:p>
    <w:p w14:paraId="1EE7A9FA" w14:textId="77777777" w:rsidR="00040349" w:rsidRPr="007532DC" w:rsidRDefault="00040349" w:rsidP="00040349">
      <w:pPr>
        <w:pStyle w:val="FootnoteText"/>
        <w:numPr>
          <w:ilvl w:val="0"/>
          <w:numId w:val="1"/>
        </w:numPr>
        <w:rPr>
          <w:rFonts w:ascii="Calibri Light" w:hAnsi="Calibri Light" w:cs="Calibri Light"/>
          <w:sz w:val="22"/>
          <w:szCs w:val="22"/>
          <w:lang w:val="en-US"/>
        </w:rPr>
      </w:pPr>
      <w:r w:rsidRPr="007532DC">
        <w:rPr>
          <w:rFonts w:ascii="Calibri Light" w:hAnsi="Calibri Light" w:cs="Calibri Light"/>
          <w:sz w:val="22"/>
          <w:szCs w:val="22"/>
          <w:lang w:val="en-US"/>
        </w:rPr>
        <w:t xml:space="preserve">Ministry of economy and sustainable development of Georgia, Georgia’s foreign trade 2010 </w:t>
      </w:r>
      <w:hyperlink r:id="rId12" w:history="1">
        <w:r w:rsidRPr="007532DC">
          <w:rPr>
            <w:rStyle w:val="Hyperlink"/>
            <w:rFonts w:ascii="Calibri Light" w:hAnsi="Calibri Light" w:cs="Calibri Light"/>
            <w:sz w:val="22"/>
            <w:szCs w:val="22"/>
            <w:lang w:val="en-US"/>
          </w:rPr>
          <w:t>file:///D:/USER/Desktop/2nd%20conference/trade-2010.pdf</w:t>
        </w:r>
      </w:hyperlink>
    </w:p>
    <w:p w14:paraId="38709897" w14:textId="647B9BC7" w:rsidR="00040349" w:rsidRPr="00FC3D0D" w:rsidRDefault="00040349" w:rsidP="00040349">
      <w:pPr>
        <w:pStyle w:val="FootnoteText"/>
        <w:numPr>
          <w:ilvl w:val="0"/>
          <w:numId w:val="1"/>
        </w:numPr>
        <w:rPr>
          <w:rStyle w:val="Hyperlink"/>
          <w:rFonts w:ascii="Calibri Light" w:hAnsi="Calibri Light" w:cs="Calibri Light"/>
          <w:color w:val="auto"/>
          <w:sz w:val="22"/>
          <w:szCs w:val="22"/>
          <w:u w:val="none"/>
          <w:lang w:val="en-US"/>
        </w:rPr>
      </w:pPr>
      <w:r w:rsidRPr="007532DC">
        <w:rPr>
          <w:rFonts w:ascii="Calibri Light" w:hAnsi="Calibri Light" w:cs="Calibri Light"/>
          <w:sz w:val="22"/>
          <w:szCs w:val="22"/>
          <w:lang w:val="en-US"/>
        </w:rPr>
        <w:t xml:space="preserve">OECD, International Trade: Free, Fair and Open? Summary, 2009 </w:t>
      </w:r>
      <w:hyperlink r:id="rId13" w:history="1">
        <w:r w:rsidRPr="007532DC">
          <w:rPr>
            <w:rStyle w:val="Hyperlink"/>
            <w:rFonts w:ascii="Calibri Light" w:hAnsi="Calibri Light" w:cs="Calibri Light"/>
            <w:sz w:val="22"/>
            <w:szCs w:val="22"/>
            <w:lang w:val="en-US"/>
          </w:rPr>
          <w:t>https://www.oecd-ilibrary.org/docserver/9789264060265-sum-en.pdf?expires=1669575796&amp;id=id&amp;accname=guest&amp;checksum=07391FC2427BDF08B63A41BA07B17CC7</w:t>
        </w:r>
      </w:hyperlink>
    </w:p>
    <w:p w14:paraId="75141102" w14:textId="2928C6F5" w:rsidR="00FC3D0D" w:rsidRPr="00765591" w:rsidRDefault="00FC3D0D" w:rsidP="00040349">
      <w:pPr>
        <w:pStyle w:val="FootnoteText"/>
        <w:numPr>
          <w:ilvl w:val="0"/>
          <w:numId w:val="1"/>
        </w:numPr>
        <w:rPr>
          <w:rFonts w:ascii="Calibri Light" w:hAnsi="Calibri Light" w:cs="Calibri Light"/>
          <w:sz w:val="22"/>
          <w:szCs w:val="22"/>
          <w:lang w:val="en-US"/>
        </w:rPr>
      </w:pPr>
      <w:r>
        <w:rPr>
          <w:rFonts w:ascii="Calibri Light" w:hAnsi="Calibri Light" w:cs="Calibri Light"/>
          <w:sz w:val="22"/>
          <w:szCs w:val="22"/>
          <w:lang w:val="en-US"/>
        </w:rPr>
        <w:t xml:space="preserve">GEOSTAT, External Merchandise Trade  </w:t>
      </w:r>
      <w:hyperlink r:id="rId14" w:history="1">
        <w:r w:rsidRPr="00FC3D0D">
          <w:rPr>
            <w:rStyle w:val="Hyperlink"/>
            <w:rFonts w:ascii="Calibri Light" w:hAnsi="Calibri Light" w:cs="Calibri Light"/>
            <w:sz w:val="22"/>
            <w:szCs w:val="22"/>
            <w:lang w:val="en-US"/>
          </w:rPr>
          <w:t>https://www.geostat.ge/ka/modules/categories/35/sagareo-vachroba</w:t>
        </w:r>
      </w:hyperlink>
    </w:p>
    <w:p w14:paraId="0A725BF2" w14:textId="77777777" w:rsidR="00F12C76" w:rsidRDefault="00F12C76" w:rsidP="00040349">
      <w:pPr>
        <w:jc w:val="both"/>
      </w:pPr>
    </w:p>
    <w:sectPr w:rsidR="00F12C76" w:rsidSect="00040349">
      <w:headerReference w:type="default" r:id="rId15"/>
      <w:footerReference w:type="default" r:id="rId16"/>
      <w:pgSz w:w="11910" w:h="16840"/>
      <w:pgMar w:top="0" w:right="75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3BC0B" w14:textId="77777777" w:rsidR="009577D0" w:rsidRDefault="009577D0" w:rsidP="00040349">
      <w:r>
        <w:separator/>
      </w:r>
    </w:p>
  </w:endnote>
  <w:endnote w:type="continuationSeparator" w:id="0">
    <w:p w14:paraId="501FC191" w14:textId="77777777" w:rsidR="009577D0" w:rsidRDefault="009577D0" w:rsidP="00040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857029"/>
      <w:docPartObj>
        <w:docPartGallery w:val="Page Numbers (Bottom of Page)"/>
        <w:docPartUnique/>
      </w:docPartObj>
    </w:sdtPr>
    <w:sdtEndPr>
      <w:rPr>
        <w:noProof/>
      </w:rPr>
    </w:sdtEndPr>
    <w:sdtContent>
      <w:p w14:paraId="5E303BF3" w14:textId="77777777" w:rsidR="004151F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78D02F" w14:textId="77777777" w:rsidR="004151F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C0309" w14:textId="77777777" w:rsidR="009577D0" w:rsidRDefault="009577D0" w:rsidP="00040349">
      <w:r>
        <w:separator/>
      </w:r>
    </w:p>
  </w:footnote>
  <w:footnote w:type="continuationSeparator" w:id="0">
    <w:p w14:paraId="3873F13A" w14:textId="77777777" w:rsidR="009577D0" w:rsidRDefault="009577D0" w:rsidP="00040349">
      <w:r>
        <w:continuationSeparator/>
      </w:r>
    </w:p>
  </w:footnote>
  <w:footnote w:id="1">
    <w:p w14:paraId="529A983E" w14:textId="77777777" w:rsidR="00040349" w:rsidRPr="007E62CC" w:rsidRDefault="00040349" w:rsidP="00040349">
      <w:pPr>
        <w:pStyle w:val="FootnoteText"/>
        <w:rPr>
          <w:rFonts w:ascii="Calibri Light" w:hAnsi="Calibri Light" w:cs="Calibri Light"/>
          <w:sz w:val="22"/>
          <w:szCs w:val="22"/>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w:t>
      </w:r>
      <w:r w:rsidRPr="007E62CC">
        <w:rPr>
          <w:rFonts w:ascii="Calibri Light" w:hAnsi="Calibri Light" w:cs="Calibri Light"/>
          <w:color w:val="202124"/>
          <w:sz w:val="22"/>
          <w:szCs w:val="22"/>
          <w:shd w:val="clear" w:color="auto" w:fill="FFFFFF"/>
          <w:lang w:val="en-US"/>
        </w:rPr>
        <w:t>An Inquiry into the Nature and Causes of the Wealth of Nations, Adam Smith, 1976.</w:t>
      </w:r>
    </w:p>
  </w:footnote>
  <w:footnote w:id="2">
    <w:p w14:paraId="0FCF75FE" w14:textId="77777777" w:rsidR="00040349" w:rsidRPr="001C774D" w:rsidRDefault="00040349" w:rsidP="00040349">
      <w:pPr>
        <w:pStyle w:val="FootnoteText"/>
        <w:rPr>
          <w:rFonts w:ascii="Calibri Light" w:hAnsi="Calibri Light" w:cs="Calibri Light"/>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Trade, International Development Association, World bank group.</w:t>
      </w:r>
    </w:p>
  </w:footnote>
  <w:footnote w:id="3">
    <w:p w14:paraId="24EE413B" w14:textId="77777777" w:rsidR="00040349" w:rsidRPr="007E62CC" w:rsidRDefault="00040349" w:rsidP="00040349">
      <w:pPr>
        <w:pStyle w:val="FootnoteText"/>
        <w:rPr>
          <w:rFonts w:ascii="Calibri Light" w:hAnsi="Calibri Light" w:cs="Calibri Light"/>
          <w:sz w:val="22"/>
          <w:szCs w:val="22"/>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Trade Within Europe, European IGM Economic Experts Panel</w:t>
      </w:r>
    </w:p>
  </w:footnote>
  <w:footnote w:id="4">
    <w:p w14:paraId="63493180" w14:textId="77777777" w:rsidR="00040349" w:rsidRPr="007E62CC" w:rsidRDefault="00040349" w:rsidP="00040349">
      <w:pPr>
        <w:pStyle w:val="FootnoteText"/>
        <w:rPr>
          <w:rFonts w:ascii="Calibri Light" w:hAnsi="Calibri Light" w:cs="Calibri Light"/>
          <w:sz w:val="22"/>
          <w:szCs w:val="22"/>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Differential effects of trade on economic growth and investment: A cross-country empirical investigation, Maureen Were, 2015.</w:t>
      </w:r>
    </w:p>
  </w:footnote>
  <w:footnote w:id="5">
    <w:p w14:paraId="09FCD6C4" w14:textId="77777777" w:rsidR="00040349" w:rsidRPr="007E62CC" w:rsidRDefault="00040349" w:rsidP="00040349">
      <w:pPr>
        <w:pStyle w:val="FootnoteText"/>
        <w:rPr>
          <w:rFonts w:ascii="Calibri Light" w:hAnsi="Calibri Light" w:cs="Calibri Light"/>
          <w:sz w:val="22"/>
          <w:szCs w:val="22"/>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Foreign Trade, Ministry of economy and sustainable development of Georgia</w:t>
      </w:r>
    </w:p>
  </w:footnote>
  <w:footnote w:id="6">
    <w:p w14:paraId="43C7D9D2" w14:textId="77777777" w:rsidR="00040349" w:rsidRPr="007E62CC" w:rsidRDefault="00040349" w:rsidP="00040349">
      <w:pPr>
        <w:pStyle w:val="FootnoteText"/>
        <w:rPr>
          <w:rFonts w:ascii="Calibri Light" w:hAnsi="Calibri Light" w:cs="Calibri Light"/>
          <w:sz w:val="22"/>
          <w:szCs w:val="22"/>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External merchandise trade, GEOSTAT</w:t>
      </w:r>
    </w:p>
  </w:footnote>
  <w:footnote w:id="7">
    <w:p w14:paraId="64FC251A" w14:textId="77777777" w:rsidR="00040349" w:rsidRPr="00F32757" w:rsidRDefault="00040349" w:rsidP="00040349">
      <w:pPr>
        <w:pStyle w:val="FootnoteText"/>
        <w:rPr>
          <w:lang w:val="en-US"/>
        </w:rPr>
      </w:pPr>
      <w:r w:rsidRPr="007E62CC">
        <w:rPr>
          <w:rStyle w:val="FootnoteReference"/>
          <w:rFonts w:ascii="Calibri Light" w:hAnsi="Calibri Light" w:cs="Calibri Light"/>
          <w:sz w:val="22"/>
          <w:szCs w:val="22"/>
        </w:rPr>
        <w:footnoteRef/>
      </w:r>
      <w:r w:rsidRPr="007E62CC">
        <w:rPr>
          <w:rFonts w:ascii="Calibri Light" w:hAnsi="Calibri Light" w:cs="Calibri Light"/>
          <w:sz w:val="22"/>
          <w:szCs w:val="22"/>
          <w:lang w:val="en-US"/>
        </w:rPr>
        <w:t xml:space="preserve"> GDP and Economic Growth, Ministry of Finance of Georgia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5227" w14:textId="77777777" w:rsidR="003B5858" w:rsidRDefault="00000000">
    <w:pPr>
      <w:pStyle w:val="Header"/>
    </w:pPr>
    <w:r>
      <w:rPr>
        <w:noProof/>
      </w:rPr>
      <w:drawing>
        <wp:inline distT="0" distB="0" distL="0" distR="0" wp14:anchorId="3FF0D328" wp14:editId="14E1799B">
          <wp:extent cx="1305187" cy="404656"/>
          <wp:effectExtent l="0" t="0" r="0" b="1905"/>
          <wp:docPr id="28" name="Picture 28"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outdoor, sign&#10;&#10;Description automatically generated"/>
                  <pic:cNvPicPr>
                    <a:picLocks noChangeAspect="1" noChangeArrowheads="1"/>
                  </pic:cNvPicPr>
                </pic:nvPicPr>
                <pic:blipFill>
                  <a:blip r:embed="rId1"/>
                  <a:stretch>
                    <a:fillRect/>
                  </a:stretch>
                </pic:blipFill>
                <pic:spPr bwMode="auto">
                  <a:xfrm>
                    <a:off x="0" y="0"/>
                    <a:ext cx="1311518" cy="406619"/>
                  </a:xfrm>
                  <a:prstGeom prst="rect">
                    <a:avLst/>
                  </a:prstGeom>
                </pic:spPr>
              </pic:pic>
            </a:graphicData>
          </a:graphic>
        </wp:inline>
      </w:drawing>
    </w:r>
  </w:p>
  <w:p w14:paraId="7DE477BC" w14:textId="77777777" w:rsidR="003B5858" w:rsidRDefault="00000000" w:rsidP="003B5858">
    <w:pPr>
      <w:pStyle w:val="Header"/>
      <w:shd w:val="clear" w:color="auto" w:fill="EEEEEE"/>
    </w:pPr>
  </w:p>
  <w:p w14:paraId="40D251C5" w14:textId="77777777" w:rsidR="003B5858"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161F1"/>
    <w:multiLevelType w:val="hybridMultilevel"/>
    <w:tmpl w:val="A75AC514"/>
    <w:lvl w:ilvl="0" w:tplc="12849A80">
      <w:start w:val="1"/>
      <w:numFmt w:val="decimal"/>
      <w:lvlText w:val="%1."/>
      <w:lvlJc w:val="left"/>
      <w:pPr>
        <w:ind w:left="99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688024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3F"/>
    <w:rsid w:val="00040349"/>
    <w:rsid w:val="0024376D"/>
    <w:rsid w:val="003D443F"/>
    <w:rsid w:val="00584D85"/>
    <w:rsid w:val="006C0B77"/>
    <w:rsid w:val="008242FF"/>
    <w:rsid w:val="00870751"/>
    <w:rsid w:val="00922C48"/>
    <w:rsid w:val="009577D0"/>
    <w:rsid w:val="00B915B7"/>
    <w:rsid w:val="00D22A07"/>
    <w:rsid w:val="00DF63F0"/>
    <w:rsid w:val="00EA59DF"/>
    <w:rsid w:val="00EE4070"/>
    <w:rsid w:val="00F12C76"/>
    <w:rsid w:val="00FC3D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F759"/>
  <w15:chartTrackingRefBased/>
  <w15:docId w15:val="{B82DA760-9348-4F0A-8BE8-4C22209D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349"/>
    <w:pPr>
      <w:widowControl w:val="0"/>
      <w:spacing w:after="0" w:line="240"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40349"/>
    <w:pPr>
      <w:ind w:left="144"/>
    </w:pPr>
    <w:rPr>
      <w:rFonts w:ascii="Book Antiqua" w:eastAsia="Book Antiqua" w:hAnsi="Book Antiqua"/>
      <w:sz w:val="20"/>
      <w:szCs w:val="20"/>
    </w:rPr>
  </w:style>
  <w:style w:type="character" w:customStyle="1" w:styleId="BodyTextChar">
    <w:name w:val="Body Text Char"/>
    <w:basedOn w:val="DefaultParagraphFont"/>
    <w:link w:val="BodyText"/>
    <w:uiPriority w:val="1"/>
    <w:rsid w:val="00040349"/>
    <w:rPr>
      <w:rFonts w:ascii="Book Antiqua" w:eastAsia="Book Antiqua" w:hAnsi="Book Antiqua"/>
      <w:sz w:val="20"/>
      <w:szCs w:val="20"/>
      <w:lang w:val="en-US"/>
    </w:rPr>
  </w:style>
  <w:style w:type="paragraph" w:styleId="ListParagraph">
    <w:name w:val="List Paragraph"/>
    <w:basedOn w:val="Normal"/>
    <w:uiPriority w:val="1"/>
    <w:qFormat/>
    <w:rsid w:val="00040349"/>
  </w:style>
  <w:style w:type="paragraph" w:styleId="Header">
    <w:name w:val="header"/>
    <w:basedOn w:val="Normal"/>
    <w:link w:val="HeaderChar"/>
    <w:uiPriority w:val="99"/>
    <w:unhideWhenUsed/>
    <w:rsid w:val="00040349"/>
    <w:pPr>
      <w:tabs>
        <w:tab w:val="center" w:pos="4513"/>
        <w:tab w:val="right" w:pos="9026"/>
      </w:tabs>
    </w:pPr>
  </w:style>
  <w:style w:type="character" w:customStyle="1" w:styleId="HeaderChar">
    <w:name w:val="Header Char"/>
    <w:basedOn w:val="DefaultParagraphFont"/>
    <w:link w:val="Header"/>
    <w:uiPriority w:val="99"/>
    <w:qFormat/>
    <w:rsid w:val="00040349"/>
    <w:rPr>
      <w:lang w:val="en-US"/>
    </w:rPr>
  </w:style>
  <w:style w:type="paragraph" w:styleId="Footer">
    <w:name w:val="footer"/>
    <w:basedOn w:val="Normal"/>
    <w:link w:val="FooterChar"/>
    <w:uiPriority w:val="99"/>
    <w:unhideWhenUsed/>
    <w:rsid w:val="00040349"/>
    <w:pPr>
      <w:tabs>
        <w:tab w:val="center" w:pos="4513"/>
        <w:tab w:val="right" w:pos="9026"/>
      </w:tabs>
    </w:pPr>
  </w:style>
  <w:style w:type="character" w:customStyle="1" w:styleId="FooterChar">
    <w:name w:val="Footer Char"/>
    <w:basedOn w:val="DefaultParagraphFont"/>
    <w:link w:val="Footer"/>
    <w:uiPriority w:val="99"/>
    <w:rsid w:val="00040349"/>
    <w:rPr>
      <w:lang w:val="en-US"/>
    </w:rPr>
  </w:style>
  <w:style w:type="character" w:styleId="Hyperlink">
    <w:name w:val="Hyperlink"/>
    <w:basedOn w:val="DefaultParagraphFont"/>
    <w:uiPriority w:val="99"/>
    <w:unhideWhenUsed/>
    <w:rsid w:val="00040349"/>
    <w:rPr>
      <w:color w:val="0563C1" w:themeColor="hyperlink"/>
      <w:u w:val="single"/>
    </w:rPr>
  </w:style>
  <w:style w:type="paragraph" w:styleId="FootnoteText">
    <w:name w:val="footnote text"/>
    <w:basedOn w:val="Normal"/>
    <w:link w:val="FootnoteTextChar"/>
    <w:uiPriority w:val="99"/>
    <w:unhideWhenUsed/>
    <w:rsid w:val="00040349"/>
    <w:pPr>
      <w:widowControl/>
    </w:pPr>
    <w:rPr>
      <w:rFonts w:ascii="Times New Roman" w:hAnsi="Times New Roman"/>
      <w:sz w:val="20"/>
      <w:szCs w:val="20"/>
      <w:lang w:val="ru-RU"/>
    </w:rPr>
  </w:style>
  <w:style w:type="character" w:customStyle="1" w:styleId="FootnoteTextChar">
    <w:name w:val="Footnote Text Char"/>
    <w:basedOn w:val="DefaultParagraphFont"/>
    <w:link w:val="FootnoteText"/>
    <w:uiPriority w:val="99"/>
    <w:rsid w:val="00040349"/>
    <w:rPr>
      <w:rFonts w:ascii="Times New Roman" w:hAnsi="Times New Roman"/>
      <w:sz w:val="20"/>
      <w:szCs w:val="20"/>
    </w:rPr>
  </w:style>
  <w:style w:type="character" w:styleId="FootnoteReference">
    <w:name w:val="footnote reference"/>
    <w:basedOn w:val="DefaultParagraphFont"/>
    <w:uiPriority w:val="99"/>
    <w:semiHidden/>
    <w:unhideWhenUsed/>
    <w:rsid w:val="00040349"/>
    <w:rPr>
      <w:vertAlign w:val="superscript"/>
    </w:rPr>
  </w:style>
  <w:style w:type="character" w:styleId="CommentReference">
    <w:name w:val="annotation reference"/>
    <w:basedOn w:val="DefaultParagraphFont"/>
    <w:uiPriority w:val="99"/>
    <w:semiHidden/>
    <w:unhideWhenUsed/>
    <w:rsid w:val="00FC3D0D"/>
    <w:rPr>
      <w:sz w:val="16"/>
      <w:szCs w:val="16"/>
    </w:rPr>
  </w:style>
  <w:style w:type="paragraph" w:styleId="CommentText">
    <w:name w:val="annotation text"/>
    <w:basedOn w:val="Normal"/>
    <w:link w:val="CommentTextChar"/>
    <w:uiPriority w:val="99"/>
    <w:semiHidden/>
    <w:unhideWhenUsed/>
    <w:rsid w:val="00FC3D0D"/>
    <w:rPr>
      <w:sz w:val="20"/>
      <w:szCs w:val="20"/>
    </w:rPr>
  </w:style>
  <w:style w:type="character" w:customStyle="1" w:styleId="CommentTextChar">
    <w:name w:val="Comment Text Char"/>
    <w:basedOn w:val="DefaultParagraphFont"/>
    <w:link w:val="CommentText"/>
    <w:uiPriority w:val="99"/>
    <w:semiHidden/>
    <w:rsid w:val="00FC3D0D"/>
    <w:rPr>
      <w:sz w:val="20"/>
      <w:szCs w:val="20"/>
      <w:lang w:val="en-US"/>
    </w:rPr>
  </w:style>
  <w:style w:type="paragraph" w:styleId="CommentSubject">
    <w:name w:val="annotation subject"/>
    <w:basedOn w:val="CommentText"/>
    <w:next w:val="CommentText"/>
    <w:link w:val="CommentSubjectChar"/>
    <w:uiPriority w:val="99"/>
    <w:semiHidden/>
    <w:unhideWhenUsed/>
    <w:rsid w:val="00FC3D0D"/>
    <w:rPr>
      <w:b/>
      <w:bCs/>
    </w:rPr>
  </w:style>
  <w:style w:type="character" w:customStyle="1" w:styleId="CommentSubjectChar">
    <w:name w:val="Comment Subject Char"/>
    <w:basedOn w:val="CommentTextChar"/>
    <w:link w:val="CommentSubject"/>
    <w:uiPriority w:val="99"/>
    <w:semiHidden/>
    <w:rsid w:val="00FC3D0D"/>
    <w:rPr>
      <w:b/>
      <w:bCs/>
      <w:sz w:val="20"/>
      <w:szCs w:val="20"/>
      <w:lang w:val="en-US"/>
    </w:rPr>
  </w:style>
  <w:style w:type="character" w:styleId="UnresolvedMention">
    <w:name w:val="Unresolved Mention"/>
    <w:basedOn w:val="DefaultParagraphFont"/>
    <w:uiPriority w:val="99"/>
    <w:semiHidden/>
    <w:unhideWhenUsed/>
    <w:rsid w:val="00FC3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214851515000067" TargetMode="External"/><Relationship Id="rId13" Type="http://schemas.openxmlformats.org/officeDocument/2006/relationships/hyperlink" Target="https://www.oecd-ilibrary.org/docserver/9789264060265-sum-en.pdf?expires=1669575796&amp;id=id&amp;accname=guest&amp;checksum=07391FC2427BDF08B63A41BA07B17CC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usieshvili.ani@kiu.edu.ge" TargetMode="External"/><Relationship Id="rId12" Type="http://schemas.openxmlformats.org/officeDocument/2006/relationships/hyperlink" Target="D://USER/Desktop/2nd%20conference/trade-2010.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conomy.ge/?page=ecopolitic&amp;s=12"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igmchicago.org/surveys/trade-within-europe/" TargetMode="External"/><Relationship Id="rId4" Type="http://schemas.openxmlformats.org/officeDocument/2006/relationships/webSettings" Target="webSettings.xml"/><Relationship Id="rId9" Type="http://schemas.openxmlformats.org/officeDocument/2006/relationships/hyperlink" Target="https://www.worldbank.org/en/topic/trade/overview" TargetMode="External"/><Relationship Id="rId14" Type="http://schemas.openxmlformats.org/officeDocument/2006/relationships/hyperlink" Target="https://www.geostat.ge/ka/modules/categories/35/sagareo-vachrob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Rusieshvili</dc:creator>
  <cp:keywords/>
  <dc:description/>
  <cp:lastModifiedBy>User</cp:lastModifiedBy>
  <cp:revision>5</cp:revision>
  <dcterms:created xsi:type="dcterms:W3CDTF">2022-11-27T21:36:00Z</dcterms:created>
  <dcterms:modified xsi:type="dcterms:W3CDTF">2022-11-27T22:23:00Z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cbafe1c43ee0e36f0ed01af4e7d01b72ed13a3b04ddbbf820a8a5a29e35b19e0</vt:lpwstr>
  </property>
</Properties>
</file>