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555555"/>
          <w:sz w:val="19"/>
        </w:rPr>
        <w:t>CAD Review 1 &amp; 2 Combined  ·  Speaker Notes  ·  AI INTEGRATION &amp; DATA ENGINEER</w:t>
      </w:r>
    </w:p>
    <w:p>
      <w:pPr>
        <w:spacing w:before="40" w:after="40"/>
      </w:pPr>
      <w:r>
        <w:rPr>
          <w:rFonts w:ascii="Calibri" w:hAnsi="Calibri"/>
          <w:b/>
          <w:color w:val="1B365D"/>
          <w:sz w:val="36"/>
        </w:rPr>
        <w:t>Speaker Notes: Konark Verma (24BAI1533)</w:t>
      </w:r>
    </w:p>
    <w:p>
      <w:pPr>
        <w:spacing w:after="280"/>
      </w:pPr>
      <w:r>
        <w:rPr>
          <w:rFonts w:ascii="Calibri" w:hAnsi="Calibri"/>
          <w:color w:val="555555"/>
          <w:sz w:val="22"/>
        </w:rPr>
        <w:t>Project: Event-Driven Serverless AI Image Tagging &amp; Analysis Pipeline</w:t>
        <w:br/>
        <w:t>Role: AI Integration &amp; Data Engineer</w:t>
      </w:r>
    </w:p>
    <w:p>
      <w:pPr>
        <w:spacing w:after="320"/>
      </w:pPr>
      <w:r>
        <w:rPr>
          <w:color w:val="555555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Slide 5: Processing Workflow (Review 1 — Column AB)</w:t>
      </w:r>
    </w:p>
    <w:p>
      <w:pPr>
        <w:spacing w:before="40" w:after="40"/>
      </w:pPr>
      <w:r>
        <w:rPr>
          <w:rFonts w:ascii="Calibri" w:hAnsi="Calibri"/>
          <w:b/>
          <w:color w:val="111111"/>
          <w:sz w:val="22"/>
        </w:rPr>
        <w:t>What to say: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  <w:t>"Thank you Aniruddh. Respected evaluators, I will walk you through the step-by-step workflow of our pipeline:</w:t>
        <w:br/>
        <w:br/>
      </w:r>
      <w:r>
        <w:rPr>
          <w:rFonts w:ascii="Calibri" w:hAnsi="Calibri"/>
          <w:b/>
          <w:color w:val="111111"/>
          <w:sz w:val="22"/>
        </w:rPr>
        <w:t>Step 1:</w:t>
      </w:r>
      <w:r>
        <w:rPr>
          <w:rFonts w:ascii="Calibri" w:hAnsi="Calibri"/>
          <w:color w:val="111111"/>
          <w:sz w:val="22"/>
        </w:rPr>
        <w:t xml:space="preserve"> The user uploads an image to the S3 bucket under the 'incoming/' folder.</w:t>
        <w:br/>
      </w:r>
      <w:r>
        <w:rPr>
          <w:rFonts w:ascii="Calibri" w:hAnsi="Calibri"/>
          <w:b/>
          <w:color w:val="111111"/>
          <w:sz w:val="22"/>
        </w:rPr>
        <w:t>Step 2:</w:t>
      </w:r>
      <w:r>
        <w:rPr>
          <w:rFonts w:ascii="Calibri" w:hAnsi="Calibri"/>
          <w:color w:val="111111"/>
          <w:sz w:val="22"/>
        </w:rPr>
        <w:t xml:space="preserve"> S3 fires an 'ObjectCreated:Put' event notification and invokes our Lambda function.</w:t>
        <w:br/>
      </w:r>
      <w:r>
        <w:rPr>
          <w:rFonts w:ascii="Calibri" w:hAnsi="Calibri"/>
          <w:b/>
          <w:color w:val="111111"/>
          <w:sz w:val="22"/>
        </w:rPr>
        <w:t>Step 3:</w:t>
      </w:r>
      <w:r>
        <w:rPr>
          <w:rFonts w:ascii="Calibri" w:hAnsi="Calibri"/>
          <w:color w:val="111111"/>
          <w:sz w:val="22"/>
        </w:rPr>
        <w:t xml:space="preserve"> Lambda extracts the bucket and key. Because S3 URL-encodes special characters in object keys (like spaces becoming '+' or '%20'), our code applies 'urllib.parse.unquote_plus'. It then checks the extension against our allow-list (.jpg, .jpeg, .png). Non-image files are safely skipped.</w:t>
        <w:br/>
      </w:r>
      <w:r>
        <w:rPr>
          <w:rFonts w:ascii="Calibri" w:hAnsi="Calibri"/>
          <w:b/>
          <w:color w:val="111111"/>
          <w:sz w:val="22"/>
        </w:rPr>
        <w:t>Step 4:</w:t>
      </w:r>
      <w:r>
        <w:rPr>
          <w:rFonts w:ascii="Calibri" w:hAnsi="Calibri"/>
          <w:color w:val="111111"/>
          <w:sz w:val="22"/>
        </w:rPr>
        <w:t xml:space="preserve"> Lambda calls Amazon Rekognition's 'DetectLabels' API with the S3 pointer, setting a minimum confidence threshold of 70% and a max of 10 labels.</w:t>
        <w:br/>
      </w:r>
      <w:r>
        <w:rPr>
          <w:rFonts w:ascii="Calibri" w:hAnsi="Calibri"/>
          <w:b/>
          <w:color w:val="111111"/>
          <w:sz w:val="22"/>
        </w:rPr>
        <w:t>Step 5:</w:t>
      </w:r>
      <w:r>
        <w:rPr>
          <w:rFonts w:ascii="Calibri" w:hAnsi="Calibri"/>
          <w:color w:val="111111"/>
          <w:sz w:val="22"/>
        </w:rPr>
        <w:t xml:space="preserve"> Rekognition returns detected objects and parent categories. Lambda formats them into DynamoDB attribute types and executes a 'PutItem' call. The entire operation is logged to CloudWatch."</w:t>
      </w:r>
    </w:p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Slide 6: Mathematical Formulations &amp; Algorithm (Review 2 — Column AD)</w:t>
      </w:r>
    </w:p>
    <w:p>
      <w:pPr>
        <w:spacing w:before="40" w:after="40"/>
      </w:pPr>
      <w:r>
        <w:rPr>
          <w:rFonts w:ascii="Calibri" w:hAnsi="Calibri"/>
          <w:b/>
          <w:color w:val="111111"/>
          <w:sz w:val="22"/>
        </w:rPr>
        <w:t>What to say: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  <w:t>"In Section 5 of our report, we formalized the system using three mathematical formulas and an algorithm:</w:t>
        <w:br/>
        <w:br/>
      </w:r>
      <w:r>
        <w:rPr>
          <w:rFonts w:ascii="Calibri" w:hAnsi="Calibri"/>
          <w:b/>
          <w:color w:val="111111"/>
          <w:sz w:val="22"/>
        </w:rPr>
        <w:t>Equation 1 (Confidence Thresholding):</w:t>
      </w:r>
      <w:r>
        <w:rPr>
          <w:rFonts w:ascii="Calibri" w:hAnsi="Calibri"/>
          <w:color w:val="111111"/>
          <w:sz w:val="22"/>
        </w:rPr>
        <w:br/>
        <w:t>L_output = { l | l in L_candidate, Confidence(l) &gt;= tau, Rank &lt;= N }</w:t>
        <w:br/>
        <w:t>We set tau = 70% and N = 10 labels. Without this filter, Rekognition would return 50+ speculative labels—like calling a small hill a volcano at 30% confidence. The threshold keeps results accurate.</w:t>
        <w:br/>
        <w:br/>
      </w:r>
      <w:r>
        <w:rPr>
          <w:rFonts w:ascii="Calibri" w:hAnsi="Calibri"/>
          <w:b/>
          <w:color w:val="111111"/>
          <w:sz w:val="22"/>
        </w:rPr>
        <w:t>Equation 2 (Latency Decomposition):</w:t>
      </w:r>
      <w:r>
        <w:rPr>
          <w:rFonts w:ascii="Calibri" w:hAnsi="Calibri"/>
          <w:color w:val="111111"/>
          <w:sz w:val="22"/>
        </w:rPr>
        <w:br/>
        <w:t>T_total = T_event_notify + T_lambda_init + T_rekognition + T_dynamodb_write</w:t>
        <w:br/>
        <w:t>- S3 event notification: 50 to 150 ms.</w:t>
        <w:br/>
        <w:t>- Lambda warm start: under 10 ms (cold start is ~250 ms).</w:t>
        <w:br/>
        <w:t>- Rekognition inference: 400 to 600 ms (this is our main bottleneck as it runs a deep neural network).</w:t>
        <w:br/>
        <w:t>- DynamoDB write: 15 to 35 ms.</w:t>
        <w:br/>
        <w:t xml:space="preserve">Our average end-to-end latency is </w:t>
      </w:r>
      <w:r>
        <w:rPr>
          <w:rFonts w:ascii="Calibri" w:hAnsi="Calibri"/>
          <w:b/>
          <w:color w:val="111111"/>
          <w:sz w:val="22"/>
        </w:rPr>
        <w:t>842 milliseconds</w:t>
      </w:r>
      <w:r>
        <w:rPr>
          <w:rFonts w:ascii="Calibri" w:hAnsi="Calibri"/>
          <w:color w:val="111111"/>
          <w:sz w:val="22"/>
        </w:rPr>
        <w:t xml:space="preserve"> (under our 1-second target).</w:t>
        <w:br/>
        <w:br/>
      </w:r>
      <w:r>
        <w:rPr>
          <w:rFonts w:ascii="Calibri" w:hAnsi="Calibri"/>
          <w:b/>
          <w:color w:val="111111"/>
          <w:sz w:val="22"/>
        </w:rPr>
        <w:t>Algorithm 1:</w:t>
      </w:r>
      <w:r>
        <w:rPr>
          <w:rFonts w:ascii="Calibri" w:hAnsi="Calibri"/>
          <w:color w:val="111111"/>
          <w:sz w:val="22"/>
        </w:rPr>
        <w:t xml:space="preserve"> The pseudocode in our report maps directly to our Python implementation line by line."</w:t>
      </w:r>
    </w:p>
    <w:p>
      <w:pPr>
        <w:spacing w:before="80" w:after="40"/>
        <w:ind w:left="360"/>
      </w:pPr>
      <w:r>
        <w:rPr>
          <w:rFonts w:ascii="Calibri" w:hAnsi="Calibri"/>
          <w:b/>
          <w:color w:val="555555"/>
          <w:sz w:val="21"/>
        </w:rPr>
        <w:t>If the examiner asks:</w:t>
      </w:r>
    </w:p>
    <w:p>
      <w:pPr>
        <w:spacing w:after="80"/>
        <w:ind w:left="576"/>
      </w:pPr>
      <w:r>
        <w:rPr>
          <w:rFonts w:ascii="Calibri" w:hAnsi="Calibri"/>
          <w:b/>
          <w:color w:val="111111"/>
          <w:sz w:val="20"/>
        </w:rPr>
        <w:t>• Q: "Why is 70% the threshold?"</w:t>
        <w:br/>
        <w:t xml:space="preserve">  A: </w:t>
      </w:r>
      <w:r>
        <w:rPr>
          <w:rFonts w:ascii="Calibri" w:hAnsi="Calibri"/>
          <w:color w:val="111111"/>
          <w:sz w:val="20"/>
        </w:rPr>
        <w:t>70% is Amazon's recommended baseline for object classification. Anything below 70% introduces too many false positives.</w:t>
      </w:r>
    </w:p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Slide 8: Lambda Handler Implementation (Review 2 — Column AC)</w:t>
      </w:r>
    </w:p>
    <w:p>
      <w:pPr>
        <w:spacing w:before="40" w:after="40"/>
      </w:pPr>
      <w:r>
        <w:rPr>
          <w:rFonts w:ascii="Calibri" w:hAnsi="Calibri"/>
          <w:b/>
          <w:color w:val="111111"/>
          <w:sz w:val="22"/>
        </w:rPr>
        <w:t>What to say: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  <w:t>"Looking at 'lambda/handler.py', we implemented four key production practices:</w:t>
        <w:br/>
        <w:br/>
        <w:t xml:space="preserve">1. </w:t>
      </w:r>
      <w:r>
        <w:rPr>
          <w:rFonts w:ascii="Calibri" w:hAnsi="Calibri"/>
          <w:b/>
          <w:color w:val="111111"/>
          <w:sz w:val="22"/>
        </w:rPr>
        <w:t>Global Client Initialization:</w:t>
      </w:r>
      <w:r>
        <w:rPr>
          <w:rFonts w:ascii="Calibri" w:hAnsi="Calibri"/>
          <w:color w:val="111111"/>
          <w:sz w:val="22"/>
        </w:rPr>
        <w:t xml:space="preserve"> We initialize boto3 clients outside the 'lambda_handler' function. Lambda reuses execution containers across warm invocations. Keeping clients global reuses TCP connection pools, saving </w:t>
      </w:r>
      <w:r>
        <w:rPr>
          <w:rFonts w:ascii="Calibri" w:hAnsi="Calibri"/>
          <w:b/>
          <w:color w:val="111111"/>
          <w:sz w:val="22"/>
        </w:rPr>
        <w:t>100 to 200 ms</w:t>
      </w:r>
      <w:r>
        <w:rPr>
          <w:rFonts w:ascii="Calibri" w:hAnsi="Calibri"/>
          <w:color w:val="111111"/>
          <w:sz w:val="22"/>
        </w:rPr>
        <w:t xml:space="preserve"> per invocation.</w:t>
        <w:br/>
        <w:t xml:space="preserve">2. </w:t>
      </w:r>
      <w:r>
        <w:rPr>
          <w:rFonts w:ascii="Calibri" w:hAnsi="Calibri"/>
          <w:b/>
          <w:color w:val="111111"/>
          <w:sz w:val="22"/>
        </w:rPr>
        <w:t>Environment Variables:</w:t>
      </w:r>
      <w:r>
        <w:rPr>
          <w:rFonts w:ascii="Calibri" w:hAnsi="Calibri"/>
          <w:color w:val="111111"/>
          <w:sz w:val="22"/>
        </w:rPr>
        <w:t xml:space="preserve"> Table name, confidence threshold (70%), and max labels (10) are read from environment variables. We can adjust thresholds without touching code.</w:t>
        <w:br/>
        <w:t xml:space="preserve">3. </w:t>
      </w:r>
      <w:r>
        <w:rPr>
          <w:rFonts w:ascii="Calibri" w:hAnsi="Calibri"/>
          <w:b/>
          <w:color w:val="111111"/>
          <w:sz w:val="22"/>
        </w:rPr>
        <w:t>DynamoDB Type Formatting:</w:t>
      </w:r>
      <w:r>
        <w:rPr>
          <w:rFonts w:ascii="Calibri" w:hAnsi="Calibri"/>
          <w:color w:val="111111"/>
          <w:sz w:val="22"/>
        </w:rPr>
        <w:t xml:space="preserve"> DynamoDB's native PutItem API requires explicit types ('S' for string, 'N' for number, 'L' for list, 'M' for map). We format each label into a structured map with Name, Confidence, and Parent categories.</w:t>
        <w:br/>
        <w:t xml:space="preserve">4. </w:t>
      </w:r>
      <w:r>
        <w:rPr>
          <w:rFonts w:ascii="Calibri" w:hAnsi="Calibri"/>
          <w:b/>
          <w:color w:val="111111"/>
          <w:sz w:val="22"/>
        </w:rPr>
        <w:t>Error Handling &amp; HTTP 207:</w:t>
      </w:r>
      <w:r>
        <w:rPr>
          <w:rFonts w:ascii="Calibri" w:hAnsi="Calibri"/>
          <w:color w:val="111111"/>
          <w:sz w:val="22"/>
        </w:rPr>
        <w:t xml:space="preserve"> We catch 'ClientError' exceptions. In batch events with multiple images, if some succeed and some fail, our handler returns </w:t>
      </w:r>
      <w:r>
        <w:rPr>
          <w:rFonts w:ascii="Calibri" w:hAnsi="Calibri"/>
          <w:b/>
          <w:color w:val="111111"/>
          <w:sz w:val="22"/>
        </w:rPr>
        <w:t>HTTP 207 Multi-Status</w:t>
      </w:r>
      <w:r>
        <w:rPr>
          <w:rFonts w:ascii="Calibri" w:hAnsi="Calibri"/>
          <w:color w:val="111111"/>
          <w:sz w:val="22"/>
        </w:rPr>
        <w:t>, reporting exact success and error counts."</w:t>
      </w:r>
    </w:p>
    <w:p>
      <w:pPr>
        <w:spacing w:before="80" w:after="40"/>
        <w:ind w:left="360"/>
      </w:pPr>
      <w:r>
        <w:rPr>
          <w:rFonts w:ascii="Calibri" w:hAnsi="Calibri"/>
          <w:b/>
          <w:color w:val="555555"/>
          <w:sz w:val="21"/>
        </w:rPr>
        <w:t>If the examiner asks:</w:t>
      </w:r>
    </w:p>
    <w:p>
      <w:pPr>
        <w:spacing w:after="80"/>
        <w:ind w:left="576"/>
      </w:pPr>
      <w:r>
        <w:rPr>
          <w:rFonts w:ascii="Calibri" w:hAnsi="Calibri"/>
          <w:b/>
          <w:color w:val="111111"/>
          <w:sz w:val="20"/>
        </w:rPr>
        <w:t>• Q: "Why initialize clients outside the handler?"</w:t>
        <w:br/>
        <w:t xml:space="preserve">  A: </w:t>
      </w:r>
      <w:r>
        <w:rPr>
          <w:rFonts w:ascii="Calibri" w:hAnsi="Calibri"/>
          <w:color w:val="111111"/>
          <w:sz w:val="20"/>
        </w:rPr>
        <w:t>Execution container reuse. Global code runs once during cold start. Warm starts reuse existing HTTPS connections, saving 100-200ms per request.</w:t>
      </w:r>
    </w:p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Slide 9: Benchmark Results &amp; Analysis (Review 2 — Column AE)</w:t>
      </w:r>
    </w:p>
    <w:p>
      <w:pPr>
        <w:spacing w:before="40" w:after="40"/>
      </w:pPr>
      <w:r>
        <w:rPr>
          <w:rFonts w:ascii="Calibri" w:hAnsi="Calibri"/>
          <w:b/>
          <w:color w:val="111111"/>
          <w:sz w:val="22"/>
        </w:rPr>
        <w:t>What to say: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  <w:t>"In Section 7 of our report, we benchmarked the pipeline across four image categories:</w:t>
        <w:br/>
        <w:t xml:space="preserve">1. </w:t>
      </w:r>
      <w:r>
        <w:rPr>
          <w:rFonts w:ascii="Calibri" w:hAnsi="Calibri"/>
          <w:b/>
          <w:color w:val="111111"/>
          <w:sz w:val="22"/>
        </w:rPr>
        <w:t>Landscape (1.05 MB):</w:t>
      </w:r>
      <w:r>
        <w:rPr>
          <w:rFonts w:ascii="Calibri" w:hAnsi="Calibri"/>
          <w:color w:val="111111"/>
          <w:sz w:val="22"/>
        </w:rPr>
        <w:t xml:space="preserve"> Detected 'Mountain' at 99.45% and 'Tree' in 412 ms.</w:t>
        <w:br/>
        <w:t xml:space="preserve">2. </w:t>
      </w:r>
      <w:r>
        <w:rPr>
          <w:rFonts w:ascii="Calibri" w:hAnsi="Calibri"/>
          <w:b/>
          <w:color w:val="111111"/>
          <w:sz w:val="22"/>
        </w:rPr>
        <w:t>Urban Street (2.30 MB):</w:t>
      </w:r>
      <w:r>
        <w:rPr>
          <w:rFonts w:ascii="Calibri" w:hAnsi="Calibri"/>
          <w:color w:val="111111"/>
          <w:sz w:val="22"/>
        </w:rPr>
        <w:t xml:space="preserve"> Detected 'Car' at 98.80% in 485 ms.</w:t>
        <w:br/>
        <w:t xml:space="preserve">3. </w:t>
      </w:r>
      <w:r>
        <w:rPr>
          <w:rFonts w:ascii="Calibri" w:hAnsi="Calibri"/>
          <w:b/>
          <w:color w:val="111111"/>
          <w:sz w:val="22"/>
        </w:rPr>
        <w:t>Office Desk (850 KB):</w:t>
      </w:r>
      <w:r>
        <w:rPr>
          <w:rFonts w:ascii="Calibri" w:hAnsi="Calibri"/>
          <w:color w:val="111111"/>
          <w:sz w:val="22"/>
        </w:rPr>
        <w:t xml:space="preserve"> Detected 'Laptop' at 97.10% in 388 ms.</w:t>
        <w:br/>
        <w:t xml:space="preserve">4. </w:t>
      </w:r>
      <w:r>
        <w:rPr>
          <w:rFonts w:ascii="Calibri" w:hAnsi="Calibri"/>
          <w:b/>
          <w:color w:val="111111"/>
          <w:sz w:val="22"/>
        </w:rPr>
        <w:t>Portrait (1.80 MB):</w:t>
      </w:r>
      <w:r>
        <w:rPr>
          <w:rFonts w:ascii="Calibri" w:hAnsi="Calibri"/>
          <w:color w:val="111111"/>
          <w:sz w:val="22"/>
        </w:rPr>
        <w:t xml:space="preserve"> Detected 'Person' and 'Smile' at 99.12% in 440 ms.</w:t>
        <w:br/>
        <w:br/>
        <w:t xml:space="preserve">Across all test cases, classification accuracy was </w:t>
      </w:r>
      <w:r>
        <w:rPr>
          <w:rFonts w:ascii="Calibri" w:hAnsi="Calibri"/>
          <w:b/>
          <w:color w:val="111111"/>
          <w:sz w:val="22"/>
        </w:rPr>
        <w:t>100%</w:t>
      </w:r>
      <w:r>
        <w:rPr>
          <w:rFonts w:ascii="Calibri" w:hAnsi="Calibri"/>
          <w:color w:val="111111"/>
          <w:sz w:val="22"/>
        </w:rPr>
        <w:t xml:space="preserve">, DynamoDB writes succeeded on the first attempt, and average total latency was </w:t>
      </w:r>
      <w:r>
        <w:rPr>
          <w:rFonts w:ascii="Calibri" w:hAnsi="Calibri"/>
          <w:b/>
          <w:color w:val="111111"/>
          <w:sz w:val="22"/>
        </w:rPr>
        <w:t>842 ms</w:t>
      </w:r>
      <w:r>
        <w:rPr>
          <w:rFonts w:ascii="Calibri" w:hAnsi="Calibri"/>
          <w:color w:val="111111"/>
          <w:sz w:val="22"/>
        </w:rPr>
        <w:t>.</w:t>
        <w:br/>
        <w:t>We also acknowledge limitations: our test set was four clean images. In real life with blurry or dark images, confidence scores would naturally be lower."</w:t>
      </w:r>
    </w:p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Slide 10: Literature Survey &amp; Related Works (Review 1 — Column AA)</w:t>
      </w:r>
    </w:p>
    <w:p>
      <w:pPr>
        <w:spacing w:before="40" w:after="40"/>
      </w:pPr>
      <w:r>
        <w:rPr>
          <w:rFonts w:ascii="Calibri" w:hAnsi="Calibri"/>
          <w:b/>
          <w:color w:val="111111"/>
          <w:sz w:val="22"/>
        </w:rPr>
        <w:t>What to say: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  <w:t>"Section 2 of our report presents Table 1, comparing three deployment models:</w:t>
        <w:br/>
        <w:t xml:space="preserve">1. </w:t>
      </w:r>
      <w:r>
        <w:rPr>
          <w:rFonts w:ascii="Calibri" w:hAnsi="Calibri"/>
          <w:b/>
          <w:color w:val="111111"/>
          <w:sz w:val="22"/>
        </w:rPr>
        <w:t>Traditional VM:</w:t>
      </w:r>
      <w:r>
        <w:rPr>
          <w:rFonts w:ascii="Calibri" w:hAnsi="Calibri"/>
          <w:color w:val="111111"/>
          <w:sz w:val="22"/>
        </w:rPr>
        <w:t xml:space="preserve"> Always on, bills 24/7, high maintenance, and takes 2 to 5 minutes to scale.</w:t>
        <w:br/>
        <w:t xml:space="preserve">2. </w:t>
      </w:r>
      <w:r>
        <w:rPr>
          <w:rFonts w:ascii="Calibri" w:hAnsi="Calibri"/>
          <w:b/>
          <w:color w:val="111111"/>
          <w:sz w:val="22"/>
        </w:rPr>
        <w:t>Custom Models in Lambda (e.g. PyTorch):</w:t>
      </w:r>
      <w:r>
        <w:rPr>
          <w:rFonts w:ascii="Calibri" w:hAnsi="Calibri"/>
          <w:color w:val="111111"/>
          <w:sz w:val="22"/>
        </w:rPr>
        <w:t xml:space="preserve"> Zero idle cost, but as proven by Wang et al. in USENIX ATC 2018, loading neural network weights causes </w:t>
      </w:r>
      <w:r>
        <w:rPr>
          <w:rFonts w:ascii="Calibri" w:hAnsi="Calibri"/>
          <w:b/>
          <w:color w:val="111111"/>
          <w:sz w:val="22"/>
        </w:rPr>
        <w:t>3 to 10 second cold starts</w:t>
      </w:r>
      <w:r>
        <w:rPr>
          <w:rFonts w:ascii="Calibri" w:hAnsi="Calibri"/>
          <w:color w:val="111111"/>
          <w:sz w:val="22"/>
        </w:rPr>
        <w:t>.</w:t>
        <w:br/>
        <w:t xml:space="preserve">3. </w:t>
      </w:r>
      <w:r>
        <w:rPr>
          <w:rFonts w:ascii="Calibri" w:hAnsi="Calibri"/>
          <w:b/>
          <w:color w:val="111111"/>
          <w:sz w:val="22"/>
        </w:rPr>
        <w:t>Our Managed Rekognition Pipeline:</w:t>
      </w:r>
      <w:r>
        <w:rPr>
          <w:rFonts w:ascii="Calibri" w:hAnsi="Calibri"/>
          <w:color w:val="111111"/>
          <w:sz w:val="22"/>
        </w:rPr>
        <w:t xml:space="preserve"> Managed vision endpoints are pre-warmed on AWS GPU hardware. Our cold start is only </w:t>
      </w:r>
      <w:r>
        <w:rPr>
          <w:rFonts w:ascii="Calibri" w:hAnsi="Calibri"/>
          <w:b/>
          <w:color w:val="111111"/>
          <w:sz w:val="22"/>
        </w:rPr>
        <w:t>~250 ms</w:t>
      </w:r>
      <w:r>
        <w:rPr>
          <w:rFonts w:ascii="Calibri" w:hAnsi="Calibri"/>
          <w:color w:val="111111"/>
          <w:sz w:val="22"/>
        </w:rPr>
        <w:t xml:space="preserve">, and warm executions take </w:t>
      </w:r>
      <w:r>
        <w:rPr>
          <w:rFonts w:ascii="Calibri" w:hAnsi="Calibri"/>
          <w:b/>
          <w:color w:val="111111"/>
          <w:sz w:val="22"/>
        </w:rPr>
        <w:t>~450 ms</w:t>
      </w:r>
      <w:r>
        <w:rPr>
          <w:rFonts w:ascii="Calibri" w:hAnsi="Calibri"/>
          <w:color w:val="111111"/>
          <w:sz w:val="22"/>
        </w:rPr>
        <w:t>.</w:t>
        <w:br/>
        <w:br/>
        <w:t>Our report cites 10 academic and industry sources, including the UC Berkeley paper by Jonas et al. on serverless programming."</w:t>
      </w:r>
    </w:p>
    <w:p>
      <w:pPr>
        <w:spacing w:before="80" w:after="160"/>
        <w:ind w:left="360"/>
      </w:pPr>
      <w:r>
        <w:rPr>
          <w:rFonts w:ascii="Calibri" w:hAnsi="Calibri"/>
          <w:b/>
          <w:color w:val="1B365D"/>
          <w:sz w:val="21"/>
        </w:rPr>
        <w:t xml:space="preserve">Transition cue: </w:t>
      </w:r>
      <w:r>
        <w:rPr>
          <w:rFonts w:ascii="Calibri" w:hAnsi="Calibri"/>
          <w:i/>
          <w:sz w:val="21"/>
        </w:rPr>
        <w:t>"I will now hand back to Aniruddh to cover our IAM security and SAM deployment."</w:t>
      </w:r>
    </w:p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Konark's Rapid-Fire Defense Cheat Sheet (Key Answers)</w:t>
      </w:r>
    </w:p>
    <w:p>
      <w:pPr>
        <w:spacing w:before="40" w:after="40"/>
      </w:pPr>
      <w:r>
        <w:rPr>
          <w:rFonts w:ascii="Calibri" w:hAnsi="Calibri"/>
          <w:b/>
          <w:color w:val="111111"/>
          <w:sz w:val="22"/>
        </w:rPr>
        <w:t>What to say: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</w:r>
      <w:r>
        <w:rPr>
          <w:rFonts w:ascii="Calibri" w:hAnsi="Calibri"/>
          <w:b/>
          <w:color w:val="111111"/>
          <w:sz w:val="22"/>
        </w:rPr>
        <w:t>Q: Why DynamoDB instead of MySQL?</w:t>
      </w:r>
      <w:r>
        <w:rPr>
          <w:rFonts w:ascii="Calibri" w:hAnsi="Calibri"/>
          <w:color w:val="111111"/>
          <w:sz w:val="22"/>
        </w:rPr>
        <w:br/>
        <w:t>A: DynamoDB is a serverless NoSQL database that connects over HTTP APIs and scales with Lambda concurrency without connection pool limits. It stores lists of maps natively without schema migrations.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</w:r>
      <w:r>
        <w:rPr>
          <w:rFonts w:ascii="Calibri" w:hAnsi="Calibri"/>
          <w:b/>
          <w:color w:val="111111"/>
          <w:sz w:val="22"/>
        </w:rPr>
        <w:t>Q: What is HTTP 207?</w:t>
      </w:r>
      <w:r>
        <w:rPr>
          <w:rFonts w:ascii="Calibri" w:hAnsi="Calibri"/>
          <w:color w:val="111111"/>
          <w:sz w:val="22"/>
        </w:rPr>
        <w:br/>
        <w:t>A: HTTP 207 Multi-Status communicates partial success in batch processing when some records succeed and others fail.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</w:r>
      <w:r>
        <w:rPr>
          <w:rFonts w:ascii="Calibri" w:hAnsi="Calibri"/>
          <w:b/>
          <w:color w:val="111111"/>
          <w:sz w:val="22"/>
        </w:rPr>
        <w:t>Q: Why not train your own model?</w:t>
      </w:r>
      <w:r>
        <w:rPr>
          <w:rFonts w:ascii="Calibri" w:hAnsi="Calibri"/>
          <w:color w:val="111111"/>
          <w:sz w:val="22"/>
        </w:rPr>
        <w:br/>
        <w:t>A: For general object detection, Amazon Rekognition gives production-ready accuracy with zero model training, zero dataset curation, and zero GPU maintenance.</w:t>
      </w:r>
    </w:p>
    <w:p>
      <w:pPr>
        <w:spacing w:after="120" w:line="276" w:lineRule="auto"/>
        <w:ind w:left="360"/>
      </w:pPr>
      <w:r>
        <w:rPr>
          <w:rFonts w:ascii="Calibri" w:hAnsi="Calibri"/>
          <w:color w:val="111111"/>
          <w:sz w:val="22"/>
        </w:rPr>
      </w:r>
      <w:r>
        <w:rPr>
          <w:rFonts w:ascii="Calibri" w:hAnsi="Calibri"/>
          <w:b/>
          <w:color w:val="111111"/>
          <w:sz w:val="22"/>
        </w:rPr>
        <w:t>Q: What is the bottleneck in the pipeline?</w:t>
      </w:r>
      <w:r>
        <w:rPr>
          <w:rFonts w:ascii="Calibri" w:hAnsi="Calibri"/>
          <w:color w:val="111111"/>
          <w:sz w:val="22"/>
        </w:rPr>
        <w:br/>
        <w:t>A: Amazon Rekognition inference (400-600ms), because it executes a multi-layer deep convolutional neural network.</w:t>
      </w:r>
    </w:p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