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5 OF 8 · WEEKS 25–30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Sustaining the Teacher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Wellbeing and Workload at the Mid-Year Point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Grounded &amp; Well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5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Sustaining the Teacher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5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Sustaining the Teacher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teacher answers parent WhatsApp messages until 10–11pm most weeknights, with no clear boundary.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5, all subjects, Foundation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stated cut-off of 6pm for messages, with an auto-reply noting next-morning response, held for two weeks.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parent complaints recorded; the teacher reported the first genuinely quiet evenings of the term, though residual guilt about the cut-off persisted through week two.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— to be replaced with a real Cycle 5 card from your first cohort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Any grade, Wellbeing, Low-tech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Structural-change model of burnout intervention, applied via the Anubhav Loop.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2026-07-24T14:37:06.210Z</dcterms:created>
  <dcterms:modified xsi:type="dcterms:W3CDTF">2026-07-24T14:37:06.210Z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