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7 OF 8 · WEEKS 37–42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Inclusion &amp; Differentiation — Reading Brief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Designing for Variability From the Start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Read this before Session A. It takes about five minutes and is the same synthesis your facilitator will summarise live — reading it in advance means Session A can move straight to your own classroom problem.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This Cycle's Global Practice Briefing</w:t>
      </w:r>
    </w:p>
    <w:p>
      <w:pPr>
        <w:spacing w:after="160" w:line="300"/>
      </w:pPr>
      <w:r>
        <w:t xml:space="preserve">Universal Design for Learning research draws a sharp and useful distinction from traditional differentiated instruction: differentiation typically reacts to individual student needs one at a time, while UDL anticipates variability across an entire class and builds multiple means of engagement, representation, and expression into a task from the start. This is not a marginal difference in effect size — one controlled comparison found students taught with UDL principles were engaged for 44 of 60 minutes, against 19 minutes in a matched control class. The same research base is clear that implementation depends heavily on professional development and a supportive structure, not individual willpower; class size, physical resources, and organisational backing all shape how much flexibility a teacher can actually offer. This cycle's Global Practice Briefing asks teachers to pick one recurring task — a worksheet, a reading, a way of demonstrating understanding — and redesign it once with multiple entry points built in, rather than creating a new one-off accommodation every time a new need appears.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What To Look For In Your Own Classroom Before Session 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Redesign one task using a Universal Design for Learning lens, rather than reacting case-by-case.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Distinguish anticipating learner variability (UDL) from reacting to it after the fact (traditional differentiation).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Trial a change that helps more than one student at once, not a single individualised fix.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Two Problems Like The Ones You Might Bring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teacher is making one-off accommodations for individual students reactively, and it's becoming unsustainable.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student with limited English proficiency and a student with a reading difficulty both struggle with the same worksheet, for different reasons.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One Question To Sit With</w:t>
      </w:r>
    </w:p>
    <w:p>
      <w:pPr>
        <w:spacing w:after="160" w:line="300"/>
      </w:pPr>
      <w:r>
        <w:rPr>
          <w:i/>
          <w:iCs/>
        </w:rPr>
        <w:t xml:space="preserve">If nothing changed about this problem for the rest of the year, what would that cost — for the students, and for you? Bring your honest answer to the Problem Ledger.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2026-07-24T14:37:06.283Z</dcterms:created>
  <dcterms:modified xsi:type="dcterms:W3CDTF">2026-07-24T14:37:06.283Z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