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9A227"/>
          <w:spacing w:val="20"/>
          <w:sz w:val="18"/>
          <w:szCs w:val="18"/>
        </w:rPr>
        <w:t xml:space="preserve">THE ANUBHAV MODEL · CYCLE 2 OF 8 · WEEKS 7–12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Engagement &amp; Motivation — Practice Card</w:t>
      </w:r>
    </w:p>
    <w:p>
      <w:pPr>
        <w:spacing w:after="240"/>
      </w:pPr>
      <w:r>
        <w:rPr>
          <w:i/>
          <w:iCs/>
          <w:color w:val="666666"/>
          <w:sz w:val="24"/>
          <w:szCs w:val="24"/>
        </w:rPr>
        <w:t xml:space="preserve">Reaching Reluctant and Disengaged Learners</w:t>
      </w:r>
    </w:p>
    <w:p>
      <w:pPr>
        <w:pBdr>
          <w:bottom w:val="single" w:color="1F3864" w:sz="8" w:space="4"/>
        </w:pBdr>
        <w:spacing w:after="260"/>
      </w:pPr>
      <w:r>
        <w:rPr>
          <w:color w:val="555555"/>
          <w:sz w:val="20"/>
          <w:szCs w:val="20"/>
        </w:rPr>
        <w:t xml:space="preserve">Outcome strand: Adaptive Problem-Solver    |    Delivery: works at both Foundation and Enhanced tier</w:t>
      </w:r>
    </w:p>
    <w:p>
      <w:pPr>
        <w:spacing w:after="160" w:line="300"/>
      </w:pPr>
      <w:r>
        <w:rPr>
          <w:i/>
          <w:iCs/>
          <w:color w:val="555555"/>
        </w:rPr>
        <w:t xml:space="preserve">Two cards follow: a blank template for facilitators to print and hand out at the Module Mint Workshop, and a filled illustrative exemplar showing the standard of specificity and honesty a real card should meet.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Blank Template</w:t>
      </w:r>
    </w:p>
    <w:tbl>
      <w:tblPr>
        <w:tblW w:type="dxa" w:w="9026"/>
        <w:tblBorders>
          <w:top w:val="single" w:color="1F3864" w:sz="18"/>
          <w:left w:val="single" w:color="1F3864" w:sz="18"/>
          <w:bottom w:val="single" w:color="1F3864" w:sz="18"/>
          <w:right w:val="single" w:color="1F3864" w:sz="18"/>
          <w:insideH w:val="single" w:color="CCCCCC" w:sz="4"/>
          <w:insideV w:val="single" w:color="CCCCCC" w:sz="4"/>
        </w:tblBorders>
      </w:tblPr>
      <w:tblGrid>
        <w:gridCol w:w="2000"/>
        <w:gridCol w:w="7026"/>
      </w:tblGrid>
      <w:tr>
        <w:tc>
          <w:tcPr>
            <w:gridSpan w:val="2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C9A227"/>
                <w:spacing w:val="20"/>
                <w:sz w:val="17"/>
                <w:szCs w:val="17"/>
              </w:rPr>
              <w:t xml:space="preserve">CYCLE 2 · PRACTICE CARD · BLANK TEMPLATE</w:t>
            </w:r>
          </w:p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Engagement &amp; Motivation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Problem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________________________________________________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Context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Grade: _____  Subject: _____  Class size: _____  Tier: Foundation / Enhanced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What was tried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________________________________________________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What happened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________________________________________________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Author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________________________________________________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Tags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________________________________________________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Lineage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What prior practice or tradition did this build on? ________________</w:t>
            </w:r>
          </w:p>
        </w:tc>
      </w:tr>
    </w:tbl>
    <w:p>
      <w:pPr>
        <w:spacing w:before="400"/>
      </w:pP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Illustrative Exemplar</w:t>
      </w:r>
    </w:p>
    <w:tbl>
      <w:tblPr>
        <w:tblW w:type="dxa" w:w="9026"/>
        <w:tblBorders>
          <w:top w:val="single" w:color="1F3864" w:sz="18"/>
          <w:left w:val="single" w:color="1F3864" w:sz="18"/>
          <w:bottom w:val="single" w:color="1F3864" w:sz="18"/>
          <w:right w:val="single" w:color="1F3864" w:sz="18"/>
          <w:insideH w:val="single" w:color="CCCCCC" w:sz="4"/>
          <w:insideV w:val="single" w:color="CCCCCC" w:sz="4"/>
        </w:tblBorders>
      </w:tblPr>
      <w:tblGrid>
        <w:gridCol w:w="2000"/>
        <w:gridCol w:w="7026"/>
      </w:tblGrid>
      <w:tr>
        <w:tc>
          <w:tcPr>
            <w:gridSpan w:val="2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C9A227"/>
                <w:spacing w:val="20"/>
                <w:sz w:val="17"/>
                <w:szCs w:val="17"/>
              </w:rPr>
              <w:t xml:space="preserve">CYCLE 2 · PRACTICE CARD · EXEMPLAR</w:t>
            </w:r>
          </w:p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Engagement &amp; Motivation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Problem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Six students refuse to read aloud in a mixed-ability Grade 4 class; two are meaningfully behind grade level.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Context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Grade 4, Literacy, class of 30, Foundation Tier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What was tried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Paired-reading blocks three times a week for four weeks, each pair choosing from three levelled texts.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What happened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Four of six students voluntarily read aloud by week four; the remaining two read to their partner only, which the teacher counted as real progress.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Author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Illustrative exemplar (Worked Example 1 from the program design document)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Tags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Grade 3–5, Literacy, Low-tech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Lineage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Paired reading + choice-based text selection; near-peer tutoring in the spirit of guru-shishya mentorship.</w:t>
            </w:r>
          </w:p>
        </w:tc>
      </w:tr>
    </w:tbl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2026-07-24T14:37:06.042Z</dcterms:created>
  <dcterms:modified xsi:type="dcterms:W3CDTF">2026-07-24T14:37:06.042Z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