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3 OF 8 · WEEKS 13–18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Core Pedagogy — Video Outline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Active Learning in Mixed-Ability Classrooms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Working title: "Stations Without an Assistant." Estimated runtime: 1.7–3 minutes. Format: narrated slides — each slide holds a single heading and a simple supporting image or icon; the voiceover script below is written to be read at a natural, unhurried pace.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Production Notes</w:t>
      </w:r>
    </w:p>
    <w:p>
      <w:pPr>
        <w:spacing w:after="160" w:line="300"/>
      </w:pPr>
      <w:r>
        <w:t xml:space="preserve">Record voiceover first, then time slide transitions to the recording — do not rush the script to fit a preset slide duration. Use the brand palette (deep navy background or text, warm gold accent) and keep on-screen text to the heading only; the detail lives in the voiceover, not on the slide.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Slide-by-Slide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48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 Screen</w:t>
            </w:r>
          </w:p>
        </w:tc>
        <w:tc>
          <w:tcPr>
            <w:tcW w:type="dxa" w:w="48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Voiceover Script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One teacher, forty students, no aide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Station rotation exists precisely for this constraint — you're never running more than one group's worth of live attention at a time.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Three stations, one recipe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Guided practice with you, peer-led review, and independent extension. Only one of the three needs your full attention at once.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 the data you already have</w:t>
            </w:r>
          </w:p>
        </w:tc>
        <w:tc>
          <w:tcPr>
            <w:tcW w:type="dxa" w:w="48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 exit ticket from Friday tells you Monday's grouping. You don't need new software — you need to actually look at what you already collect.</w:t>
            </w:r>
          </w:p>
        </w:tc>
      </w:tr>
      <w:tr>
        <w:tc>
          <w:tcPr>
            <w:tcW w:type="dxa" w:w="15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wobble is a result, not a failure</w:t>
            </w:r>
          </w:p>
        </w:tc>
        <w:tc>
          <w:tcPr>
            <w:tcW w:type="dxa" w:w="48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If one station falls apart, that's this cycle's most useful finding. Bring it back to the Ledger and redesign it together.</w:t>
            </w:r>
          </w:p>
        </w:tc>
      </w:tr>
    </w:tbl>
    <w:p>
      <w:pPr>
        <w:pStyle w:val="Heading2"/>
        <w:spacing w:after="140" w:before="300"/>
      </w:pPr>
      <w:r>
        <w:rPr>
          <w:b/>
          <w:bCs/>
          <w:color w:val="1F3864"/>
        </w:rPr>
        <w:t xml:space="preserve">Closing Card (every video ends the same way)</w:t>
      </w:r>
    </w:p>
    <w:p>
      <w:pPr>
        <w:spacing w:after="160" w:line="300"/>
      </w:pPr>
      <w:r>
        <w:t xml:space="preserve">On screen: "Bring one real problem to Session A." Voiceover: "That's it. One real problem from your own classroom. Everything else in this cycle builds from there."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2026-07-24T14:37:06.126Z</dcterms:created>
  <dcterms:modified xsi:type="dcterms:W3CDTF">2026-07-24T14:37:06.126Z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