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THE ANUBHAV MODEL</w:t>
      </w:r>
    </w:p>
    <w:p>
      <w:pPr>
        <w:spacing w:after="100" w:before="200"/>
        <w:jc w:val="center"/>
      </w:pPr>
      <w:r>
        <w:rPr>
          <w:color w:val="444444"/>
          <w:sz w:val="28"/>
          <w:szCs w:val="28"/>
        </w:rPr>
        <w:t xml:space="preserve">A Closed-Loop, Teacher-Authored Professional Learning System</w:t>
      </w:r>
    </w:p>
    <w:p>
      <w:pPr>
        <w:spacing w:after="600"/>
        <w:jc w:val="center"/>
      </w:pPr>
      <w:r>
        <w:rPr>
          <w:color w:val="444444"/>
          <w:sz w:val="28"/>
          <w:szCs w:val="28"/>
        </w:rPr>
        <w:t xml:space="preserve">for Working K-12 Teachers</w:t>
      </w:r>
    </w:p>
    <w:p>
      <w:pPr>
        <w:spacing w:after="1600"/>
        <w:jc w:val="center"/>
      </w:pPr>
      <w:r>
        <w:rPr>
          <w:i/>
          <w:iCs/>
          <w:color w:val="1F3864"/>
          <w:sz w:val="24"/>
          <w:szCs w:val="24"/>
        </w:rPr>
        <w:t xml:space="preserve">“Turning every classroom into the curriculum’s next chapter”</w:t>
      </w:r>
    </w:p>
    <w:p>
      <w:pPr>
        <w:spacing w:before="1800"/>
        <w:jc w:val="center"/>
      </w:pPr>
      <w:r>
        <w:rPr>
          <w:sz w:val="22"/>
          <w:szCs w:val="22"/>
        </w:rPr>
        <w:t xml:space="preserve">Prepared for Anirudha</w:t>
      </w:r>
    </w:p>
    <w:p>
      <w:pPr>
        <w:jc w:val="center"/>
      </w:pPr>
      <w:r>
        <w:rPr>
          <w:sz w:val="22"/>
          <w:szCs w:val="22"/>
        </w:rPr>
        <w:t xml:space="preserve">24 July 2026</w:t>
      </w:r>
    </w:p>
    <w:p>
      <w:r>
        <w:br w:type="page"/>
      </w:r>
    </w:p>
    <w:p>
      <w:pPr>
        <w:pStyle w:val="Heading1"/>
        <w:spacing w:after="200" w:before="400"/>
      </w:pPr>
      <w:r>
        <w:rPr>
          <w:b/>
          <w:bCs/>
        </w:rPr>
        <w:t xml:space="preserve">1. Executive Summary</w:t>
      </w:r>
    </w:p>
    <w:p>
      <w:pPr>
        <w:spacing w:after="160" w:line="300"/>
      </w:pPr>
      <w:r>
        <w:t xml:space="preserve">Most teacher training treats teachers as an audience: someone designs a curriculum in advance, teachers sit through it, and whatever changes in the classroom afterward is left to chance. The Anubhav Model inverts that relationship. It is built around one repeating mechanism — the Anubhav Loop — in which teachers bring a real, unresolved classroom problem into a session, leave with a specific plan built from the best available practice old and new, try it with their actual students, and return a few weeks later to report what happened. What worked is written up, credited to the teacher who found it, and added to a living module library that the next cohort draws from. Over enough cycles, the program’s own curriculum becomes substantially authored by its participants’ field-tested successes, rather than fixed once at the top and delivered downward.</w:t>
      </w:r>
    </w:p>
    <w:p>
      <w:pPr>
        <w:spacing w:after="160" w:line="300"/>
      </w:pPr>
      <w:r>
        <w:t xml:space="preserve">No single piece of this is unprecedented. Japan’s lesson study, instructional coaching, action research, adult learning theory, communities of practice, and India’s own guru-shishya tradition each contribute a piece, and each is credited by name in Section 3. What does not appear to exist elsewhere, based on the research conducted for this document, is the specific combination: a closed, compounding loop with built-in authorship and redistribution, engineered to run at two resource tiers — voice-note-and-paper for low-connectivity schools, video-and-AI-assisted for well-resourced ones — inside teachers’ existing paid hours rather than on top of them. That combination, and the “Module Mint” mechanism that turns lived classroom experience into shareable curriculum, is the specific claim of originality this document makes.</w:t>
      </w:r>
    </w:p>
    <w:p>
      <w:pPr>
        <w:spacing w:after="240" w:line="320"/>
      </w:pPr>
      <w:r>
        <w:rPr>
          <w:i/>
          <w:iCs/>
          <w:color w:val="444444"/>
        </w:rPr>
        <w:t xml:space="preserve">A note on honesty: no training program can be verified, by search or otherwise, as having “no parallel ever.” This document does not claim that. It claims a specific, defensible thing — a new configuration of well-evidenced parts — and says so plainly in Section 14.</w:t>
      </w:r>
    </w:p>
    <w:p>
      <w:pPr>
        <w:pStyle w:val="Heading1"/>
        <w:spacing w:after="200" w:before="400"/>
      </w:pPr>
      <w:r>
        <w:rPr>
          <w:b/>
          <w:bCs/>
        </w:rPr>
        <w:t xml:space="preserve">2. Why Most Teacher Training Fails</w:t>
      </w:r>
    </w:p>
    <w:p>
      <w:pPr>
        <w:spacing w:after="160" w:line="300"/>
      </w:pPr>
      <w:r>
        <w:t xml:space="preserve">The research on this question is unusually clear for an education topic. Linda Darling-Hammond and colleagues at the Learning Policy Institute reviewed 35 methodologically rigorous studies linking professional development to changed teaching practice and better student outcomes. Effective programs shared seven features: they were content- and pedagogy-specific rather than generic; they used active learning rather than lecture; they built in collaboration; they modelled effective practice concretely; they included coaching and expert support; they built in feedback and reflection; and they were sustained over time rather than delivered as a single event. Most national and institutional programs — including well-intentioned ones — get one or two of these right and treat the rest as optional.</w:t>
      </w:r>
    </w:p>
    <w:p>
      <w:pPr>
        <w:spacing w:after="160" w:line="300"/>
      </w:pPr>
      <w:r>
        <w:t xml:space="preserve">Three specific failure patterns recur:</w:t>
      </w:r>
    </w:p>
    <w:p>
      <w:pPr>
        <w:pStyle w:val="ListParagraph"/>
        <w:numPr>
          <w:ilvl w:val="0"/>
          <w:numId w:val="2"/>
        </w:numPr>
        <w:spacing w:after="100" w:line="280"/>
      </w:pPr>
      <w:r>
        <w:t xml:space="preserve">The one-off workshop. A single day or a single module, disconnected from what happens next in the teacher’s own classroom, with no mechanism to find out whether anything changed.</w:t>
      </w:r>
    </w:p>
    <w:p>
      <w:pPr>
        <w:pStyle w:val="ListParagraph"/>
        <w:numPr>
          <w:ilvl w:val="0"/>
          <w:numId w:val="2"/>
        </w:numPr>
        <w:spacing w:after="100" w:line="280"/>
      </w:pPr>
      <w:r>
        <w:t xml:space="preserve">Top-down content mismatch. Centrally designed modules — even good ones, such as India’s NISHTHA programme under NEP 2020, which mandates 50 hours of continuous professional development per year and delivers multilingual content through the DIKSHA platform — are necessarily built before anyone knows what a specific teacher, in a specific classroom, is struggling with this term. Scale requires standardisation; standardisation loses the local problem.</w:t>
      </w:r>
    </w:p>
    <w:p>
      <w:pPr>
        <w:pStyle w:val="ListParagraph"/>
        <w:numPr>
          <w:ilvl w:val="0"/>
          <w:numId w:val="2"/>
        </w:numPr>
        <w:spacing w:after="100" w:line="280"/>
      </w:pPr>
      <w:r>
        <w:t xml:space="preserve">No loop back. Even strong workshops rarely ask teachers to return and report what happened when they tried the idea. Without that return step, nothing is learned about what actually worked, and nothing compounds from one cohort to the next.</w:t>
      </w:r>
    </w:p>
    <w:p>
      <w:pPr>
        <w:spacing w:after="160" w:line="300"/>
      </w:pPr>
      <w:r>
        <w:t xml:space="preserve">A fourth pattern is quieter but just as costly: teacher wellbeing is treated as a separate track from instructional training. 2025 systematic reviews of burnout interventions consistently find that wellbeing support only works when it is embedded in the actual rhythm of the work — autonomy, collaboration, and a supportive structure — not delivered as a stand-alone wellness session bolted onto an already full year.</w:t>
      </w:r>
    </w:p>
    <w:p>
      <w:r>
        <w:br w:type="page"/>
      </w:r>
    </w:p>
    <w:p>
      <w:pPr>
        <w:pStyle w:val="Heading1"/>
        <w:spacing w:after="200" w:before="400"/>
      </w:pPr>
      <w:r>
        <w:rPr>
          <w:b/>
          <w:bCs/>
        </w:rPr>
        <w:t xml:space="preserve">3. What We Synthesised — And What Is Actually New</w:t>
      </w:r>
    </w:p>
    <w:p>
      <w:pPr>
        <w:spacing w:after="160" w:line="300"/>
      </w:pPr>
      <w:r>
        <w:t xml:space="preserve">The table below names every major influence on this design and states plainly what was taken from it. This is deliberate: a program that claims innovation without showing its sources is not trustworthy, and a genuinely new combination of known, well-evidenced parts is a legitimate and often more reliable kind of innovation than something built from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Practice / Tradition</w:t>
            </w:r>
          </w:p>
        </w:tc>
        <w:tc>
          <w:tcPr>
            <w:tcW w:type="dxa" w:w="3700"/>
            <w:shd w:fill="1F3864" w:val="clear"/>
            <w:tcMar>
              <w:top w:type="dxa" w:w="100"/>
              <w:left w:type="dxa" w:w="120"/>
              <w:bottom w:type="dxa" w:w="100"/>
              <w:right w:type="dxa" w:w="120"/>
            </w:tcMar>
          </w:tcPr>
          <w:p>
            <w:r>
              <w:rPr>
                <w:b/>
                <w:bCs/>
                <w:color w:val="FFFFFF"/>
                <w:sz w:val="20"/>
                <w:szCs w:val="20"/>
              </w:rPr>
              <w:t xml:space="preserve">What The Anubhav Model Takes From It</w:t>
            </w:r>
          </w:p>
        </w:tc>
        <w:tc>
          <w:tcPr>
            <w:tcW w:type="dxa" w:w="2926"/>
            <w:shd w:fill="1F3864" w:val="clear"/>
            <w:tcMar>
              <w:top w:type="dxa" w:w="100"/>
              <w:left w:type="dxa" w:w="120"/>
              <w:bottom w:type="dxa" w:w="100"/>
              <w:right w:type="dxa" w:w="120"/>
            </w:tcMar>
          </w:tcPr>
          <w:p>
            <w:r>
              <w:rPr>
                <w:b/>
                <w:bCs/>
                <w:color w:val="FFFFFF"/>
                <w:sz w:val="20"/>
                <w:szCs w:val="20"/>
              </w:rPr>
              <w:t xml:space="preserve">Source</w:t>
            </w:r>
          </w:p>
        </w:tc>
      </w:tr>
      <w:tr>
        <w:tc>
          <w:tcPr>
            <w:tcW w:type="dxa" w:w="2400"/>
            <w:shd w:fill="FFFFFF" w:val="clear"/>
            <w:tcMar>
              <w:top w:type="dxa" w:w="100"/>
              <w:left w:type="dxa" w:w="120"/>
              <w:bottom w:type="dxa" w:w="100"/>
              <w:right w:type="dxa" w:w="120"/>
            </w:tcMar>
          </w:tcPr>
          <w:p>
            <w:r>
              <w:rPr>
                <w:sz w:val="20"/>
                <w:szCs w:val="20"/>
              </w:rPr>
              <w:t xml:space="preserve">Lesson Study (jugyou kenkyuu)</w:t>
            </w:r>
          </w:p>
        </w:tc>
        <w:tc>
          <w:tcPr>
            <w:tcW w:type="dxa" w:w="3700"/>
            <w:shd w:fill="FFFFFF" w:val="clear"/>
            <w:tcMar>
              <w:top w:type="dxa" w:w="100"/>
              <w:left w:type="dxa" w:w="120"/>
              <w:bottom w:type="dxa" w:w="100"/>
              <w:right w:type="dxa" w:w="120"/>
            </w:tcMar>
          </w:tcPr>
          <w:p>
            <w:r>
              <w:rPr>
                <w:sz w:val="20"/>
                <w:szCs w:val="20"/>
              </w:rPr>
              <w:t xml:space="preserve">Treat the real classroom as the site of research; collaborative planning around one concrete, observable lesson.</w:t>
            </w:r>
          </w:p>
        </w:tc>
        <w:tc>
          <w:tcPr>
            <w:tcW w:type="dxa" w:w="2926"/>
            <w:shd w:fill="FFFFFF" w:val="clear"/>
            <w:tcMar>
              <w:top w:type="dxa" w:w="100"/>
              <w:left w:type="dxa" w:w="120"/>
              <w:bottom w:type="dxa" w:w="100"/>
              <w:right w:type="dxa" w:w="120"/>
            </w:tcMar>
          </w:tcPr>
          <w:p>
            <w:r>
              <w:rPr>
                <w:sz w:val="20"/>
                <w:szCs w:val="20"/>
              </w:rPr>
              <w:t xml:space="preserve">Japan, 1890s–present</w:t>
            </w:r>
          </w:p>
        </w:tc>
      </w:tr>
      <w:tr>
        <w:tc>
          <w:tcPr>
            <w:tcW w:type="dxa" w:w="2400"/>
            <w:shd w:fill="F2F2F2" w:val="clear"/>
            <w:tcMar>
              <w:top w:type="dxa" w:w="100"/>
              <w:left w:type="dxa" w:w="120"/>
              <w:bottom w:type="dxa" w:w="100"/>
              <w:right w:type="dxa" w:w="120"/>
            </w:tcMar>
          </w:tcPr>
          <w:p>
            <w:r>
              <w:rPr>
                <w:sz w:val="20"/>
                <w:szCs w:val="20"/>
              </w:rPr>
              <w:t xml:space="preserve">Instructional coaching / Impact Cycle</w:t>
            </w:r>
          </w:p>
        </w:tc>
        <w:tc>
          <w:tcPr>
            <w:tcW w:type="dxa" w:w="3700"/>
            <w:shd w:fill="F2F2F2" w:val="clear"/>
            <w:tcMar>
              <w:top w:type="dxa" w:w="100"/>
              <w:left w:type="dxa" w:w="120"/>
              <w:bottom w:type="dxa" w:w="100"/>
              <w:right w:type="dxa" w:w="120"/>
            </w:tcMar>
          </w:tcPr>
          <w:p>
            <w:r>
              <w:rPr>
                <w:sz w:val="20"/>
                <w:szCs w:val="20"/>
              </w:rPr>
              <w:t xml:space="preserve">A three-step Identify → Learn → Improve structure; coach and teacher as equal partners, not evaluator and evaluated.</w:t>
            </w:r>
          </w:p>
        </w:tc>
        <w:tc>
          <w:tcPr>
            <w:tcW w:type="dxa" w:w="2926"/>
            <w:shd w:fill="F2F2F2" w:val="clear"/>
            <w:tcMar>
              <w:top w:type="dxa" w:w="100"/>
              <w:left w:type="dxa" w:w="120"/>
              <w:bottom w:type="dxa" w:w="100"/>
              <w:right w:type="dxa" w:w="120"/>
            </w:tcMar>
          </w:tcPr>
          <w:p>
            <w:r>
              <w:rPr>
                <w:sz w:val="20"/>
                <w:szCs w:val="20"/>
              </w:rPr>
              <w:t xml:space="preserve">Jim Knight, Instructional Coaching Group</w:t>
            </w:r>
          </w:p>
        </w:tc>
      </w:tr>
      <w:tr>
        <w:tc>
          <w:tcPr>
            <w:tcW w:type="dxa" w:w="2400"/>
            <w:shd w:fill="FFFFFF" w:val="clear"/>
            <w:tcMar>
              <w:top w:type="dxa" w:w="100"/>
              <w:left w:type="dxa" w:w="120"/>
              <w:bottom w:type="dxa" w:w="100"/>
              <w:right w:type="dxa" w:w="120"/>
            </w:tcMar>
          </w:tcPr>
          <w:p>
            <w:r>
              <w:rPr>
                <w:sz w:val="20"/>
                <w:szCs w:val="20"/>
              </w:rPr>
              <w:t xml:space="preserve">Action research</w:t>
            </w:r>
          </w:p>
        </w:tc>
        <w:tc>
          <w:tcPr>
            <w:tcW w:type="dxa" w:w="3700"/>
            <w:shd w:fill="FFFFFF" w:val="clear"/>
            <w:tcMar>
              <w:top w:type="dxa" w:w="100"/>
              <w:left w:type="dxa" w:w="120"/>
              <w:bottom w:type="dxa" w:w="100"/>
              <w:right w:type="dxa" w:w="120"/>
            </w:tcMar>
          </w:tcPr>
          <w:p>
            <w:r>
              <w:rPr>
                <w:sz w:val="20"/>
                <w:szCs w:val="20"/>
              </w:rPr>
              <w:t xml:space="preserve">Plan–Act–Observe–Reflect as a repeatable cycle; the teacher as researcher of their own practice.</w:t>
            </w:r>
          </w:p>
        </w:tc>
        <w:tc>
          <w:tcPr>
            <w:tcW w:type="dxa" w:w="2926"/>
            <w:shd w:fill="FFFFFF" w:val="clear"/>
            <w:tcMar>
              <w:top w:type="dxa" w:w="100"/>
              <w:left w:type="dxa" w:w="120"/>
              <w:bottom w:type="dxa" w:w="100"/>
              <w:right w:type="dxa" w:w="120"/>
            </w:tcMar>
          </w:tcPr>
          <w:p>
            <w:r>
              <w:rPr>
                <w:sz w:val="20"/>
                <w:szCs w:val="20"/>
              </w:rPr>
              <w:t xml:space="preserve">Kurt Lewin; classroom action-research tradition</w:t>
            </w:r>
          </w:p>
        </w:tc>
      </w:tr>
      <w:tr>
        <w:tc>
          <w:tcPr>
            <w:tcW w:type="dxa" w:w="2400"/>
            <w:shd w:fill="F2F2F2" w:val="clear"/>
            <w:tcMar>
              <w:top w:type="dxa" w:w="100"/>
              <w:left w:type="dxa" w:w="120"/>
              <w:bottom w:type="dxa" w:w="100"/>
              <w:right w:type="dxa" w:w="120"/>
            </w:tcMar>
          </w:tcPr>
          <w:p>
            <w:r>
              <w:rPr>
                <w:sz w:val="20"/>
                <w:szCs w:val="20"/>
              </w:rPr>
              <w:t xml:space="preserve">Andragogy</w:t>
            </w:r>
          </w:p>
        </w:tc>
        <w:tc>
          <w:tcPr>
            <w:tcW w:type="dxa" w:w="3700"/>
            <w:shd w:fill="F2F2F2" w:val="clear"/>
            <w:tcMar>
              <w:top w:type="dxa" w:w="100"/>
              <w:left w:type="dxa" w:w="120"/>
              <w:bottom w:type="dxa" w:w="100"/>
              <w:right w:type="dxa" w:w="120"/>
            </w:tcMar>
          </w:tcPr>
          <w:p>
            <w:r>
              <w:rPr>
                <w:sz w:val="20"/>
                <w:szCs w:val="20"/>
              </w:rPr>
              <w:t xml:space="preserve">Problem-centred, self-directed, relevance-driven design for adult learners.</w:t>
            </w:r>
          </w:p>
        </w:tc>
        <w:tc>
          <w:tcPr>
            <w:tcW w:type="dxa" w:w="2926"/>
            <w:shd w:fill="F2F2F2" w:val="clear"/>
            <w:tcMar>
              <w:top w:type="dxa" w:w="100"/>
              <w:left w:type="dxa" w:w="120"/>
              <w:bottom w:type="dxa" w:w="100"/>
              <w:right w:type="dxa" w:w="120"/>
            </w:tcMar>
          </w:tcPr>
          <w:p>
            <w:r>
              <w:rPr>
                <w:sz w:val="20"/>
                <w:szCs w:val="20"/>
              </w:rPr>
              <w:t xml:space="preserve">Malcolm Knowles</w:t>
            </w:r>
          </w:p>
        </w:tc>
      </w:tr>
      <w:tr>
        <w:tc>
          <w:tcPr>
            <w:tcW w:type="dxa" w:w="2400"/>
            <w:shd w:fill="FFFFFF" w:val="clear"/>
            <w:tcMar>
              <w:top w:type="dxa" w:w="100"/>
              <w:left w:type="dxa" w:w="120"/>
              <w:bottom w:type="dxa" w:w="100"/>
              <w:right w:type="dxa" w:w="120"/>
            </w:tcMar>
          </w:tcPr>
          <w:p>
            <w:r>
              <w:rPr>
                <w:sz w:val="20"/>
                <w:szCs w:val="20"/>
              </w:rPr>
              <w:t xml:space="preserve">Communities of practice</w:t>
            </w:r>
          </w:p>
        </w:tc>
        <w:tc>
          <w:tcPr>
            <w:tcW w:type="dxa" w:w="3700"/>
            <w:shd w:fill="FFFFFF" w:val="clear"/>
            <w:tcMar>
              <w:top w:type="dxa" w:w="100"/>
              <w:left w:type="dxa" w:w="120"/>
              <w:bottom w:type="dxa" w:w="100"/>
              <w:right w:type="dxa" w:w="120"/>
            </w:tcMar>
          </w:tcPr>
          <w:p>
            <w:r>
              <w:rPr>
                <w:sz w:val="20"/>
                <w:szCs w:val="20"/>
              </w:rPr>
              <w:t xml:space="preserve">A shared domain, sustained relationships, and ongoing joint activity around real problems.</w:t>
            </w:r>
          </w:p>
        </w:tc>
        <w:tc>
          <w:tcPr>
            <w:tcW w:type="dxa" w:w="2926"/>
            <w:shd w:fill="FFFFFF" w:val="clear"/>
            <w:tcMar>
              <w:top w:type="dxa" w:w="100"/>
              <w:left w:type="dxa" w:w="120"/>
              <w:bottom w:type="dxa" w:w="100"/>
              <w:right w:type="dxa" w:w="120"/>
            </w:tcMar>
          </w:tcPr>
          <w:p>
            <w:r>
              <w:rPr>
                <w:sz w:val="20"/>
                <w:szCs w:val="20"/>
              </w:rPr>
              <w:t xml:space="preserve">Jean Lave &amp; Etienne Wenger</w:t>
            </w:r>
          </w:p>
        </w:tc>
      </w:tr>
      <w:tr>
        <w:tc>
          <w:tcPr>
            <w:tcW w:type="dxa" w:w="2400"/>
            <w:shd w:fill="F2F2F2" w:val="clear"/>
            <w:tcMar>
              <w:top w:type="dxa" w:w="100"/>
              <w:left w:type="dxa" w:w="120"/>
              <w:bottom w:type="dxa" w:w="100"/>
              <w:right w:type="dxa" w:w="120"/>
            </w:tcMar>
          </w:tcPr>
          <w:p>
            <w:r>
              <w:rPr>
                <w:sz w:val="20"/>
                <w:szCs w:val="20"/>
              </w:rPr>
              <w:t xml:space="preserve">Singapore Teacher Growth Model</w:t>
            </w:r>
          </w:p>
        </w:tc>
        <w:tc>
          <w:tcPr>
            <w:tcW w:type="dxa" w:w="3700"/>
            <w:shd w:fill="F2F2F2" w:val="clear"/>
            <w:tcMar>
              <w:top w:type="dxa" w:w="100"/>
              <w:left w:type="dxa" w:w="120"/>
              <w:bottom w:type="dxa" w:w="100"/>
              <w:right w:type="dxa" w:w="120"/>
            </w:tcMar>
          </w:tcPr>
          <w:p>
            <w:r>
              <w:rPr>
                <w:sz w:val="20"/>
                <w:szCs w:val="20"/>
              </w:rPr>
              <w:t xml:space="preserve">Multiple outcome strands rather than instruction alone; mentorship, reflective practice, and a generous but structured PD-hour allotment.</w:t>
            </w:r>
          </w:p>
        </w:tc>
        <w:tc>
          <w:tcPr>
            <w:tcW w:type="dxa" w:w="2926"/>
            <w:shd w:fill="F2F2F2" w:val="clear"/>
            <w:tcMar>
              <w:top w:type="dxa" w:w="100"/>
              <w:left w:type="dxa" w:w="120"/>
              <w:bottom w:type="dxa" w:w="100"/>
              <w:right w:type="dxa" w:w="120"/>
            </w:tcMar>
          </w:tcPr>
          <w:p>
            <w:r>
              <w:rPr>
                <w:sz w:val="20"/>
                <w:szCs w:val="20"/>
              </w:rPr>
              <w:t xml:space="preserve">Singapore Ministry of Education</w:t>
            </w:r>
          </w:p>
        </w:tc>
      </w:tr>
      <w:tr>
        <w:tc>
          <w:tcPr>
            <w:tcW w:type="dxa" w:w="2400"/>
            <w:shd w:fill="FFFFFF" w:val="clear"/>
            <w:tcMar>
              <w:top w:type="dxa" w:w="100"/>
              <w:left w:type="dxa" w:w="120"/>
              <w:bottom w:type="dxa" w:w="100"/>
              <w:right w:type="dxa" w:w="120"/>
            </w:tcMar>
          </w:tcPr>
          <w:p>
            <w:r>
              <w:rPr>
                <w:sz w:val="20"/>
                <w:szCs w:val="20"/>
              </w:rPr>
              <w:t xml:space="preserve">Finnish teacher education</w:t>
            </w:r>
          </w:p>
        </w:tc>
        <w:tc>
          <w:tcPr>
            <w:tcW w:type="dxa" w:w="3700"/>
            <w:shd w:fill="FFFFFF" w:val="clear"/>
            <w:tcMar>
              <w:top w:type="dxa" w:w="100"/>
              <w:left w:type="dxa" w:w="120"/>
              <w:bottom w:type="dxa" w:w="100"/>
              <w:right w:type="dxa" w:w="120"/>
            </w:tcMar>
          </w:tcPr>
          <w:p>
            <w:r>
              <w:rPr>
                <w:sz w:val="20"/>
                <w:szCs w:val="20"/>
              </w:rPr>
              <w:t xml:space="preserve">Research-based practice, and professional trust and autonomy as design principles, not just values.</w:t>
            </w:r>
          </w:p>
        </w:tc>
        <w:tc>
          <w:tcPr>
            <w:tcW w:type="dxa" w:w="2926"/>
            <w:shd w:fill="FFFFFF" w:val="clear"/>
            <w:tcMar>
              <w:top w:type="dxa" w:w="100"/>
              <w:left w:type="dxa" w:w="120"/>
              <w:bottom w:type="dxa" w:w="100"/>
              <w:right w:type="dxa" w:w="120"/>
            </w:tcMar>
          </w:tcPr>
          <w:p>
            <w:r>
              <w:rPr>
                <w:sz w:val="20"/>
                <w:szCs w:val="20"/>
              </w:rPr>
              <w:t xml:space="preserve">Finland Teacher Education 2050 vision</w:t>
            </w:r>
          </w:p>
        </w:tc>
      </w:tr>
      <w:tr>
        <w:tc>
          <w:tcPr>
            <w:tcW w:type="dxa" w:w="2400"/>
            <w:shd w:fill="F2F2F2" w:val="clear"/>
            <w:tcMar>
              <w:top w:type="dxa" w:w="100"/>
              <w:left w:type="dxa" w:w="120"/>
              <w:bottom w:type="dxa" w:w="100"/>
              <w:right w:type="dxa" w:w="120"/>
            </w:tcMar>
          </w:tcPr>
          <w:p>
            <w:r>
              <w:rPr>
                <w:sz w:val="20"/>
                <w:szCs w:val="20"/>
              </w:rPr>
              <w:t xml:space="preserve">NEP 2020 / NISHTHA / DIKSHA</w:t>
            </w:r>
          </w:p>
        </w:tc>
        <w:tc>
          <w:tcPr>
            <w:tcW w:type="dxa" w:w="3700"/>
            <w:shd w:fill="F2F2F2" w:val="clear"/>
            <w:tcMar>
              <w:top w:type="dxa" w:w="100"/>
              <w:left w:type="dxa" w:w="120"/>
              <w:bottom w:type="dxa" w:w="100"/>
              <w:right w:type="dxa" w:w="120"/>
            </w:tcMar>
          </w:tcPr>
          <w:p>
            <w:r>
              <w:rPr>
                <w:sz w:val="20"/>
                <w:szCs w:val="20"/>
              </w:rPr>
              <w:t xml:space="preserve">A structured annual CPD-hour expectation and a multilingual, nationally scaled delivery infrastructure.</w:t>
            </w:r>
          </w:p>
        </w:tc>
        <w:tc>
          <w:tcPr>
            <w:tcW w:type="dxa" w:w="2926"/>
            <w:shd w:fill="F2F2F2" w:val="clear"/>
            <w:tcMar>
              <w:top w:type="dxa" w:w="100"/>
              <w:left w:type="dxa" w:w="120"/>
              <w:bottom w:type="dxa" w:w="100"/>
              <w:right w:type="dxa" w:w="120"/>
            </w:tcMar>
          </w:tcPr>
          <w:p>
            <w:r>
              <w:rPr>
                <w:sz w:val="20"/>
                <w:szCs w:val="20"/>
              </w:rPr>
              <w:t xml:space="preserve">India, Ministry of Education</w:t>
            </w:r>
          </w:p>
        </w:tc>
      </w:tr>
      <w:tr>
        <w:tc>
          <w:tcPr>
            <w:tcW w:type="dxa" w:w="2400"/>
            <w:shd w:fill="FFFFFF" w:val="clear"/>
            <w:tcMar>
              <w:top w:type="dxa" w:w="100"/>
              <w:left w:type="dxa" w:w="120"/>
              <w:bottom w:type="dxa" w:w="100"/>
              <w:right w:type="dxa" w:w="120"/>
            </w:tcMar>
          </w:tcPr>
          <w:p>
            <w:r>
              <w:rPr>
                <w:sz w:val="20"/>
                <w:szCs w:val="20"/>
              </w:rPr>
              <w:t xml:space="preserve">Guru-shishya parampara</w:t>
            </w:r>
          </w:p>
        </w:tc>
        <w:tc>
          <w:tcPr>
            <w:tcW w:type="dxa" w:w="3700"/>
            <w:shd w:fill="FFFFFF" w:val="clear"/>
            <w:tcMar>
              <w:top w:type="dxa" w:w="100"/>
              <w:left w:type="dxa" w:w="120"/>
              <w:bottom w:type="dxa" w:w="100"/>
              <w:right w:type="dxa" w:w="120"/>
            </w:tcMar>
          </w:tcPr>
          <w:p>
            <w:r>
              <w:rPr>
                <w:sz w:val="20"/>
                <w:szCs w:val="20"/>
              </w:rPr>
              <w:t xml:space="preserve">The study–teach–discuss rhythm (adhyayan–adhyapan–sambhasha); holistic mentorship that does not separate craft from character; explicit lineage of knowledge.</w:t>
            </w:r>
          </w:p>
        </w:tc>
        <w:tc>
          <w:tcPr>
            <w:tcW w:type="dxa" w:w="2926"/>
            <w:shd w:fill="FFFFFF" w:val="clear"/>
            <w:tcMar>
              <w:top w:type="dxa" w:w="100"/>
              <w:left w:type="dxa" w:w="120"/>
              <w:bottom w:type="dxa" w:w="100"/>
              <w:right w:type="dxa" w:w="120"/>
            </w:tcMar>
          </w:tcPr>
          <w:p>
            <w:r>
              <w:rPr>
                <w:sz w:val="20"/>
                <w:szCs w:val="20"/>
              </w:rPr>
              <w:t xml:space="preserve">Ancient India</w:t>
            </w:r>
          </w:p>
        </w:tc>
      </w:tr>
      <w:tr>
        <w:tc>
          <w:tcPr>
            <w:tcW w:type="dxa" w:w="2400"/>
            <w:shd w:fill="F2F2F2" w:val="clear"/>
            <w:tcMar>
              <w:top w:type="dxa" w:w="100"/>
              <w:left w:type="dxa" w:w="120"/>
              <w:bottom w:type="dxa" w:w="100"/>
              <w:right w:type="dxa" w:w="120"/>
            </w:tcMar>
          </w:tcPr>
          <w:p>
            <w:r>
              <w:rPr>
                <w:sz w:val="20"/>
                <w:szCs w:val="20"/>
              </w:rPr>
              <w:t xml:space="preserve">Low-resource EdTech (Pratham, British Council WhatsApp helplines, Shiksha Copilot)</w:t>
            </w:r>
          </w:p>
        </w:tc>
        <w:tc>
          <w:tcPr>
            <w:tcW w:type="dxa" w:w="3700"/>
            <w:shd w:fill="F2F2F2" w:val="clear"/>
            <w:tcMar>
              <w:top w:type="dxa" w:w="100"/>
              <w:left w:type="dxa" w:w="120"/>
              <w:bottom w:type="dxa" w:w="100"/>
              <w:right w:type="dxa" w:w="120"/>
            </w:tcMar>
          </w:tcPr>
          <w:p>
            <w:r>
              <w:rPr>
                <w:sz w:val="20"/>
                <w:szCs w:val="20"/>
              </w:rPr>
              <w:t xml:space="preserve">Voice notes and WhatsApp as genuinely viable professional-learning channels; AI-assisted content curation for teachers with limited time.</w:t>
            </w:r>
          </w:p>
        </w:tc>
        <w:tc>
          <w:tcPr>
            <w:tcW w:type="dxa" w:w="2926"/>
            <w:shd w:fill="F2F2F2" w:val="clear"/>
            <w:tcMar>
              <w:top w:type="dxa" w:w="100"/>
              <w:left w:type="dxa" w:w="120"/>
              <w:bottom w:type="dxa" w:w="100"/>
              <w:right w:type="dxa" w:w="120"/>
            </w:tcMar>
          </w:tcPr>
          <w:p>
            <w:r>
              <w:rPr>
                <w:sz w:val="20"/>
                <w:szCs w:val="20"/>
              </w:rPr>
              <w:t xml:space="preserve">India and comparable low-resource contexts</w:t>
            </w:r>
          </w:p>
        </w:tc>
      </w:tr>
      <w:tr>
        <w:tc>
          <w:tcPr>
            <w:tcW w:type="dxa" w:w="2400"/>
            <w:shd w:fill="FFFFFF" w:val="clear"/>
            <w:tcMar>
              <w:top w:type="dxa" w:w="100"/>
              <w:left w:type="dxa" w:w="120"/>
              <w:bottom w:type="dxa" w:w="100"/>
              <w:right w:type="dxa" w:w="120"/>
            </w:tcMar>
          </w:tcPr>
          <w:p>
            <w:r>
              <w:rPr>
                <w:sz w:val="20"/>
                <w:szCs w:val="20"/>
              </w:rPr>
              <w:t xml:space="preserve">AI coaching tools (e.g. Edthena AI Coach, Novobo)</w:t>
            </w:r>
          </w:p>
        </w:tc>
        <w:tc>
          <w:tcPr>
            <w:tcW w:type="dxa" w:w="3700"/>
            <w:shd w:fill="FFFFFF" w:val="clear"/>
            <w:tcMar>
              <w:top w:type="dxa" w:w="100"/>
              <w:left w:type="dxa" w:w="120"/>
              <w:bottom w:type="dxa" w:w="100"/>
              <w:right w:type="dxa" w:w="120"/>
            </w:tcMar>
          </w:tcPr>
          <w:p>
            <w:r>
              <w:rPr>
                <w:sz w:val="20"/>
                <w:szCs w:val="20"/>
              </w:rPr>
              <w:t xml:space="preserve">Structured self-reflection on captured evidence, using AI to generate reflection prompts rather than to replace human judgement.</w:t>
            </w:r>
          </w:p>
        </w:tc>
        <w:tc>
          <w:tcPr>
            <w:tcW w:type="dxa" w:w="2926"/>
            <w:shd w:fill="FFFFFF" w:val="clear"/>
            <w:tcMar>
              <w:top w:type="dxa" w:w="100"/>
              <w:left w:type="dxa" w:w="120"/>
              <w:bottom w:type="dxa" w:w="100"/>
              <w:right w:type="dxa" w:w="120"/>
            </w:tcMar>
          </w:tcPr>
          <w:p>
            <w:r>
              <w:rPr>
                <w:sz w:val="20"/>
                <w:szCs w:val="20"/>
              </w:rPr>
              <w:t xml:space="preserve">2025 ed-tech</w:t>
            </w:r>
          </w:p>
        </w:tc>
      </w:tr>
    </w:tbl>
    <w:p>
      <w:pPr>
        <w:spacing w:before="240"/>
      </w:pPr>
    </w:p>
    <w:p>
      <w:pPr>
        <w:pStyle w:val="Heading2"/>
        <w:spacing w:after="140" w:before="280"/>
      </w:pPr>
      <w:r>
        <w:rPr>
          <w:b/>
          <w:bCs/>
        </w:rPr>
        <w:t xml:space="preserve">What is genuinely new</w:t>
      </w:r>
    </w:p>
    <w:p>
      <w:pPr>
        <w:spacing w:after="160" w:line="300"/>
      </w:pPr>
      <w:r>
        <w:t xml:space="preserve">None of the traditions above, individually, closes the loop the way this design does. Specifically, no program surveyed in preparing this document combines all four of the following in one mechanism:</w:t>
      </w:r>
    </w:p>
    <w:p>
      <w:pPr>
        <w:pStyle w:val="ListParagraph"/>
        <w:numPr>
          <w:ilvl w:val="0"/>
          <w:numId w:val="2"/>
        </w:numPr>
        <w:spacing w:after="100" w:line="280"/>
      </w:pPr>
      <w:r>
        <w:t xml:space="preserve">Sourcing the curriculum’s next content from teachers’ own live problems, rather than from a syllabus fixed before the cohort ever meets.</w:t>
      </w:r>
    </w:p>
    <w:p>
      <w:pPr>
        <w:pStyle w:val="ListParagraph"/>
        <w:numPr>
          <w:ilvl w:val="0"/>
          <w:numId w:val="2"/>
        </w:numPr>
        <w:spacing w:after="100" w:line="280"/>
      </w:pPr>
      <w:r>
        <w:t xml:space="preserve">Requiring every session to end in a real classroom trial with lightweight, mandatory evidence capture — not an optional "try this if you like" suggestion.</w:t>
      </w:r>
    </w:p>
    <w:p>
      <w:pPr>
        <w:pStyle w:val="ListParagraph"/>
        <w:numPr>
          <w:ilvl w:val="0"/>
          <w:numId w:val="2"/>
        </w:numPr>
        <w:spacing w:after="100" w:line="280"/>
      </w:pPr>
      <w:r>
        <w:t xml:space="preserve">Formally "minting" successful trials into authored, reusable modules that are redistributed to the next cohort, with the originating teacher credited by name.</w:t>
      </w:r>
    </w:p>
    <w:p>
      <w:pPr>
        <w:pStyle w:val="ListParagraph"/>
        <w:numPr>
          <w:ilvl w:val="0"/>
          <w:numId w:val="2"/>
        </w:numPr>
        <w:spacing w:after="100" w:line="280"/>
      </w:pPr>
      <w:r>
        <w:t xml:space="preserve">Running the same architecture at two resource tiers, so a low-connectivity village school and a well-resourced private school both feed and draw from the same compounding library.</w:t>
      </w:r>
    </w:p>
    <w:p>
      <w:pPr>
        <w:spacing w:after="160" w:line="300"/>
      </w:pPr>
      <w:r>
        <w:t xml:space="preserve">That combination — not any single element — is the claim of originality this document makes.</w:t>
      </w:r>
    </w:p>
    <w:p>
      <w:r>
        <w:br w:type="page"/>
      </w:r>
    </w:p>
    <w:p>
      <w:pPr>
        <w:pStyle w:val="Heading1"/>
        <w:spacing w:after="200" w:before="400"/>
      </w:pPr>
      <w:r>
        <w:rPr>
          <w:b/>
          <w:bCs/>
        </w:rPr>
        <w:t xml:space="preserve">4. The Core Mechanism: The Anubhav Loop</w:t>
      </w:r>
    </w:p>
    <w:p>
      <w:pPr>
        <w:spacing w:after="160" w:line="300"/>
      </w:pPr>
      <w:r>
        <w:t xml:space="preserve">Anubhav (अनुभव) is the Sanskrit and Hindi word for lived, first-hand experience. The program is named for its central bet: that a teacher’s own classroom experience, captured and shared systematically, is the highest-value professional-learning content available — higher than anything an external designer can write in advance, because it has already been tested against real students in a real room.</w:t>
      </w:r>
    </w:p>
    <w:p>
      <w:pPr>
        <w:spacing w:after="160" w:line="300"/>
      </w:pPr>
      <w:r>
        <w:t xml:space="preserve">The loop has four phases, and it repeats every cycle:</w:t>
      </w:r>
    </w:p>
    <w:p>
      <w:pPr>
        <w:pStyle w:val="Heading2"/>
        <w:spacing w:after="140" w:before="280"/>
      </w:pPr>
      <w:r>
        <w:rPr>
          <w:b/>
          <w:bCs/>
        </w:rPr>
        <w:t xml:space="preserve">1. Name — Problem Ledger and Solution Design</w:t>
      </w:r>
    </w:p>
    <w:p>
      <w:pPr>
        <w:spacing w:after="160" w:line="300"/>
      </w:pPr>
      <w:r>
        <w:t xml:space="preserve">Teachers submit a live problem from their own classroom, not a hypothetical one. Problems are clustered by theme. Small groups design a specific, testable change to try, informed by a short Global Practice Briefing: a curated, roughly fifteen-minute synthesis of relevant practice — old and new, from anywhere in the world — matched to that specific problem.</w:t>
      </w:r>
    </w:p>
    <w:p>
      <w:pPr>
        <w:pStyle w:val="Heading2"/>
        <w:spacing w:after="140" w:before="280"/>
      </w:pPr>
      <w:r>
        <w:rPr>
          <w:b/>
          <w:bCs/>
        </w:rPr>
        <w:t xml:space="preserve">2. Try — Classroom Trial</w:t>
      </w:r>
    </w:p>
    <w:p>
      <w:pPr>
        <w:spacing w:after="160" w:line="300"/>
      </w:pPr>
      <w:r>
        <w:t xml:space="preserve">Over three to four weeks, teachers implement the plan in their actual classes, in the normal rhythm of teaching. There is no observer requirement and no performance pressure — this is not a demonstration lesson, it is ordinary teaching with one deliberate change.</w:t>
      </w:r>
    </w:p>
    <w:p>
      <w:pPr>
        <w:pStyle w:val="Heading2"/>
        <w:spacing w:after="140" w:before="280"/>
      </w:pPr>
      <w:r>
        <w:rPr>
          <w:b/>
          <w:bCs/>
        </w:rPr>
        <w:t xml:space="preserve">3. Capture — Evidence and Buddy Check-in</w:t>
      </w:r>
    </w:p>
    <w:p>
      <w:pPr>
        <w:spacing w:after="160" w:line="300"/>
      </w:pPr>
      <w:r>
        <w:t xml:space="preserve">Teachers document at least twice during the trial, against three guided prompts: What did you try? What happened? What surprised you? Documentation can be a voice note, a photo, or a short video, matched to whichever resource tier the school uses. A peer buddy checks in by phone or in person at the midpoint of the trial.</w:t>
      </w:r>
    </w:p>
    <w:p>
      <w:pPr>
        <w:pStyle w:val="Heading2"/>
        <w:spacing w:after="140" w:before="280"/>
      </w:pPr>
      <w:r>
        <w:rPr>
          <w:b/>
          <w:bCs/>
        </w:rPr>
        <w:t xml:space="preserve">4. Return — Reconvene and Module Mint</w:t>
      </w:r>
    </w:p>
    <w:p>
      <w:pPr>
        <w:spacing w:after="160" w:line="300"/>
      </w:pPr>
      <w:r>
        <w:t xml:space="preserve">Teachers come back and tell the room what happened, failures included. Successes are helped into a one-to-two-page Practice Card, and the originating teacher is named as author. The card enters the shared module library, available to every future cohort. Unresolved or partially solved problems are explicitly allowed to re-enter the next Problem Ledger — the loop does not require a clean win every time.</w:t>
      </w:r>
    </w:p>
    <w:p>
      <w:pPr>
        <w:pStyle w:val="Heading1"/>
        <w:spacing w:after="200" w:before="400"/>
      </w:pPr>
      <w:r>
        <w:rPr>
          <w:b/>
          <w:bCs/>
        </w:rPr>
        <w:t xml:space="preserve">5. Program Architecture</w:t>
      </w:r>
    </w:p>
    <w:p>
      <w:pPr>
        <w:pStyle w:val="Heading2"/>
        <w:spacing w:after="140" w:before="280"/>
      </w:pPr>
      <w:r>
        <w:rPr>
          <w:b/>
          <w:bCs/>
        </w:rPr>
        <w:t xml:space="preserve">The micro-cycle</w:t>
      </w:r>
    </w:p>
    <w:p>
      <w:pPr>
        <w:spacing w:after="160" w:line="300"/>
      </w:pPr>
      <w:r>
        <w:t xml:space="preserve">The atomic unit of the program is a six-week micro-cycle: Week 0 convenes Session A (Name); Weeks 1 through 4 are the classroom trial; Week 5 convenes Session B (Return); Week 6 is a protected rest and buffer week with no homework expected of teachers.</w:t>
      </w:r>
    </w:p>
    <w:p>
      <w:pPr>
        <w:pStyle w:val="Heading2"/>
        <w:spacing w:after="140" w:before="280"/>
      </w:pPr>
      <w:r>
        <w:rPr>
          <w:b/>
          <w:bCs/>
        </w:rPr>
        <w:t xml:space="preserve">The year-long arc</w:t>
      </w:r>
    </w:p>
    <w:p>
      <w:pPr>
        <w:spacing w:after="160" w:line="300"/>
      </w:pPr>
      <w:r>
        <w:t xml:space="preserve">Roughly eight micro-cycles run across an academic year (about 48 weeks), so the program is simultaneously a short intensive at the cycle level — answering the practical need for quick, bounded commitments — and a full-year arc at the program level, which is what the research says is necessary for real practice change to take hold.</w:t>
      </w:r>
    </w:p>
    <w:p>
      <w:pPr>
        <w:pStyle w:val="Heading2"/>
        <w:spacing w:after="140" w:before="280"/>
      </w:pPr>
      <w:r>
        <w:rPr>
          <w:b/>
          <w:bCs/>
        </w:rPr>
        <w:t xml:space="preserve">Time budget</w:t>
      </w:r>
    </w:p>
    <w:p>
      <w:pPr>
        <w:spacing w:after="160" w:line="300"/>
      </w:pPr>
      <w:r>
        <w:t xml:space="preserve">Total contact time is approximately 5.5 hours per six-week cycle: two 2-hour sessions, a 30-minute buddy check-in, and a 1-hour wellbeing session. Across eight cycles that is roughly 44 hours per year — inside the spirit of NEP 2020’s 50-hour CPD mandate, well below Singapore’s 100-hour voluntary allotment, and designed to sit inside teachers’ existing paid hours rather than stack on top of them.</w:t>
      </w:r>
    </w:p>
    <w:p>
      <w:pPr>
        <w:pStyle w:val="Heading2"/>
        <w:spacing w:after="140" w:before="280"/>
      </w:pPr>
      <w:r>
        <w:rPr>
          <w:b/>
          <w:bCs/>
        </w:rPr>
        <w:t xml:space="preserve">Two delivery tiers, one architecture</w:t>
      </w:r>
    </w:p>
    <w:p>
      <w:pPr>
        <w:pStyle w:val="ListParagraph"/>
        <w:numPr>
          <w:ilvl w:val="0"/>
          <w:numId w:val="2"/>
        </w:numPr>
        <w:spacing w:after="100" w:line="280"/>
      </w:pPr>
      <w:r>
        <w:t xml:space="preserve">Foundation Tier (low connectivity): paper Problem Ledger cards, WhatsApp voice notes for evidence capture, phone-call buddy check-ins, printed Practice Cards.</w:t>
      </w:r>
    </w:p>
    <w:p>
      <w:pPr>
        <w:pStyle w:val="ListParagraph"/>
        <w:numPr>
          <w:ilvl w:val="0"/>
          <w:numId w:val="2"/>
        </w:numPr>
        <w:spacing w:after="100" w:line="280"/>
      </w:pPr>
      <w:r>
        <w:t xml:space="preserve">Enhanced Tier (reliable connectivity and devices): short video capture, AI-assisted reflection prompts adapted from current AI-coaching tools, and AI-drafted first-pass Practice Cards for facilitator review.</w:t>
      </w:r>
    </w:p>
    <w:p>
      <w:pPr>
        <w:spacing w:after="160" w:line="300"/>
      </w:pPr>
      <w:r>
        <w:t xml:space="preserve">Both tiers run the identical four-phase loop; only the capture and drafting technology changes. This is what allows the same program to serve a low-resource rural school and a well-resourced urban one without redesigning the model twice.</w:t>
      </w:r>
    </w:p>
    <w:p>
      <w:pPr>
        <w:pStyle w:val="Heading2"/>
        <w:spacing w:after="140" w:before="280"/>
      </w:pPr>
      <w:r>
        <w:rPr>
          <w:b/>
          <w:bCs/>
        </w:rPr>
        <w:t xml:space="preserve">Five outcome strands</w:t>
      </w:r>
    </w:p>
    <w:p>
      <w:pPr>
        <w:spacing w:after="160" w:line="300"/>
      </w:pPr>
      <w:r>
        <w:t xml:space="preserve">Adapted from Singapore’s multi-strand Teacher Growth Model and extended to make problem-solving and wellbeing first-class outcomes rather than afterthoughts:</w:t>
      </w:r>
    </w:p>
    <w:p>
      <w:pPr>
        <w:pStyle w:val="ListParagraph"/>
        <w:numPr>
          <w:ilvl w:val="0"/>
          <w:numId w:val="2"/>
        </w:numPr>
        <w:spacing w:after="100" w:line="280"/>
      </w:pPr>
      <w:r>
        <w:t xml:space="preserve">Reflective Practitioner — makes evidence-informed instructional decisions.</w:t>
      </w:r>
    </w:p>
    <w:p>
      <w:pPr>
        <w:pStyle w:val="ListParagraph"/>
        <w:numPr>
          <w:ilvl w:val="0"/>
          <w:numId w:val="2"/>
        </w:numPr>
        <w:spacing w:after="100" w:line="280"/>
      </w:pPr>
      <w:r>
        <w:t xml:space="preserve">Adaptive Problem-Solver — handles classroom management, engagement, and differentiation with a growing personal toolkit.</w:t>
      </w:r>
    </w:p>
    <w:p>
      <w:pPr>
        <w:pStyle w:val="ListParagraph"/>
        <w:numPr>
          <w:ilvl w:val="0"/>
          <w:numId w:val="2"/>
        </w:numPr>
        <w:spacing w:after="100" w:line="280"/>
      </w:pPr>
      <w:r>
        <w:t xml:space="preserve">Collaborative Co-Researcher — builds and sustains peer-coaching and community-of-practice habits.</w:t>
      </w:r>
    </w:p>
    <w:p>
      <w:pPr>
        <w:pStyle w:val="ListParagraph"/>
        <w:numPr>
          <w:ilvl w:val="0"/>
          <w:numId w:val="2"/>
        </w:numPr>
        <w:spacing w:after="100" w:line="280"/>
      </w:pPr>
      <w:r>
        <w:t xml:space="preserve">Grounded and Well — sustains the work over years, not just the term.</w:t>
      </w:r>
    </w:p>
    <w:p>
      <w:pPr>
        <w:pStyle w:val="ListParagraph"/>
        <w:numPr>
          <w:ilvl w:val="0"/>
          <w:numId w:val="2"/>
        </w:numPr>
        <w:spacing w:after="100" w:line="280"/>
      </w:pPr>
      <w:r>
        <w:t xml:space="preserve">Digital and AI-Fluent Educator — uses technology and AI critically, not merely enthusiastically or fearfully.</w:t>
      </w:r>
    </w:p>
    <w:p>
      <w:r>
        <w:br w:type="page"/>
      </w:r>
    </w:p>
    <w:p>
      <w:pPr>
        <w:pStyle w:val="Heading1"/>
        <w:spacing w:after="200" w:before="400"/>
      </w:pPr>
      <w:r>
        <w:rPr>
          <w:b/>
          <w:bCs/>
        </w:rPr>
        <w:t xml:space="preserve">6. Session Design Templates</w:t>
      </w:r>
    </w:p>
    <w:p>
      <w:pPr>
        <w:pStyle w:val="Heading2"/>
        <w:spacing w:after="140" w:before="280"/>
      </w:pPr>
      <w:r>
        <w:rPr>
          <w:b/>
          <w:bCs/>
        </w:rPr>
        <w:t xml:space="preserve">Session A — Name (2 hours)</w:t>
      </w:r>
    </w:p>
    <w:p>
      <w:pPr>
        <w:pStyle w:val="ListParagraph"/>
        <w:numPr>
          <w:ilvl w:val="0"/>
          <w:numId w:val="2"/>
        </w:numPr>
        <w:spacing w:after="100" w:line="280"/>
      </w:pPr>
      <w:r>
        <w:t xml:space="preserve">0:00–0:15  Arrival and wellbeing check-in (not skippable).</w:t>
      </w:r>
    </w:p>
    <w:p>
      <w:pPr>
        <w:pStyle w:val="ListParagraph"/>
        <w:numPr>
          <w:ilvl w:val="0"/>
          <w:numId w:val="2"/>
        </w:numPr>
        <w:spacing w:after="100" w:line="280"/>
      </w:pPr>
      <w:r>
        <w:t xml:space="preserve">0:15–0:45  Problem Ledger — each teacher writes or states one live classroom problem; facilitator clusters entries by theme.</w:t>
      </w:r>
    </w:p>
    <w:p>
      <w:pPr>
        <w:pStyle w:val="ListParagraph"/>
        <w:numPr>
          <w:ilvl w:val="0"/>
          <w:numId w:val="2"/>
        </w:numPr>
        <w:spacing w:after="100" w:line="280"/>
      </w:pPr>
      <w:r>
        <w:t xml:space="preserve">0:45–1:00  Global Practice Briefing — a 15-minute curated synthesis of relevant practice, old and new, matched to the top two or three clustered problems.</w:t>
      </w:r>
    </w:p>
    <w:p>
      <w:pPr>
        <w:pStyle w:val="ListParagraph"/>
        <w:numPr>
          <w:ilvl w:val="0"/>
          <w:numId w:val="2"/>
        </w:numPr>
        <w:spacing w:after="100" w:line="280"/>
      </w:pPr>
      <w:r>
        <w:t xml:space="preserve">1:00–1:40  Solution Design Sprint — small groups of three or four design a specific, testable change, stating what will be different, how it will be noticed, and what success would look like.</w:t>
      </w:r>
    </w:p>
    <w:p>
      <w:pPr>
        <w:pStyle w:val="ListParagraph"/>
        <w:numPr>
          <w:ilvl w:val="0"/>
          <w:numId w:val="2"/>
        </w:numPr>
        <w:spacing w:after="100" w:line="280"/>
      </w:pPr>
      <w:r>
        <w:t xml:space="preserve">1:40–2:00  Commit — each teacher states their trial plan aloud to their buddy pair, a public commitment borrowed from action-research and coaching-partnership norms.</w:t>
      </w:r>
    </w:p>
    <w:p>
      <w:pPr>
        <w:pStyle w:val="Heading2"/>
        <w:spacing w:after="140" w:before="280"/>
      </w:pPr>
      <w:r>
        <w:rPr>
          <w:b/>
          <w:bCs/>
        </w:rPr>
        <w:t xml:space="preserve">Session B — Return (2 hours)</w:t>
      </w:r>
    </w:p>
    <w:p>
      <w:pPr>
        <w:pStyle w:val="ListParagraph"/>
        <w:numPr>
          <w:ilvl w:val="0"/>
          <w:numId w:val="2"/>
        </w:numPr>
        <w:spacing w:after="100" w:line="280"/>
      </w:pPr>
      <w:r>
        <w:t xml:space="preserve">0:00–0:15  Wellbeing check-in and a brief gratitude round.</w:t>
      </w:r>
    </w:p>
    <w:p>
      <w:pPr>
        <w:pStyle w:val="ListParagraph"/>
        <w:numPr>
          <w:ilvl w:val="0"/>
          <w:numId w:val="2"/>
        </w:numPr>
        <w:spacing w:after="100" w:line="280"/>
      </w:pPr>
      <w:r>
        <w:t xml:space="preserve">0:15–0:55  Return Circles — small groups; each teacher reports against a fixed structure: what I tried, what happened, what surprised me, what I’d tell another teacher. Failures are explicitly welcomed; a stated no-judgement norm opens the circle.</w:t>
      </w:r>
    </w:p>
    <w:p>
      <w:pPr>
        <w:pStyle w:val="ListParagraph"/>
        <w:numPr>
          <w:ilvl w:val="0"/>
          <w:numId w:val="2"/>
        </w:numPr>
        <w:spacing w:after="100" w:line="280"/>
      </w:pPr>
      <w:r>
        <w:t xml:space="preserve">0:55–1:30  Module Mint Workshop — teachers whose trials worked draft a Practice Card with facilitator support (or an AI-assisted first draft in the Enhanced Tier), reviewed for clarity and honesty, with authorship credited by name.</w:t>
      </w:r>
    </w:p>
    <w:p>
      <w:pPr>
        <w:pStyle w:val="ListParagraph"/>
        <w:numPr>
          <w:ilvl w:val="0"/>
          <w:numId w:val="2"/>
        </w:numPr>
        <w:spacing w:after="100" w:line="280"/>
      </w:pPr>
      <w:r>
        <w:t xml:space="preserve">1:30–1:50  Next Problem Ledger opens — unresolved problems and newly surfaced ones feed the following cycle.</w:t>
      </w:r>
    </w:p>
    <w:p>
      <w:pPr>
        <w:pStyle w:val="ListParagraph"/>
        <w:numPr>
          <w:ilvl w:val="0"/>
          <w:numId w:val="2"/>
        </w:numPr>
        <w:spacing w:after="100" w:line="280"/>
      </w:pPr>
      <w:r>
        <w:t xml:space="preserve">1:50–2:00  Close and logistics for the next round of buddy check-ins.</w:t>
      </w:r>
    </w:p>
    <w:p>
      <w:r>
        <w:br w:type="page"/>
      </w:r>
    </w:p>
    <w:p>
      <w:pPr>
        <w:pStyle w:val="Heading1"/>
        <w:spacing w:after="200" w:before="400"/>
      </w:pPr>
      <w:r>
        <w:rPr>
          <w:b/>
          <w:bCs/>
        </w:rPr>
        <w:t xml:space="preserve">7. The Module Mint: Turning Classrooms Into Curriculum</w:t>
      </w:r>
    </w:p>
    <w:p>
      <w:pPr>
        <w:pStyle w:val="Heading2"/>
        <w:spacing w:after="140" w:before="280"/>
      </w:pPr>
      <w:r>
        <w:rPr>
          <w:b/>
          <w:bCs/>
        </w:rPr>
        <w:t xml:space="preserve">What a Practice Card contains</w:t>
      </w:r>
    </w:p>
    <w:p>
      <w:pPr>
        <w:spacing w:after="160" w:line="300"/>
      </w:pPr>
      <w:r>
        <w:t xml:space="preserve">A problem statement; context (grade, subject, class size, resource level); what was tried; what happened, including partial or mixed results; the author’s name and school; searchable tags; and a short lineage line naming what prior practice or tradition the trial built on. That lineage line is a deliberate nod to the guru-shishya idea of parampara — succession of knowledge — made explicit rather than left implicit.</w:t>
      </w:r>
    </w:p>
    <w:p>
      <w:pPr>
        <w:pStyle w:val="Heading2"/>
        <w:spacing w:after="140" w:before="280"/>
      </w:pPr>
      <w:r>
        <w:rPr>
          <w:b/>
          <w:bCs/>
        </w:rPr>
        <w:t xml:space="preserve">Quality control</w:t>
      </w:r>
    </w:p>
    <w:p>
      <w:pPr>
        <w:spacing w:after="160" w:line="300"/>
      </w:pPr>
      <w:r>
        <w:t xml:space="preserve">The facilitator and a rotating review pair of teachers check each card before it is added. The check is not for polish; it is for honesty — was this genuinely tried, is the claim proportionate to the evidence — and for clarity, so another teacher in a different school can actually use it.</w:t>
      </w:r>
    </w:p>
    <w:p>
      <w:pPr>
        <w:pStyle w:val="Heading2"/>
        <w:spacing w:after="140" w:before="280"/>
      </w:pPr>
      <w:r>
        <w:rPr>
          <w:b/>
          <w:bCs/>
        </w:rPr>
        <w:t xml:space="preserve">Redistribution</w:t>
      </w:r>
    </w:p>
    <w:p>
      <w:pPr>
        <w:spacing w:after="160" w:line="300"/>
      </w:pPr>
      <w:r>
        <w:t xml:space="preserve">Cards are organised into a searchable module library, tagged by problem type, grade band, and subject. Future Global Practice Briefings pull first from this internal library before reaching for external sources. Cycle over cycle, the program becomes increasingly self-authored and locally relevant, without ever closing the door on new outside practice.</w:t>
      </w:r>
    </w:p>
    <w:p>
      <w:pPr>
        <w:pStyle w:val="Heading2"/>
        <w:spacing w:after="140" w:before="280"/>
      </w:pPr>
      <w:r>
        <w:rPr>
          <w:b/>
          <w:bCs/>
        </w:rPr>
        <w:t xml:space="preserve">Recognition, not payment</w:t>
      </w:r>
    </w:p>
    <w:p>
      <w:pPr>
        <w:spacing w:after="160" w:line="300"/>
      </w:pPr>
      <w:r>
        <w:t xml:space="preserve">Authorship is credited by name, and a running count of credited practices can feed into a teacher’s professional portfolio. This is not a payment scheme; it is visible credit for expertise that is otherwise invisible — a known driver of teacher disengagement when it is missing.</w:t>
      </w:r>
    </w:p>
    <w:p>
      <w:pPr>
        <w:pStyle w:val="Heading1"/>
        <w:spacing w:after="200" w:before="400"/>
      </w:pPr>
      <w:r>
        <w:rPr>
          <w:b/>
          <w:bCs/>
        </w:rPr>
        <w:t xml:space="preserve">8. Wellbeing, Woven Throughout</w:t>
      </w:r>
    </w:p>
    <w:p>
      <w:pPr>
        <w:spacing w:after="160" w:line="300"/>
      </w:pPr>
      <w:r>
        <w:t xml:space="preserve">There is no stand-alone wellness module in this design, deliberately. Instead, wellbeing is built into the structure itself:</w:t>
      </w:r>
    </w:p>
    <w:p>
      <w:pPr>
        <w:pStyle w:val="ListParagraph"/>
        <w:numPr>
          <w:ilvl w:val="0"/>
          <w:numId w:val="2"/>
        </w:numPr>
        <w:spacing w:after="100" w:line="280"/>
      </w:pPr>
      <w:r>
        <w:t xml:space="preserve">Every session opens with a ten-to-fifteen-minute check-in that is not optional.</w:t>
      </w:r>
    </w:p>
    <w:p>
      <w:pPr>
        <w:pStyle w:val="ListParagraph"/>
        <w:numPr>
          <w:ilvl w:val="0"/>
          <w:numId w:val="2"/>
        </w:numPr>
        <w:spacing w:after="100" w:line="280"/>
      </w:pPr>
      <w:r>
        <w:t xml:space="preserve">Failure is explicitly normalised in the Return Circle protocol — psychological safety is structural, stated aloud at the start of every circle, not merely hoped for.</w:t>
      </w:r>
    </w:p>
    <w:p>
      <w:pPr>
        <w:pStyle w:val="ListParagraph"/>
        <w:numPr>
          <w:ilvl w:val="0"/>
          <w:numId w:val="2"/>
        </w:numPr>
        <w:spacing w:after="100" w:line="280"/>
      </w:pPr>
      <w:r>
        <w:t xml:space="preserve">Every cycle includes a protected Week 6 rest and buffer, with no homework expected.</w:t>
      </w:r>
    </w:p>
    <w:p>
      <w:pPr>
        <w:pStyle w:val="ListParagraph"/>
        <w:numPr>
          <w:ilvl w:val="0"/>
          <w:numId w:val="2"/>
        </w:numPr>
        <w:spacing w:after="100" w:line="280"/>
      </w:pPr>
      <w:r>
        <w:t xml:space="preserve">The total time budget is capped to fit inside teachers’ paid hours, directly addressing workload, the single most cited driver of burnout in the 2025 research reviewed for this document.</w:t>
      </w:r>
    </w:p>
    <w:p>
      <w:pPr>
        <w:pStyle w:val="ListParagraph"/>
        <w:numPr>
          <w:ilvl w:val="0"/>
          <w:numId w:val="2"/>
        </w:numPr>
        <w:spacing w:after="100" w:line="280"/>
      </w:pPr>
      <w:r>
        <w:t xml:space="preserve">Grounded and Well is one of five formal outcome strands, on the same institutional footing as instructional skill — not subordinate to it.</w:t>
      </w:r>
    </w:p>
    <w:p>
      <w:r>
        <w:br w:type="page"/>
      </w:r>
    </w:p>
    <w:p>
      <w:pPr>
        <w:pStyle w:val="Heading1"/>
        <w:spacing w:after="200" w:before="400"/>
      </w:pPr>
      <w:r>
        <w:rPr>
          <w:b/>
          <w:bCs/>
        </w:rPr>
        <w:t xml:space="preserve">9. The Technology Layer</w:t>
      </w:r>
    </w:p>
    <w:p>
      <w:pPr>
        <w:spacing w:after="160" w:line="300"/>
      </w:pPr>
      <w:r>
        <w:t xml:space="preserve">Artificial intelligence has three narrow jobs in this design, and no more:</w:t>
      </w:r>
    </w:p>
    <w:p>
      <w:pPr>
        <w:pStyle w:val="ListParagraph"/>
        <w:numPr>
          <w:ilvl w:val="0"/>
          <w:numId w:val="2"/>
        </w:numPr>
        <w:spacing w:after="100" w:line="280"/>
      </w:pPr>
      <w:r>
        <w:t xml:space="preserve">Compressing the Global Practice Briefing — searching and summarising relevant world practice quickly, so facilitators are not required to spend weeks preparing each session.</w:t>
      </w:r>
    </w:p>
    <w:p>
      <w:pPr>
        <w:pStyle w:val="ListParagraph"/>
        <w:numPr>
          <w:ilvl w:val="0"/>
          <w:numId w:val="2"/>
        </w:numPr>
        <w:spacing w:after="100" w:line="280"/>
      </w:pPr>
      <w:r>
        <w:t xml:space="preserve">Turning raw evidence — voice notes or video — into structured reflection prompts, in the style of current AI-coaching tools such as Edthena’s AI Coach, which already walks teachers through Analyse, Reflect, Enact, and Impact stages on captured classroom video.</w:t>
      </w:r>
    </w:p>
    <w:p>
      <w:pPr>
        <w:pStyle w:val="ListParagraph"/>
        <w:numPr>
          <w:ilvl w:val="0"/>
          <w:numId w:val="2"/>
        </w:numPr>
        <w:spacing w:after="100" w:line="280"/>
      </w:pPr>
      <w:r>
        <w:t xml:space="preserve">Drafting first-pass Practice Cards for human review, saving time without removing judgement from the process.</w:t>
      </w:r>
    </w:p>
    <w:p>
      <w:pPr>
        <w:spacing w:after="160" w:line="300"/>
      </w:pPr>
      <w:r>
        <w:t xml:space="preserve">The explicit guardrail: AI drafts, humans decide. No AI-generated content enters the module library without a named teacher’s and a reviewer’s sign-off. Authorship and trust stay with teachers, not the tool — a deliberate departure from products that let an AI coach a teacher directly with no human in the loop.</w:t>
      </w:r>
    </w:p>
    <w:p>
      <w:pPr>
        <w:spacing w:after="160" w:line="300"/>
      </w:pPr>
      <w:r>
        <w:t xml:space="preserve">The Foundation Tier does not require teachers themselves to have smartphones or reliable data. WhatsApp voice notes can be transcribed and summarised centrally by facilitators using AI, so under-resourced schools are not excluded from the compounding library even where individual teachers have limited personal technology access.</w:t>
      </w:r>
    </w:p>
    <w:p>
      <w:r>
        <w:br w:type="page"/>
      </w:r>
    </w:p>
    <w:p>
      <w:pPr>
        <w:pStyle w:val="Heading1"/>
        <w:spacing w:after="200" w:before="400"/>
      </w:pPr>
      <w:r>
        <w:rPr>
          <w:b/>
          <w:bCs/>
        </w:rPr>
        <w:t xml:space="preserve">10. Worked Example Cycles</w:t>
      </w:r>
    </w:p>
    <w:p>
      <w:pPr>
        <w:pStyle w:val="Heading2"/>
        <w:spacing w:after="140" w:before="280"/>
      </w:pPr>
      <w:r>
        <w:rPr>
          <w:b/>
          <w:bCs/>
        </w:rPr>
        <w:t xml:space="preserve">Example 1 — Reluctant readers in a mixed-ability Grade 4 class (Foundation Tier)</w:t>
      </w:r>
    </w:p>
    <w:p>
      <w:pPr>
        <w:spacing w:after="160" w:line="300"/>
      </w:pPr>
      <w:r>
        <w:t xml:space="preserve">Problem Ledger entry: six students refuse to read aloud; two are meaningfully behind grade level. Global Practice Briefing: paired reading and choice-based text selection, combined with near-peer tutoring in the spirit of guru-shishya mentorship. Trial: paired-reading blocks three times a week for four weeks, with a choice of three texts. Evidence: two WhatsApp voice notes, at week two and week four. Return: four of six students voluntarily read aloud by week four. A Practice Card is minted — “Choice and Peer-Pairing for Reluctant Readers” — tagged Grade 3–5, Literacy, Low-tech, and credited to the originating teacher.</w:t>
      </w:r>
    </w:p>
    <w:p>
      <w:pPr>
        <w:pStyle w:val="Heading2"/>
        <w:spacing w:after="140" w:before="280"/>
      </w:pPr>
      <w:r>
        <w:rPr>
          <w:b/>
          <w:bCs/>
        </w:rPr>
        <w:t xml:space="preserve">Example 2 — A 40-student mixed-ability maths class, one teacher (Foundation Tier)</w:t>
      </w:r>
    </w:p>
    <w:p>
      <w:pPr>
        <w:spacing w:after="160" w:line="300"/>
      </w:pPr>
      <w:r>
        <w:t xml:space="preserve">Problem: fast finishers are bored, strugglers are left behind, and there is no teaching-assistant support. Briefing: station rotation, a peer-tutor rota again resonant with near-peer transmission, and light use of exit-ticket data for grouping. Trial: a three-station rotation twice weekly. Evidence: photographs of the station set-up plus a voice-note reflection. Return: partial success — the independent-practice station was chaotic. Rather than being abandoned, the problem is explicitly flagged back into the next Problem Ledger for a second-round redesign. The loop is built to allow iteration across cycles, not just single-shot wins.</w:t>
      </w:r>
    </w:p>
    <w:p>
      <w:pPr>
        <w:pStyle w:val="Heading2"/>
        <w:spacing w:after="140" w:before="280"/>
      </w:pPr>
      <w:r>
        <w:rPr>
          <w:b/>
          <w:bCs/>
        </w:rPr>
        <w:t xml:space="preserve">Example 3 — Using AI tools without losing rigour, Grade 9 essay writing (Enhanced Tier)</w:t>
      </w:r>
    </w:p>
    <w:p>
      <w:pPr>
        <w:spacing w:after="160" w:line="300"/>
      </w:pPr>
      <w:r>
        <w:t xml:space="preserve">Problem: students submitting AI-generated essays; the teacher is unsure how to respond pedagogically rather than punitively. Briefing: process-visible writing with in-class drafting time, and AI repositioned as a Socratic questioning tool rather than an answer-generator. Trial: in-class draft checkpoints plus an AI-permitted-for-brainstorming-only policy piloted in one section. Evidence: video clips of two class discussions, with AI-assisted transcription and reflection prompts. Return: essay quality, by the teacher’s own rubric, improved in the trial section relative to a comparison section. The Practice Card is minted with an explicit caveat about the small sample size — modelling intellectual honesty as a norm of the program itself, not just a value it preaches.</w:t>
      </w:r>
    </w:p>
    <w:p>
      <w:r>
        <w:br w:type="page"/>
      </w:r>
    </w:p>
    <w:p>
      <w:pPr>
        <w:pStyle w:val="Heading1"/>
        <w:spacing w:after="200" w:before="400"/>
      </w:pPr>
      <w:r>
        <w:rPr>
          <w:b/>
          <w:bCs/>
        </w:rPr>
        <w:t xml:space="preserve">11. Facilitator and Coach Role</w:t>
      </w:r>
    </w:p>
    <w:p>
      <w:pPr>
        <w:spacing w:after="160" w:line="300"/>
      </w:pPr>
      <w:r>
        <w:t xml:space="preserve">Facilitators are trained in three things: a partnership-based coaching stance — Jim Knight’s principle of coach and teacher as equals, not evaluator and evaluated; protocol discipline, so that Return Circles and Solution Design Sprints run the way they are designed to, every time; and enough grounding in world-practice literature to run credible Global Practice Briefings, plus basic fluency with the Enhanced Tier’s AI tools.</w:t>
      </w:r>
    </w:p>
    <w:p>
      <w:pPr>
        <w:spacing w:after="160" w:line="300"/>
      </w:pPr>
      <w:r>
        <w:t xml:space="preserve">Facilitators are explicitly not required to be the most expert person in the room. Their job is to run the loop well, not to hold all the answers. Over time, as the module library grows, veteran teachers who have minted many Practice Cards can rotate into facilitation themselves — an internal succession pipeline that echoes the parampara idea of knowledge passed forward through practice, not only through appointment.</w:t>
      </w:r>
    </w:p>
    <w:p>
      <w:pPr>
        <w:pStyle w:val="Heading1"/>
        <w:spacing w:after="200" w:before="400"/>
      </w:pPr>
      <w:r>
        <w:rPr>
          <w:b/>
          <w:bCs/>
        </w:rPr>
        <w:t xml:space="preserve">12. Rollout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Phase</w:t>
            </w:r>
          </w:p>
        </w:tc>
        <w:tc>
          <w:tcPr>
            <w:tcW w:type="dxa" w:w="2200"/>
            <w:shd w:fill="1F3864" w:val="clear"/>
            <w:tcMar>
              <w:top w:type="dxa" w:w="100"/>
              <w:left w:type="dxa" w:w="120"/>
              <w:bottom w:type="dxa" w:w="100"/>
              <w:right w:type="dxa" w:w="120"/>
            </w:tcMar>
          </w:tcPr>
          <w:p>
            <w:r>
              <w:rPr>
                <w:b/>
                <w:bCs/>
                <w:color w:val="FFFFFF"/>
                <w:sz w:val="20"/>
                <w:szCs w:val="20"/>
              </w:rPr>
              <w:t xml:space="preserve">Scope</w:t>
            </w:r>
          </w:p>
        </w:tc>
        <w:tc>
          <w:tcPr>
            <w:tcW w:type="dxa" w:w="5026"/>
            <w:shd w:fill="1F3864" w:val="clear"/>
            <w:tcMar>
              <w:top w:type="dxa" w:w="100"/>
              <w:left w:type="dxa" w:w="120"/>
              <w:bottom w:type="dxa" w:w="100"/>
              <w:right w:type="dxa" w:w="120"/>
            </w:tcMar>
          </w:tcPr>
          <w:p>
            <w:r>
              <w:rPr>
                <w:b/>
                <w:bCs/>
                <w:color w:val="FFFFFF"/>
                <w:sz w:val="20"/>
                <w:szCs w:val="20"/>
              </w:rPr>
              <w:t xml:space="preserve">What Happens</w:t>
            </w:r>
          </w:p>
        </w:tc>
      </w:tr>
      <w:tr>
        <w:tc>
          <w:tcPr>
            <w:tcW w:type="dxa" w:w="1800"/>
            <w:shd w:fill="FFFFFF" w:val="clear"/>
            <w:tcMar>
              <w:top w:type="dxa" w:w="100"/>
              <w:left w:type="dxa" w:w="120"/>
              <w:bottom w:type="dxa" w:w="100"/>
              <w:right w:type="dxa" w:w="120"/>
            </w:tcMar>
          </w:tcPr>
          <w:p>
            <w:r>
              <w:rPr>
                <w:sz w:val="20"/>
                <w:szCs w:val="20"/>
              </w:rPr>
              <w:t xml:space="preserve">Phase 1 — Pilot</w:t>
            </w:r>
          </w:p>
        </w:tc>
        <w:tc>
          <w:tcPr>
            <w:tcW w:type="dxa" w:w="2200"/>
            <w:shd w:fill="FFFFFF" w:val="clear"/>
            <w:tcMar>
              <w:top w:type="dxa" w:w="100"/>
              <w:left w:type="dxa" w:w="120"/>
              <w:bottom w:type="dxa" w:w="100"/>
              <w:right w:type="dxa" w:w="120"/>
            </w:tcMar>
          </w:tcPr>
          <w:p>
            <w:r>
              <w:rPr>
                <w:sz w:val="20"/>
                <w:szCs w:val="20"/>
              </w:rPr>
              <w:t xml:space="preserve">One cycle, one school or small cluster, 15–25 teachers</w:t>
            </w:r>
          </w:p>
        </w:tc>
        <w:tc>
          <w:tcPr>
            <w:tcW w:type="dxa" w:w="5026"/>
            <w:shd w:fill="FFFFFF" w:val="clear"/>
            <w:tcMar>
              <w:top w:type="dxa" w:w="100"/>
              <w:left w:type="dxa" w:w="120"/>
              <w:bottom w:type="dxa" w:w="100"/>
              <w:right w:type="dxa" w:w="120"/>
            </w:tcMar>
          </w:tcPr>
          <w:p>
            <w:r>
              <w:rPr>
                <w:sz w:val="20"/>
                <w:szCs w:val="20"/>
              </w:rPr>
              <w:t xml:space="preserve">Test both delivery tiers, tune session timing, build the first 10–15 Practice Cards, identify facilitator training gaps.</w:t>
            </w:r>
          </w:p>
        </w:tc>
      </w:tr>
      <w:tr>
        <w:tc>
          <w:tcPr>
            <w:tcW w:type="dxa" w:w="1800"/>
            <w:shd w:fill="F2F2F2" w:val="clear"/>
            <w:tcMar>
              <w:top w:type="dxa" w:w="100"/>
              <w:left w:type="dxa" w:w="120"/>
              <w:bottom w:type="dxa" w:w="100"/>
              <w:right w:type="dxa" w:w="120"/>
            </w:tcMar>
          </w:tcPr>
          <w:p>
            <w:r>
              <w:rPr>
                <w:sz w:val="20"/>
                <w:szCs w:val="20"/>
              </w:rPr>
              <w:t xml:space="preserve">Phase 2 — Local Scale</w:t>
            </w:r>
          </w:p>
        </w:tc>
        <w:tc>
          <w:tcPr>
            <w:tcW w:type="dxa" w:w="2200"/>
            <w:shd w:fill="F2F2F2" w:val="clear"/>
            <w:tcMar>
              <w:top w:type="dxa" w:w="100"/>
              <w:left w:type="dxa" w:w="120"/>
              <w:bottom w:type="dxa" w:w="100"/>
              <w:right w:type="dxa" w:w="120"/>
            </w:tcMar>
          </w:tcPr>
          <w:p>
            <w:r>
              <w:rPr>
                <w:sz w:val="20"/>
                <w:szCs w:val="20"/>
              </w:rPr>
              <w:t xml:space="preserve">One academic year, one district or school cluster</w:t>
            </w:r>
          </w:p>
        </w:tc>
        <w:tc>
          <w:tcPr>
            <w:tcW w:type="dxa" w:w="5026"/>
            <w:shd w:fill="F2F2F2" w:val="clear"/>
            <w:tcMar>
              <w:top w:type="dxa" w:w="100"/>
              <w:left w:type="dxa" w:w="120"/>
              <w:bottom w:type="dxa" w:w="100"/>
              <w:right w:type="dxa" w:w="120"/>
            </w:tcMar>
          </w:tcPr>
          <w:p>
            <w:r>
              <w:rPr>
                <w:sz w:val="20"/>
                <w:szCs w:val="20"/>
              </w:rPr>
              <w:t xml:space="preserve">Run the full eight-cycle arc, begin the facilitator pipeline from veteran teachers, grow the module library to roughly 50–80 cards, start cross-school card sharing.</w:t>
            </w:r>
          </w:p>
        </w:tc>
      </w:tr>
      <w:tr>
        <w:tc>
          <w:tcPr>
            <w:tcW w:type="dxa" w:w="1800"/>
            <w:shd w:fill="FFFFFF" w:val="clear"/>
            <w:tcMar>
              <w:top w:type="dxa" w:w="100"/>
              <w:left w:type="dxa" w:w="120"/>
              <w:bottom w:type="dxa" w:w="100"/>
              <w:right w:type="dxa" w:w="120"/>
            </w:tcMar>
          </w:tcPr>
          <w:p>
            <w:r>
              <w:rPr>
                <w:sz w:val="20"/>
                <w:szCs w:val="20"/>
              </w:rPr>
              <w:t xml:space="preserve">Phase 3 — Network Scale</w:t>
            </w:r>
          </w:p>
        </w:tc>
        <w:tc>
          <w:tcPr>
            <w:tcW w:type="dxa" w:w="2200"/>
            <w:shd w:fill="FFFFFF" w:val="clear"/>
            <w:tcMar>
              <w:top w:type="dxa" w:w="100"/>
              <w:left w:type="dxa" w:w="120"/>
              <w:bottom w:type="dxa" w:w="100"/>
              <w:right w:type="dxa" w:w="120"/>
            </w:tcMar>
          </w:tcPr>
          <w:p>
            <w:r>
              <w:rPr>
                <w:sz w:val="20"/>
                <w:szCs w:val="20"/>
              </w:rPr>
              <w:t xml:space="preserve">Multi-year, multi-district</w:t>
            </w:r>
          </w:p>
        </w:tc>
        <w:tc>
          <w:tcPr>
            <w:tcW w:type="dxa" w:w="5026"/>
            <w:shd w:fill="FFFFFF" w:val="clear"/>
            <w:tcMar>
              <w:top w:type="dxa" w:w="100"/>
              <w:left w:type="dxa" w:w="120"/>
              <w:bottom w:type="dxa" w:w="100"/>
              <w:right w:type="dxa" w:w="120"/>
            </w:tcMar>
          </w:tcPr>
          <w:p>
            <w:r>
              <w:rPr>
                <w:sz w:val="20"/>
                <w:szCs w:val="20"/>
              </w:rPr>
              <w:t xml:space="preserve">Cross-district module exchange, an established veteran-teacher facilitator corps, and an openly accessible module library as a public good — bottom-up in origin, comparable in reach to a DIKSHA-style open platform.</w:t>
            </w:r>
          </w:p>
        </w:tc>
      </w:tr>
    </w:tbl>
    <w:p>
      <w:r>
        <w:br w:type="page"/>
      </w:r>
    </w:p>
    <w:p>
      <w:pPr>
        <w:pStyle w:val="Heading1"/>
        <w:spacing w:after="200" w:before="400"/>
      </w:pPr>
      <w:r>
        <w:rPr>
          <w:b/>
          <w:bCs/>
        </w:rPr>
        <w:t xml:space="preserve">13. Evaluation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Indicator Type</w:t>
            </w:r>
          </w:p>
        </w:tc>
        <w:tc>
          <w:tcPr>
            <w:tcW w:type="dxa" w:w="6426"/>
            <w:shd w:fill="1F3864" w:val="clear"/>
            <w:tcMar>
              <w:top w:type="dxa" w:w="100"/>
              <w:left w:type="dxa" w:w="120"/>
              <w:bottom w:type="dxa" w:w="100"/>
              <w:right w:type="dxa" w:w="120"/>
            </w:tcMar>
          </w:tcPr>
          <w:p>
            <w:r>
              <w:rPr>
                <w:b/>
                <w:bCs/>
                <w:color w:val="FFFFFF"/>
                <w:sz w:val="20"/>
                <w:szCs w:val="20"/>
              </w:rPr>
              <w:t xml:space="preserve">What Is Tracked</w:t>
            </w:r>
          </w:p>
        </w:tc>
      </w:tr>
      <w:tr>
        <w:tc>
          <w:tcPr>
            <w:tcW w:type="dxa" w:w="2600"/>
            <w:shd w:fill="FFFFFF" w:val="clear"/>
            <w:tcMar>
              <w:top w:type="dxa" w:w="100"/>
              <w:left w:type="dxa" w:w="120"/>
              <w:bottom w:type="dxa" w:w="100"/>
              <w:right w:type="dxa" w:w="120"/>
            </w:tcMar>
          </w:tcPr>
          <w:p>
            <w:r>
              <w:rPr>
                <w:sz w:val="20"/>
                <w:szCs w:val="20"/>
              </w:rPr>
              <w:t xml:space="preserve">Process</w:t>
            </w:r>
          </w:p>
        </w:tc>
        <w:tc>
          <w:tcPr>
            <w:tcW w:type="dxa" w:w="6426"/>
            <w:shd w:fill="FFFFFF" w:val="clear"/>
            <w:tcMar>
              <w:top w:type="dxa" w:w="100"/>
              <w:left w:type="dxa" w:w="120"/>
              <w:bottom w:type="dxa" w:w="100"/>
              <w:right w:type="dxa" w:w="120"/>
            </w:tcMar>
          </w:tcPr>
          <w:p>
            <w:r>
              <w:rPr>
                <w:sz w:val="20"/>
                <w:szCs w:val="20"/>
              </w:rPr>
              <w:t xml:space="preserve">Share of teachers completing the full loop (Name → Try → Capture → Return) per cycle; number of Practice Cards minted; reuse rate of cards in later cycles.</w:t>
            </w:r>
          </w:p>
        </w:tc>
      </w:tr>
      <w:tr>
        <w:tc>
          <w:tcPr>
            <w:tcW w:type="dxa" w:w="2600"/>
            <w:shd w:fill="F2F2F2" w:val="clear"/>
            <w:tcMar>
              <w:top w:type="dxa" w:w="100"/>
              <w:left w:type="dxa" w:w="120"/>
              <w:bottom w:type="dxa" w:w="100"/>
              <w:right w:type="dxa" w:w="120"/>
            </w:tcMar>
          </w:tcPr>
          <w:p>
            <w:r>
              <w:rPr>
                <w:sz w:val="20"/>
                <w:szCs w:val="20"/>
              </w:rPr>
              <w:t xml:space="preserve">Practice</w:t>
            </w:r>
          </w:p>
        </w:tc>
        <w:tc>
          <w:tcPr>
            <w:tcW w:type="dxa" w:w="6426"/>
            <w:shd w:fill="F2F2F2" w:val="clear"/>
            <w:tcMar>
              <w:top w:type="dxa" w:w="100"/>
              <w:left w:type="dxa" w:w="120"/>
              <w:bottom w:type="dxa" w:w="100"/>
              <w:right w:type="dxa" w:w="120"/>
            </w:tcMar>
          </w:tcPr>
          <w:p>
            <w:r>
              <w:rPr>
                <w:sz w:val="20"/>
                <w:szCs w:val="20"/>
              </w:rPr>
              <w:t xml:space="preserve">Self-reported and evidence-documented change in specific classroom practices, compared within-cycle, before and after the trial.</w:t>
            </w:r>
          </w:p>
        </w:tc>
      </w:tr>
      <w:tr>
        <w:tc>
          <w:tcPr>
            <w:tcW w:type="dxa" w:w="2600"/>
            <w:shd w:fill="FFFFFF" w:val="clear"/>
            <w:tcMar>
              <w:top w:type="dxa" w:w="100"/>
              <w:left w:type="dxa" w:w="120"/>
              <w:bottom w:type="dxa" w:w="100"/>
              <w:right w:type="dxa" w:w="120"/>
            </w:tcMar>
          </w:tcPr>
          <w:p>
            <w:r>
              <w:rPr>
                <w:sz w:val="20"/>
                <w:szCs w:val="20"/>
              </w:rPr>
              <w:t xml:space="preserve">Wellbeing</w:t>
            </w:r>
          </w:p>
        </w:tc>
        <w:tc>
          <w:tcPr>
            <w:tcW w:type="dxa" w:w="6426"/>
            <w:shd w:fill="FFFFFF" w:val="clear"/>
            <w:tcMar>
              <w:top w:type="dxa" w:w="100"/>
              <w:left w:type="dxa" w:w="120"/>
              <w:bottom w:type="dxa" w:w="100"/>
              <w:right w:type="dxa" w:w="120"/>
            </w:tcMar>
          </w:tcPr>
          <w:p>
            <w:r>
              <w:rPr>
                <w:sz w:val="20"/>
                <w:szCs w:val="20"/>
              </w:rPr>
              <w:t xml:space="preserve">A brief, validated burnout and engagement pulse-check every two cycles, in the style of a school-climate survey.</w:t>
            </w:r>
          </w:p>
        </w:tc>
      </w:tr>
      <w:tr>
        <w:tc>
          <w:tcPr>
            <w:tcW w:type="dxa" w:w="2600"/>
            <w:shd w:fill="F2F2F2" w:val="clear"/>
            <w:tcMar>
              <w:top w:type="dxa" w:w="100"/>
              <w:left w:type="dxa" w:w="120"/>
              <w:bottom w:type="dxa" w:w="100"/>
              <w:right w:type="dxa" w:w="120"/>
            </w:tcMar>
          </w:tcPr>
          <w:p>
            <w:r>
              <w:rPr>
                <w:sz w:val="20"/>
                <w:szCs w:val="20"/>
              </w:rPr>
              <w:t xml:space="preserve">Student-facing (longer horizon)</w:t>
            </w:r>
          </w:p>
        </w:tc>
        <w:tc>
          <w:tcPr>
            <w:tcW w:type="dxa" w:w="6426"/>
            <w:shd w:fill="F2F2F2" w:val="clear"/>
            <w:tcMar>
              <w:top w:type="dxa" w:w="100"/>
              <w:left w:type="dxa" w:w="120"/>
              <w:bottom w:type="dxa" w:w="100"/>
              <w:right w:type="dxa" w:w="120"/>
            </w:tcMar>
          </w:tcPr>
          <w:p>
            <w:r>
              <w:rPr>
                <w:sz w:val="20"/>
                <w:szCs w:val="20"/>
              </w:rPr>
              <w:t xml:space="preserve">Simple proxy measures tied to the specific problem tried — for example, reading-participation counts or assessment scores — kept low-stakes and teacher-owned rather than used to evaluate the teacher.</w:t>
            </w:r>
          </w:p>
        </w:tc>
      </w:tr>
      <w:tr>
        <w:tc>
          <w:tcPr>
            <w:tcW w:type="dxa" w:w="2600"/>
            <w:shd w:fill="FFFFFF" w:val="clear"/>
            <w:tcMar>
              <w:top w:type="dxa" w:w="100"/>
              <w:left w:type="dxa" w:w="120"/>
              <w:bottom w:type="dxa" w:w="100"/>
              <w:right w:type="dxa" w:w="120"/>
            </w:tcMar>
          </w:tcPr>
          <w:p>
            <w:r>
              <w:rPr>
                <w:sz w:val="20"/>
                <w:szCs w:val="20"/>
              </w:rPr>
              <w:t xml:space="preserve">Library health</w:t>
            </w:r>
          </w:p>
        </w:tc>
        <w:tc>
          <w:tcPr>
            <w:tcW w:type="dxa" w:w="6426"/>
            <w:shd w:fill="FFFFFF" w:val="clear"/>
            <w:tcMar>
              <w:top w:type="dxa" w:w="100"/>
              <w:left w:type="dxa" w:w="120"/>
              <w:bottom w:type="dxa" w:w="100"/>
              <w:right w:type="dxa" w:w="120"/>
            </w:tcMar>
          </w:tcPr>
          <w:p>
            <w:r>
              <w:rPr>
                <w:sz w:val="20"/>
                <w:szCs w:val="20"/>
              </w:rPr>
              <w:t xml:space="preserve">Growth rate of the module library, diversity of tags and contexts covered, and rate of cross-school reuse.</w:t>
            </w:r>
          </w:p>
        </w:tc>
      </w:tr>
    </w:tbl>
    <w:p>
      <w:pPr>
        <w:pStyle w:val="Heading1"/>
        <w:spacing w:after="200" w:before="400"/>
      </w:pPr>
      <w:r>
        <w:rPr>
          <w:b/>
          <w:bCs/>
        </w:rPr>
        <w:t xml:space="preserve">14. Honest Limitations and Risks</w:t>
      </w:r>
    </w:p>
    <w:p>
      <w:pPr>
        <w:pStyle w:val="ListParagraph"/>
        <w:numPr>
          <w:ilvl w:val="0"/>
          <w:numId w:val="2"/>
        </w:numPr>
        <w:spacing w:after="100" w:line="280"/>
      </w:pPr>
      <w:r>
        <w:t xml:space="preserve">No teacher-training program can be verified as having no parallel ever. This document makes the narrower, defensible claim set out in Section 3 — a specific closed-loop, self-authoring mechanism combining known elements in a new configuration. Any broader claim of absolute novelty should be treated with scepticism, including by the people running this program.</w:t>
      </w:r>
    </w:p>
    <w:p>
      <w:pPr>
        <w:pStyle w:val="ListParagraph"/>
        <w:numPr>
          <w:ilvl w:val="0"/>
          <w:numId w:val="2"/>
        </w:numPr>
        <w:spacing w:after="100" w:line="280"/>
      </w:pPr>
      <w:r>
        <w:t xml:space="preserve">Facilitator quality is load-bearing. A weak facilitator can turn a Return Circle into a blame session; protocol training and discipline matter as much as the design on paper.</w:t>
      </w:r>
    </w:p>
    <w:p>
      <w:pPr>
        <w:pStyle w:val="ListParagraph"/>
        <w:numPr>
          <w:ilvl w:val="0"/>
          <w:numId w:val="2"/>
        </w:numPr>
        <w:spacing w:after="100" w:line="280"/>
      </w:pPr>
      <w:r>
        <w:t xml:space="preserve">The Foundation Tier still assumes some baseline WhatsApp or phone access, even where classroom technology is minimal. Genuinely zero-connectivity contexts need a fully paper-and-radio fallback, which is not fully designed in this document and would need local adaptation.</w:t>
      </w:r>
    </w:p>
    <w:p>
      <w:pPr>
        <w:pStyle w:val="ListParagraph"/>
        <w:numPr>
          <w:ilvl w:val="0"/>
          <w:numId w:val="2"/>
        </w:numPr>
        <w:spacing w:after="100" w:line="280"/>
      </w:pPr>
      <w:r>
        <w:t xml:space="preserve">Module Mint quality control is real, ongoing work. Without dedicated review capacity, the library can fill with unverified or overstated claims; the review-pair mechanism needs enforcement, not just a design on paper.</w:t>
      </w:r>
    </w:p>
    <w:p>
      <w:pPr>
        <w:pStyle w:val="ListParagraph"/>
        <w:numPr>
          <w:ilvl w:val="0"/>
          <w:numId w:val="2"/>
        </w:numPr>
        <w:spacing w:after="100" w:line="280"/>
      </w:pPr>
      <w:r>
        <w:t xml:space="preserve">Sustained duration is the point, but also the risk: the research this design is built on is clear that real results only show after multiple cycles — a year or more. It will not look impressive after one cycle, and any stakeholder expecting fast results should be told this before the program starts, not after.</w:t>
      </w:r>
    </w:p>
    <w:p>
      <w:r>
        <w:br w:type="page"/>
      </w:r>
    </w:p>
    <w:p>
      <w:pPr>
        <w:pStyle w:val="Heading1"/>
        <w:spacing w:after="200" w:before="400"/>
      </w:pPr>
      <w:r>
        <w:rPr>
          <w:b/>
          <w:bCs/>
        </w:rPr>
        <w:t xml:space="preserve">15. Sources and Influences</w:t>
      </w:r>
    </w:p>
    <w:p>
      <w:pPr>
        <w:spacing w:after="160" w:line="300"/>
      </w:pPr>
      <w:r>
        <w:t xml:space="preserve">This document was built from web research conducted in July 2026 alongside established learning-science literature. All claims about specific named programs and research findings above are drawn from the sources below; they are listed so the synthesis in Section 3 can be checked, questioned, and built on rather than taken on faith.</w:t>
      </w:r>
    </w:p>
    <w:p>
      <w:pPr>
        <w:spacing w:after="120" w:line="280"/>
      </w:pPr>
      <w:r>
        <w:rPr>
          <w:b/>
          <w:bCs/>
        </w:rPr>
        <w:t xml:space="preserve">Lesson study: </w:t>
      </w:r>
      <w:r>
        <w:t xml:space="preserve">Chartered College of Teaching, “Learning through research: the case for Japanese lesson study,” https://my.chartered.college/impact_article/learning-through-research-the-case-for-japanese-lesson-study/</w:t>
      </w:r>
    </w:p>
    <w:p>
      <w:pPr>
        <w:spacing w:after="120" w:line="280"/>
      </w:pPr>
      <w:r>
        <w:rPr>
          <w:b/>
          <w:bCs/>
        </w:rPr>
        <w:t xml:space="preserve">Lesson study (overview): </w:t>
      </w:r>
      <w:r>
        <w:t xml:space="preserve">Wikipedia, “Lesson study,” https://en.wikipedia.org/wiki/Lesson_study</w:t>
      </w:r>
    </w:p>
    <w:p>
      <w:pPr>
        <w:spacing w:after="120" w:line="280"/>
      </w:pPr>
      <w:r>
        <w:rPr>
          <w:b/>
          <w:bCs/>
        </w:rPr>
        <w:t xml:space="preserve">Finland Teacher Education 2050: </w:t>
      </w:r>
      <w:r>
        <w:t xml:space="preserve">Education and Training Monitor 2025, Finland country report, https://op.europa.eu/webpub/eac/education-and-training-monitor/en/country-reports/finland.html</w:t>
      </w:r>
    </w:p>
    <w:p>
      <w:pPr>
        <w:spacing w:after="120" w:line="280"/>
      </w:pPr>
      <w:r>
        <w:rPr>
          <w:b/>
          <w:bCs/>
        </w:rPr>
        <w:t xml:space="preserve">Singapore Teacher Growth Model: </w:t>
      </w:r>
      <w:r>
        <w:t xml:space="preserve">Teacher Development Trust, “Research of the week #2 — Singapore Teacher Growth Model,” https://tdtrust.org/research/research-of-the-week-2-singapore-teacher-growth-model/</w:t>
      </w:r>
    </w:p>
    <w:p>
      <w:pPr>
        <w:spacing w:after="120" w:line="280"/>
      </w:pPr>
      <w:r>
        <w:rPr>
          <w:b/>
          <w:bCs/>
        </w:rPr>
        <w:t xml:space="preserve">Effective professional development (7 features): </w:t>
      </w:r>
      <w:r>
        <w:t xml:space="preserve">Darling-Hammond, Hyler &amp; Gardner (2017), Learning Policy Institute, https://learningpolicyinstitute.org/product/effective-teacher-professional-development-report</w:t>
      </w:r>
    </w:p>
    <w:p>
      <w:pPr>
        <w:spacing w:after="120" w:line="280"/>
      </w:pPr>
      <w:r>
        <w:rPr>
          <w:b/>
          <w:bCs/>
        </w:rPr>
        <w:t xml:space="preserve">NEP 2020 / NISHTHA / DIKSHA: </w:t>
      </w:r>
      <w:r>
        <w:t xml:space="preserve">NCERT, “Guidelines for 50 Hours of Continuous Professional Development,” https://ncert.nic.in/pdf/Guidelines50HoursCpd.pdf</w:t>
      </w:r>
    </w:p>
    <w:p>
      <w:pPr>
        <w:spacing w:after="120" w:line="280"/>
      </w:pPr>
      <w:r>
        <w:rPr>
          <w:b/>
          <w:bCs/>
        </w:rPr>
        <w:t xml:space="preserve">Jim Knight’s Impact Cycle: </w:t>
      </w:r>
      <w:r>
        <w:t xml:space="preserve">Instructional Coaching Group, “Jim Knight Coaching Model,” https://www.instructionalcoaching.com/jim-knight-coaching-model/</w:t>
      </w:r>
    </w:p>
    <w:p>
      <w:pPr>
        <w:spacing w:after="120" w:line="280"/>
      </w:pPr>
      <w:r>
        <w:rPr>
          <w:b/>
          <w:bCs/>
        </w:rPr>
        <w:t xml:space="preserve">Andragogy: </w:t>
      </w:r>
      <w:r>
        <w:t xml:space="preserve">InstructionalDesign.org, “Andragogy (Malcolm Knowles),” https://www.instructionaldesign.org/theories/andragogy/</w:t>
      </w:r>
    </w:p>
    <w:p>
      <w:pPr>
        <w:spacing w:after="120" w:line="280"/>
      </w:pPr>
      <w:r>
        <w:rPr>
          <w:b/>
          <w:bCs/>
        </w:rPr>
        <w:t xml:space="preserve">Action research cycle: </w:t>
      </w:r>
      <w:r>
        <w:t xml:space="preserve">Structural Learning, “Action Research in Education,” https://www.structural-learning.com/post/action-research-in-the-classroom-a-teachers-guide</w:t>
      </w:r>
    </w:p>
    <w:p>
      <w:pPr>
        <w:spacing w:after="120" w:line="280"/>
      </w:pPr>
      <w:r>
        <w:rPr>
          <w:b/>
          <w:bCs/>
        </w:rPr>
        <w:t xml:space="preserve">AI coaching tools: </w:t>
      </w:r>
      <w:r>
        <w:t xml:space="preserve">Edthena, “AI Coach Named One of TIME’s Best Inventions of 2025,” https://www.edthena.com/ai-coach-time-best-inventions-2025/</w:t>
      </w:r>
    </w:p>
    <w:p>
      <w:pPr>
        <w:spacing w:after="120" w:line="280"/>
      </w:pPr>
      <w:r>
        <w:rPr>
          <w:b/>
          <w:bCs/>
        </w:rPr>
        <w:t xml:space="preserve">Low-resource WhatsApp CPD: </w:t>
      </w:r>
      <w:r>
        <w:t xml:space="preserve">British Council India Blog, “WhatsApp for teacher development — the what and how,” http://blog.britishcouncil.org.in/whatsapp-for-teacher-development-the-what-and-how/</w:t>
      </w:r>
    </w:p>
    <w:p>
      <w:pPr>
        <w:spacing w:after="120" w:line="280"/>
      </w:pPr>
      <w:r>
        <w:rPr>
          <w:b/>
          <w:bCs/>
        </w:rPr>
        <w:t xml:space="preserve">Pratham’s digital/low-tech models: </w:t>
      </w:r>
      <w:r>
        <w:t xml:space="preserve">Pratham, “Digital resources — enabling learning for all,” https://www.pratham.org/covid-19-response__trashed/digital-resources-enabling-learning-for-all/</w:t>
      </w:r>
    </w:p>
    <w:p>
      <w:pPr>
        <w:spacing w:after="120" w:line="280"/>
      </w:pPr>
      <w:r>
        <w:rPr>
          <w:b/>
          <w:bCs/>
        </w:rPr>
        <w:t xml:space="preserve">Communities of practice: </w:t>
      </w:r>
      <w:r>
        <w:t xml:space="preserve">infed.org, “Jean Lave, Etienne Wenger and communities of practice,” https://infed.org/dir/welcome/jean-lave-etienne-wenger-and-communities-of-practice/</w:t>
      </w:r>
    </w:p>
    <w:p>
      <w:pPr>
        <w:spacing w:after="120" w:line="280"/>
      </w:pPr>
      <w:r>
        <w:rPr>
          <w:b/>
          <w:bCs/>
        </w:rPr>
        <w:t xml:space="preserve">Guru-shishya parampara: </w:t>
      </w:r>
      <w:r>
        <w:t xml:space="preserve">Indica Today, “Guru-Shishya Parampara,” https://www.indica.today/research/guru-shishya-parampara/</w:t>
      </w:r>
    </w:p>
    <w:p>
      <w:pPr>
        <w:spacing w:after="120" w:line="280"/>
      </w:pPr>
      <w:r>
        <w:rPr>
          <w:b/>
          <w:bCs/>
        </w:rPr>
        <w:t xml:space="preserve">Teacher burnout / wellbeing interventions (2025): </w:t>
      </w:r>
      <w:r>
        <w:t xml:space="preserve">Frontiers in Psychology (2025), “Psychological resources and interventions for teachers’ emotional competence and well-being: a systematic review,” https://www.frontiersin.org/journals/psychology/articles/10.3389/fpsyg.2025.1640968/full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2026-07-24T13:26:27.303Z</dcterms:created>
  <dcterms:modified xsi:type="dcterms:W3CDTF">2026-07-24T13:26:27.303Z</dcterms:modified>
</cp:coreProperties>
</file>

<file path=docProps/custom.xml><?xml version="1.0" encoding="utf-8"?>
<Properties xmlns="http://schemas.openxmlformats.org/officeDocument/2006/custom-properties" xmlns:vt="http://schemas.openxmlformats.org/officeDocument/2006/docPropsVTypes"/>
</file>