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9A227"/>
          <w:spacing w:val="20"/>
          <w:sz w:val="18"/>
          <w:szCs w:val="18"/>
        </w:rPr>
        <w:t xml:space="preserve">THE ANUBHAV MODEL · CYCLE 8 OF 8 · WEEKS 43–48</w:t>
      </w:r>
    </w:p>
    <w:p>
      <w:pPr>
        <w:spacing w:after="60"/>
      </w:pPr>
      <w:r>
        <w:rPr>
          <w:b/>
          <w:bCs/>
          <w:color w:val="1F3864"/>
          <w:sz w:val="40"/>
          <w:szCs w:val="40"/>
        </w:rPr>
        <w:t xml:space="preserve">Harvest — Reading Brief</w:t>
      </w:r>
    </w:p>
    <w:p>
      <w:pPr>
        <w:spacing w:after="240"/>
      </w:pPr>
      <w:r>
        <w:rPr>
          <w:i/>
          <w:iCs/>
          <w:color w:val="666666"/>
          <w:sz w:val="24"/>
          <w:szCs w:val="24"/>
        </w:rPr>
        <w:t xml:space="preserve">Consolidation, Showcase, and Next Year's Design</w:t>
      </w:r>
    </w:p>
    <w:p>
      <w:pPr>
        <w:pBdr>
          <w:bottom w:val="single" w:color="1F3864" w:sz="8" w:space="4"/>
        </w:pBdr>
        <w:spacing w:after="260"/>
      </w:pPr>
      <w:r>
        <w:rPr>
          <w:color w:val="555555"/>
          <w:sz w:val="20"/>
          <w:szCs w:val="20"/>
        </w:rPr>
        <w:t xml:space="preserve">Outcome strand: Collaborative Co-Researcher    |    Delivery: works at both Foundation and Enhanced tier</w:t>
      </w:r>
    </w:p>
    <w:p>
      <w:pPr>
        <w:spacing w:after="160" w:line="300"/>
      </w:pPr>
      <w:r>
        <w:rPr>
          <w:i/>
          <w:iCs/>
          <w:color w:val="555555"/>
        </w:rPr>
        <w:t xml:space="preserve">Read this before Session A. It takes about five minutes and is the same synthesis your facilitator will summarise live — reading it in advance means Session A can move straight to your own classroom problem.</w:t>
      </w:r>
    </w:p>
    <w:p>
      <w:pPr>
        <w:pStyle w:val="Heading2"/>
        <w:spacing w:after="140" w:before="300"/>
      </w:pPr>
      <w:r>
        <w:rPr>
          <w:b/>
          <w:bCs/>
          <w:color w:val="1F3864"/>
        </w:rPr>
        <w:t xml:space="preserve">This Cycle's Global Practice Briefing</w:t>
      </w:r>
    </w:p>
    <w:p>
      <w:pPr>
        <w:spacing w:after="160" w:line="300"/>
      </w:pPr>
      <w:r>
        <w:t xml:space="preserve">The final cycle is deliberately not a new content area — it is where the compounding effect this whole design is built around either shows up or doesn't. Communities-of-practice research is clear that a domain survives past its founding only if the community actively curates and re-circulates its own knowledge; without a deliberate harvest step, even a strong module library quietly goes stale as cards are minted but never reread. Cycle 8 runs a showcase structure borrowed from Japan's public research lessons (koukai kenkyuu jugyou), where a school opens its best classroom work to a wider audience rather than keeping it internal — here, teachers present the cycle they are proudest of to the full cohort, including cards from other schools if the program has scaled to Phase 2. The cycle closes by explicitly naming which unresolved Problem Ledger items carry into next year, and by inviting veteran teachers who minted multiple cards this year into the facilitator pipeline described in Section 11 of the program design — succession made structural, not incidental.</w:t>
      </w:r>
    </w:p>
    <w:p>
      <w:pPr>
        <w:pStyle w:val="Heading2"/>
        <w:spacing w:after="140" w:before="300"/>
      </w:pPr>
      <w:r>
        <w:rPr>
          <w:b/>
          <w:bCs/>
          <w:color w:val="1F3864"/>
        </w:rPr>
        <w:t xml:space="preserve">What To Look For In Your Own Classroom Before Session A</w:t>
      </w:r>
    </w:p>
    <w:p>
      <w:pPr>
        <w:pStyle w:val="ListParagraph"/>
        <w:numPr>
          <w:ilvl w:val="0"/>
          <w:numId w:val="2"/>
        </w:numPr>
        <w:spacing w:after="90" w:line="280"/>
      </w:pPr>
      <w:r>
        <w:t xml:space="preserve">Review the year's Practice Card library as a body of work, not scattered artifacts.</w:t>
      </w:r>
    </w:p>
    <w:p>
      <w:pPr>
        <w:pStyle w:val="ListParagraph"/>
        <w:numPr>
          <w:ilvl w:val="0"/>
          <w:numId w:val="2"/>
        </w:numPr>
        <w:spacing w:after="90" w:line="280"/>
      </w:pPr>
      <w:r>
        <w:t xml:space="preserve">Publicly showcase the cycle each teacher is proudest of.</w:t>
      </w:r>
    </w:p>
    <w:p>
      <w:pPr>
        <w:pStyle w:val="ListParagraph"/>
        <w:numPr>
          <w:ilvl w:val="0"/>
          <w:numId w:val="2"/>
        </w:numPr>
        <w:spacing w:after="90" w:line="280"/>
      </w:pPr>
      <w:r>
        <w:t xml:space="preserve">Nominate facilitators for next year from among this year's most active contributors.</w:t>
      </w:r>
    </w:p>
    <w:p>
      <w:pPr>
        <w:pStyle w:val="Heading2"/>
        <w:spacing w:after="140" w:before="300"/>
      </w:pPr>
      <w:r>
        <w:rPr>
          <w:b/>
          <w:bCs/>
          <w:color w:val="1F3864"/>
        </w:rPr>
        <w:t xml:space="preserve">Two Problems Like The Ones You Might Bring</w:t>
      </w:r>
    </w:p>
    <w:p>
      <w:pPr>
        <w:pStyle w:val="ListParagraph"/>
        <w:numPr>
          <w:ilvl w:val="0"/>
          <w:numId w:val="2"/>
        </w:numPr>
        <w:spacing w:after="90" w:line="280"/>
      </w:pPr>
      <w:r>
        <w:t xml:space="preserve">A strong Practice Card from Cycle 2 was never picked up or tried by anyone outside its original author's classroom.</w:t>
      </w:r>
    </w:p>
    <w:p>
      <w:pPr>
        <w:pStyle w:val="ListParagraph"/>
        <w:numPr>
          <w:ilvl w:val="0"/>
          <w:numId w:val="2"/>
        </w:numPr>
        <w:spacing w:after="90" w:line="280"/>
      </w:pPr>
      <w:r>
        <w:t xml:space="preserve">The Problem Ledger has three recurring, unresolved problems that no single cycle fully solved this year.</w:t>
      </w:r>
    </w:p>
    <w:p>
      <w:pPr>
        <w:pStyle w:val="Heading2"/>
        <w:spacing w:after="140" w:before="300"/>
      </w:pPr>
      <w:r>
        <w:rPr>
          <w:b/>
          <w:bCs/>
          <w:color w:val="1F3864"/>
        </w:rPr>
        <w:t xml:space="preserve">One Question To Sit With</w:t>
      </w:r>
    </w:p>
    <w:p>
      <w:pPr>
        <w:spacing w:after="160" w:line="300"/>
      </w:pPr>
      <w:r>
        <w:rPr>
          <w:i/>
          <w:iCs/>
        </w:rPr>
        <w:t xml:space="preserve">If nothing changed about this problem for the rest of the year, what would that cost — for the students, and for you? Bring your honest answer to the Problem Ledger.</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abstractNum w:abstractNumId="4"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2026-07-24T14:37:06.336Z</dcterms:created>
  <dcterms:modified xsi:type="dcterms:W3CDTF">2026-07-24T14:37:06.336Z</dcterms:modified>
</cp:coreProperties>
</file>

<file path=docProps/custom.xml><?xml version="1.0" encoding="utf-8"?>
<Properties xmlns="http://schemas.openxmlformats.org/officeDocument/2006/custom-properties" xmlns:vt="http://schemas.openxmlformats.org/officeDocument/2006/docPropsVTypes"/>
</file>