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A385" w14:textId="77777777" w:rsidR="00F63639" w:rsidRPr="00F63639" w:rsidRDefault="00F63639" w:rsidP="00F63639">
      <w:pPr>
        <w:spacing w:after="0" w:line="276" w:lineRule="auto"/>
        <w:contextualSpacing/>
        <w:rPr>
          <w:rFonts w:eastAsia="Calibri" w:cs="Times New Roman"/>
          <w:b/>
          <w:bCs/>
          <w:kern w:val="0"/>
          <w:sz w:val="20"/>
          <w:szCs w:val="20"/>
          <w14:ligatures w14:val="none"/>
        </w:rPr>
      </w:pPr>
      <w:r w:rsidRPr="00F63639">
        <w:rPr>
          <w:rFonts w:eastAsia="Calibri" w:cs="Times New Roman"/>
          <w:b/>
          <w:bCs/>
          <w:kern w:val="0"/>
          <w:sz w:val="20"/>
          <w:szCs w:val="20"/>
          <w14:ligatures w14:val="none"/>
        </w:rPr>
        <w:t>Strategies for Becoming a Continuous Learner</w:t>
      </w:r>
    </w:p>
    <w:p w14:paraId="3A5E0959" w14:textId="77777777" w:rsidR="00F63639" w:rsidRDefault="00F63639" w:rsidP="00F63639">
      <w:pPr>
        <w:spacing w:after="0" w:line="276" w:lineRule="auto"/>
        <w:contextualSpacing/>
        <w:rPr>
          <w:rFonts w:eastAsia="Calibri" w:cs="Times New Roman"/>
          <w:kern w:val="0"/>
          <w:sz w:val="20"/>
          <w:szCs w:val="20"/>
          <w14:ligatures w14:val="none"/>
        </w:rPr>
      </w:pPr>
    </w:p>
    <w:p w14:paraId="29E6B251" w14:textId="39959410" w:rsidR="00F63639" w:rsidRDefault="00F63639" w:rsidP="00F63639">
      <w:pPr>
        <w:spacing w:after="0" w:line="276" w:lineRule="auto"/>
        <w:contextualSpacing/>
        <w:rPr>
          <w:rFonts w:eastAsia="Calibri" w:cs="Times New Roman"/>
          <w:kern w:val="0"/>
          <w:sz w:val="20"/>
          <w:szCs w:val="20"/>
          <w14:ligatures w14:val="none"/>
        </w:rPr>
      </w:pPr>
      <w:r w:rsidRPr="00D048DB">
        <w:rPr>
          <w:rFonts w:eastAsia="Calibri" w:cs="Times New Roman"/>
          <w:kern w:val="0"/>
          <w:sz w:val="20"/>
          <w:szCs w:val="20"/>
          <w14:ligatures w14:val="none"/>
        </w:rPr>
        <w:t>You become an effective continuous learner by honing a set of behaviors…</w:t>
      </w:r>
    </w:p>
    <w:p w14:paraId="0F759227" w14:textId="77777777" w:rsidR="00F63639" w:rsidRPr="00D048DB" w:rsidRDefault="00F63639" w:rsidP="00F63639">
      <w:pPr>
        <w:spacing w:after="0" w:line="276" w:lineRule="auto"/>
        <w:contextualSpacing/>
        <w:rPr>
          <w:rFonts w:eastAsia="Calibri" w:cs="Times New Roman"/>
          <w:kern w:val="0"/>
          <w:sz w:val="20"/>
          <w:szCs w:val="20"/>
          <w14:ligatures w14:val="none"/>
        </w:rPr>
      </w:pPr>
    </w:p>
    <w:p w14:paraId="125390A4" w14:textId="77777777" w:rsidR="00F63639" w:rsidRDefault="00F63639" w:rsidP="00F63639">
      <w:pPr>
        <w:numPr>
          <w:ilvl w:val="0"/>
          <w:numId w:val="1"/>
        </w:numPr>
        <w:spacing w:after="0" w:line="276" w:lineRule="auto"/>
        <w:contextualSpacing/>
        <w:rPr>
          <w:rFonts w:eastAsia="Calibri" w:cs="Times New Roman"/>
          <w:kern w:val="0"/>
          <w:sz w:val="20"/>
          <w:szCs w:val="20"/>
          <w14:ligatures w14:val="none"/>
        </w:rPr>
      </w:pPr>
      <w:r w:rsidRPr="00F63639">
        <w:rPr>
          <w:rFonts w:eastAsia="Calibri" w:cs="Times New Roman"/>
          <w:b/>
          <w:bCs/>
          <w:kern w:val="0"/>
          <w:sz w:val="20"/>
          <w:szCs w:val="20"/>
          <w14:ligatures w14:val="none"/>
        </w:rPr>
        <w:t>Have a beginner’s mindset.</w:t>
      </w:r>
      <w:r w:rsidRPr="00D048DB">
        <w:rPr>
          <w:rFonts w:eastAsia="Calibri" w:cs="Times New Roman"/>
          <w:kern w:val="0"/>
          <w:sz w:val="20"/>
          <w:szCs w:val="20"/>
          <w14:ligatures w14:val="none"/>
        </w:rPr>
        <w:t xml:space="preserve"> “If you approach anything with the mindset of an expert, you will learn nothing. With the expert’s mind, you are looking for confirmation and validation of what you already know. A beginner, on the other hand, looks constantly for one new tidbit, one or more ways to expand on their current expertise. In other words, expert or not, they don’t think that way, because they know that only with an open, beginner’s mind, can they benefit from the learning opportunity.”</w:t>
      </w:r>
    </w:p>
    <w:p w14:paraId="0E1C7DF2" w14:textId="77777777" w:rsidR="00F63639" w:rsidRPr="00D048DB" w:rsidRDefault="00F63639" w:rsidP="00F63639">
      <w:pPr>
        <w:spacing w:after="0" w:line="276" w:lineRule="auto"/>
        <w:ind w:left="720"/>
        <w:contextualSpacing/>
        <w:rPr>
          <w:rFonts w:eastAsia="Calibri" w:cs="Times New Roman"/>
          <w:kern w:val="0"/>
          <w:sz w:val="20"/>
          <w:szCs w:val="20"/>
          <w14:ligatures w14:val="none"/>
        </w:rPr>
      </w:pPr>
    </w:p>
    <w:p w14:paraId="2AE0946F" w14:textId="77777777" w:rsidR="00F63639" w:rsidRDefault="00F63639" w:rsidP="00F63639">
      <w:pPr>
        <w:numPr>
          <w:ilvl w:val="0"/>
          <w:numId w:val="1"/>
        </w:numPr>
        <w:spacing w:after="0" w:line="276" w:lineRule="auto"/>
        <w:contextualSpacing/>
        <w:rPr>
          <w:rFonts w:eastAsia="Calibri" w:cs="Times New Roman"/>
          <w:kern w:val="0"/>
          <w:sz w:val="20"/>
          <w:szCs w:val="20"/>
          <w14:ligatures w14:val="none"/>
        </w:rPr>
      </w:pPr>
      <w:r w:rsidRPr="00F63639">
        <w:rPr>
          <w:rFonts w:eastAsia="Calibri" w:cs="Times New Roman"/>
          <w:b/>
          <w:bCs/>
          <w:kern w:val="0"/>
          <w:sz w:val="20"/>
          <w:szCs w:val="20"/>
          <w14:ligatures w14:val="none"/>
        </w:rPr>
        <w:t>Making connections.</w:t>
      </w:r>
      <w:r w:rsidRPr="00D048DB">
        <w:rPr>
          <w:rFonts w:eastAsia="Calibri" w:cs="Times New Roman"/>
          <w:kern w:val="0"/>
          <w:sz w:val="20"/>
          <w:szCs w:val="20"/>
          <w14:ligatures w14:val="none"/>
        </w:rPr>
        <w:t xml:space="preserve"> “Continuous learners do that. They continue to think about what they have learned in one part of their life and how it relates to and connects with challenges, problems, opportunities, and situations that occur in other parts of their life.”</w:t>
      </w:r>
    </w:p>
    <w:p w14:paraId="6EF9DB3E" w14:textId="77777777" w:rsidR="00F63639" w:rsidRPr="00D048DB" w:rsidRDefault="00F63639" w:rsidP="00F63639">
      <w:pPr>
        <w:spacing w:after="0" w:line="276" w:lineRule="auto"/>
        <w:contextualSpacing/>
        <w:rPr>
          <w:rFonts w:eastAsia="Calibri" w:cs="Times New Roman"/>
          <w:kern w:val="0"/>
          <w:sz w:val="20"/>
          <w:szCs w:val="20"/>
          <w14:ligatures w14:val="none"/>
        </w:rPr>
      </w:pPr>
    </w:p>
    <w:p w14:paraId="04AB2A4A" w14:textId="77777777" w:rsidR="00F63639" w:rsidRDefault="00F63639" w:rsidP="00F63639">
      <w:pPr>
        <w:numPr>
          <w:ilvl w:val="0"/>
          <w:numId w:val="1"/>
        </w:numPr>
        <w:spacing w:after="0" w:line="276" w:lineRule="auto"/>
        <w:contextualSpacing/>
        <w:rPr>
          <w:rFonts w:eastAsia="Calibri" w:cs="Times New Roman"/>
          <w:kern w:val="0"/>
          <w:sz w:val="20"/>
          <w:szCs w:val="20"/>
          <w14:ligatures w14:val="none"/>
        </w:rPr>
      </w:pPr>
      <w:r w:rsidRPr="00F63639">
        <w:rPr>
          <w:rFonts w:eastAsia="Calibri" w:cs="Times New Roman"/>
          <w:b/>
          <w:bCs/>
          <w:kern w:val="0"/>
          <w:sz w:val="20"/>
          <w:szCs w:val="20"/>
          <w14:ligatures w14:val="none"/>
        </w:rPr>
        <w:t>Being flexible and adaptable.</w:t>
      </w:r>
      <w:r w:rsidRPr="00D048DB">
        <w:rPr>
          <w:rFonts w:eastAsia="Calibri" w:cs="Times New Roman"/>
          <w:kern w:val="0"/>
          <w:sz w:val="20"/>
          <w:szCs w:val="20"/>
          <w14:ligatures w14:val="none"/>
        </w:rPr>
        <w:t xml:space="preserve"> “Learning requires change, so continuous learners realize that they must be willing to adapt and change if they want to grow.”</w:t>
      </w:r>
    </w:p>
    <w:p w14:paraId="0A9A9391" w14:textId="77777777" w:rsidR="00F63639" w:rsidRPr="00D048DB" w:rsidRDefault="00F63639" w:rsidP="00F63639">
      <w:pPr>
        <w:spacing w:after="0" w:line="276" w:lineRule="auto"/>
        <w:contextualSpacing/>
        <w:rPr>
          <w:rFonts w:eastAsia="Calibri" w:cs="Times New Roman"/>
          <w:kern w:val="0"/>
          <w:sz w:val="20"/>
          <w:szCs w:val="20"/>
          <w14:ligatures w14:val="none"/>
        </w:rPr>
      </w:pPr>
    </w:p>
    <w:p w14:paraId="358202B2" w14:textId="77777777" w:rsidR="00F63639" w:rsidRDefault="00F63639" w:rsidP="00F63639">
      <w:pPr>
        <w:numPr>
          <w:ilvl w:val="0"/>
          <w:numId w:val="1"/>
        </w:numPr>
        <w:spacing w:after="0" w:line="276" w:lineRule="auto"/>
        <w:contextualSpacing/>
        <w:rPr>
          <w:rFonts w:eastAsia="Calibri" w:cs="Times New Roman"/>
          <w:kern w:val="0"/>
          <w:sz w:val="20"/>
          <w:szCs w:val="20"/>
          <w14:ligatures w14:val="none"/>
        </w:rPr>
      </w:pPr>
      <w:r w:rsidRPr="00F63639">
        <w:rPr>
          <w:rFonts w:eastAsia="Calibri" w:cs="Times New Roman"/>
          <w:b/>
          <w:bCs/>
          <w:kern w:val="0"/>
          <w:sz w:val="20"/>
          <w:szCs w:val="20"/>
          <w14:ligatures w14:val="none"/>
        </w:rPr>
        <w:t>Being continuously curious.</w:t>
      </w:r>
      <w:r w:rsidRPr="00D048DB">
        <w:rPr>
          <w:rFonts w:eastAsia="Calibri" w:cs="Times New Roman"/>
          <w:kern w:val="0"/>
          <w:sz w:val="20"/>
          <w:szCs w:val="20"/>
          <w14:ligatures w14:val="none"/>
        </w:rPr>
        <w:t xml:space="preserve"> “One of the most powerful learning questions we use is “Why?” "Why?" is the question of the curious. Continuous learners remain curious about people, places, important and mundane things as well. By cultivating their </w:t>
      </w:r>
      <w:proofErr w:type="gramStart"/>
      <w:r w:rsidRPr="00D048DB">
        <w:rPr>
          <w:rFonts w:eastAsia="Calibri" w:cs="Times New Roman"/>
          <w:kern w:val="0"/>
          <w:sz w:val="20"/>
          <w:szCs w:val="20"/>
          <w14:ligatures w14:val="none"/>
        </w:rPr>
        <w:t>curiosity</w:t>
      </w:r>
      <w:proofErr w:type="gramEnd"/>
      <w:r w:rsidRPr="00D048DB">
        <w:rPr>
          <w:rFonts w:eastAsia="Calibri" w:cs="Times New Roman"/>
          <w:kern w:val="0"/>
          <w:sz w:val="20"/>
          <w:szCs w:val="20"/>
          <w14:ligatures w14:val="none"/>
        </w:rPr>
        <w:t xml:space="preserve"> they are adding to their knowledge and perspective while exercising an important part of our learning brain at the same time.”</w:t>
      </w:r>
    </w:p>
    <w:p w14:paraId="1349C5D0" w14:textId="77777777" w:rsidR="00F63639" w:rsidRPr="00D048DB" w:rsidRDefault="00F63639" w:rsidP="00F63639">
      <w:pPr>
        <w:spacing w:after="0" w:line="276" w:lineRule="auto"/>
        <w:contextualSpacing/>
        <w:rPr>
          <w:rFonts w:eastAsia="Calibri" w:cs="Times New Roman"/>
          <w:kern w:val="0"/>
          <w:sz w:val="20"/>
          <w:szCs w:val="20"/>
          <w14:ligatures w14:val="none"/>
        </w:rPr>
      </w:pPr>
    </w:p>
    <w:p w14:paraId="57AE27C7" w14:textId="77777777" w:rsidR="00F63639" w:rsidRDefault="00F63639" w:rsidP="00F63639">
      <w:pPr>
        <w:numPr>
          <w:ilvl w:val="0"/>
          <w:numId w:val="1"/>
        </w:numPr>
        <w:spacing w:after="0" w:line="276" w:lineRule="auto"/>
        <w:contextualSpacing/>
        <w:rPr>
          <w:rFonts w:eastAsia="Calibri" w:cs="Times New Roman"/>
          <w:kern w:val="0"/>
          <w:sz w:val="20"/>
          <w:szCs w:val="20"/>
          <w14:ligatures w14:val="none"/>
        </w:rPr>
      </w:pPr>
      <w:r w:rsidRPr="00F63639">
        <w:rPr>
          <w:rFonts w:eastAsia="Calibri" w:cs="Times New Roman"/>
          <w:b/>
          <w:bCs/>
          <w:kern w:val="0"/>
          <w:sz w:val="20"/>
          <w:szCs w:val="20"/>
          <w14:ligatures w14:val="none"/>
        </w:rPr>
        <w:t>Learning in multiple ways.</w:t>
      </w:r>
      <w:r w:rsidRPr="00D048DB">
        <w:rPr>
          <w:rFonts w:eastAsia="Calibri" w:cs="Times New Roman"/>
          <w:kern w:val="0"/>
          <w:sz w:val="20"/>
          <w:szCs w:val="20"/>
          <w14:ligatures w14:val="none"/>
        </w:rPr>
        <w:t xml:space="preserve"> “In school, we learned in a relatively limited number of ways, which unfortunately leaves some people with a limited view of learning. Continuous learners know that they can learn by reading, by listening, by trying, through others, with a mentor, etc. (etc.!)”</w:t>
      </w:r>
    </w:p>
    <w:p w14:paraId="5129CABC" w14:textId="77777777" w:rsidR="00F63639" w:rsidRPr="00D048DB" w:rsidRDefault="00F63639" w:rsidP="00F63639">
      <w:pPr>
        <w:spacing w:after="0" w:line="276" w:lineRule="auto"/>
        <w:contextualSpacing/>
        <w:rPr>
          <w:rFonts w:eastAsia="Calibri" w:cs="Times New Roman"/>
          <w:kern w:val="0"/>
          <w:sz w:val="20"/>
          <w:szCs w:val="20"/>
          <w14:ligatures w14:val="none"/>
        </w:rPr>
      </w:pPr>
    </w:p>
    <w:p w14:paraId="4F38D136" w14:textId="77777777" w:rsidR="00F63639" w:rsidRPr="00D048DB" w:rsidRDefault="00F63639" w:rsidP="00F63639">
      <w:pPr>
        <w:numPr>
          <w:ilvl w:val="0"/>
          <w:numId w:val="1"/>
        </w:numPr>
        <w:spacing w:after="0" w:line="276" w:lineRule="auto"/>
        <w:contextualSpacing/>
        <w:rPr>
          <w:rFonts w:eastAsia="Calibri" w:cs="Times New Roman"/>
          <w:kern w:val="0"/>
          <w:sz w:val="20"/>
          <w:szCs w:val="20"/>
          <w14:ligatures w14:val="none"/>
        </w:rPr>
      </w:pPr>
      <w:r w:rsidRPr="00F63639">
        <w:rPr>
          <w:rFonts w:eastAsia="Calibri" w:cs="Times New Roman"/>
          <w:b/>
          <w:bCs/>
          <w:kern w:val="0"/>
          <w:sz w:val="20"/>
          <w:szCs w:val="20"/>
          <w14:ligatures w14:val="none"/>
        </w:rPr>
        <w:t>Teaching others.</w:t>
      </w:r>
      <w:r w:rsidRPr="00D048DB">
        <w:rPr>
          <w:rFonts w:eastAsia="Calibri" w:cs="Times New Roman"/>
          <w:kern w:val="0"/>
          <w:sz w:val="20"/>
          <w:szCs w:val="20"/>
          <w14:ligatures w14:val="none"/>
        </w:rPr>
        <w:t xml:space="preserve"> “Something magical happens when you teach someone something – you suddenly understand it better yourself. Continuous learners teach others not just to help the other person (or to show them how much they know) but because they know it helps them deepen their mastery of their own learning.”</w:t>
      </w:r>
    </w:p>
    <w:p w14:paraId="76071827" w14:textId="77777777" w:rsidR="00F63639" w:rsidRDefault="00F63639" w:rsidP="00F63639">
      <w:pPr>
        <w:spacing w:after="0" w:line="276" w:lineRule="auto"/>
        <w:contextualSpacing/>
        <w:rPr>
          <w:rFonts w:eastAsia="Calibri" w:cs="Times New Roman"/>
          <w:kern w:val="0"/>
          <w:sz w:val="20"/>
          <w:szCs w:val="20"/>
          <w14:ligatures w14:val="none"/>
        </w:rPr>
      </w:pPr>
    </w:p>
    <w:p w14:paraId="51BEEF3D" w14:textId="6A6D168D" w:rsidR="00F63639" w:rsidRPr="00D048DB" w:rsidRDefault="00F63639" w:rsidP="00F63639">
      <w:pPr>
        <w:spacing w:after="0" w:line="276" w:lineRule="auto"/>
        <w:contextualSpacing/>
        <w:rPr>
          <w:rFonts w:eastAsia="Calibri" w:cs="Times New Roman"/>
          <w:kern w:val="0"/>
          <w:sz w:val="20"/>
          <w:szCs w:val="20"/>
          <w14:ligatures w14:val="none"/>
        </w:rPr>
      </w:pPr>
      <w:r w:rsidRPr="00D048DB">
        <w:rPr>
          <w:rFonts w:eastAsia="Calibri" w:cs="Times New Roman"/>
          <w:kern w:val="0"/>
          <w:sz w:val="20"/>
          <w:szCs w:val="20"/>
          <w14:ligatures w14:val="none"/>
        </w:rPr>
        <w:t xml:space="preserve">These six behaviors are key to becoming a continuous learner. They are most likely behaviors you already practice. You simply need to become more aware of how you use them to </w:t>
      </w:r>
      <w:r w:rsidRPr="00F63639">
        <w:rPr>
          <w:rFonts w:eastAsia="Calibri" w:cs="Times New Roman"/>
          <w:b/>
          <w:bCs/>
          <w:kern w:val="0"/>
          <w:sz w:val="20"/>
          <w:szCs w:val="20"/>
          <w14:ligatures w14:val="none"/>
        </w:rPr>
        <w:t>respond to change</w:t>
      </w:r>
      <w:r w:rsidRPr="00D048DB">
        <w:rPr>
          <w:rFonts w:eastAsia="Calibri" w:cs="Times New Roman"/>
          <w:kern w:val="0"/>
          <w:sz w:val="20"/>
          <w:szCs w:val="20"/>
          <w14:ligatures w14:val="none"/>
        </w:rPr>
        <w:t xml:space="preserve"> and new demands.</w:t>
      </w:r>
    </w:p>
    <w:p w14:paraId="215E3907" w14:textId="77777777" w:rsidR="00962D9E" w:rsidRPr="00F63639" w:rsidRDefault="00962D9E" w:rsidP="00F63639"/>
    <w:sectPr w:rsidR="00962D9E" w:rsidRPr="00F636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796D" w14:textId="77777777" w:rsidR="005576D1" w:rsidRDefault="005576D1" w:rsidP="00F63639">
      <w:pPr>
        <w:spacing w:after="0" w:line="240" w:lineRule="auto"/>
      </w:pPr>
      <w:r>
        <w:separator/>
      </w:r>
    </w:p>
  </w:endnote>
  <w:endnote w:type="continuationSeparator" w:id="0">
    <w:p w14:paraId="51DACB84" w14:textId="77777777" w:rsidR="005576D1" w:rsidRDefault="005576D1" w:rsidP="00F6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0B75" w14:textId="77777777" w:rsidR="00F63639" w:rsidRPr="00746895" w:rsidRDefault="00F63639" w:rsidP="00F63639">
    <w:pPr>
      <w:pBdr>
        <w:left w:val="single" w:sz="8" w:space="6" w:color="CFB991"/>
      </w:pBdr>
      <w:tabs>
        <w:tab w:val="center" w:pos="4320"/>
        <w:tab w:val="right" w:pos="8640"/>
      </w:tabs>
      <w:spacing w:after="0" w:line="240" w:lineRule="auto"/>
      <w:ind w:left="187"/>
      <w:rPr>
        <w:rFonts w:ascii="Franklin Gothic Medium" w:eastAsia="Times" w:hAnsi="Franklin Gothic Medium" w:cs="Times New Roman"/>
        <w:caps/>
        <w:noProof/>
        <w:kern w:val="0"/>
        <w:sz w:val="15"/>
        <w:szCs w:val="20"/>
        <w:lang w:eastAsia="zh-CN"/>
        <w14:ligatures w14:val="none"/>
      </w:rPr>
    </w:pPr>
    <w:r w:rsidRPr="00746895">
      <w:rPr>
        <w:rFonts w:ascii="Franklin Gothic Medium" w:eastAsia="Times" w:hAnsi="Franklin Gothic Medium" w:cs="Times New Roman"/>
        <w:caps/>
        <w:noProof/>
        <w:kern w:val="0"/>
        <w:sz w:val="15"/>
        <w:szCs w:val="20"/>
        <w:lang w:eastAsia="zh-CN"/>
        <w14:ligatures w14:val="none"/>
      </w:rPr>
      <w:t>Roger C. Stewart Leadership and Professional Development Department</w:t>
    </w:r>
  </w:p>
  <w:p w14:paraId="016158F5" w14:textId="77777777" w:rsidR="00F63639" w:rsidRPr="00746895" w:rsidRDefault="00F63639" w:rsidP="00F63639">
    <w:pPr>
      <w:pBdr>
        <w:left w:val="single" w:sz="8" w:space="6" w:color="CFB991"/>
      </w:pBdr>
      <w:tabs>
        <w:tab w:val="center" w:pos="4320"/>
        <w:tab w:val="right" w:pos="8640"/>
      </w:tabs>
      <w:spacing w:after="0" w:line="240" w:lineRule="auto"/>
      <w:ind w:left="187"/>
      <w:rPr>
        <w:rFonts w:ascii="Franklin Gothic Book" w:eastAsia="Times" w:hAnsi="Franklin Gothic Book" w:cs="Times New Roman"/>
        <w:noProof/>
        <w:color w:val="000000"/>
        <w:kern w:val="0"/>
        <w:sz w:val="15"/>
        <w:szCs w:val="20"/>
        <w:lang w:eastAsia="zh-CN"/>
        <w14:ligatures w14:val="none"/>
      </w:rPr>
    </w:pPr>
    <w:r w:rsidRPr="00746895">
      <w:rPr>
        <w:rFonts w:ascii="Franklin Gothic Book" w:eastAsia="Times" w:hAnsi="Franklin Gothic Book" w:cs="Times New Roman"/>
        <w:noProof/>
        <w:color w:val="000000"/>
        <w:kern w:val="0"/>
        <w:sz w:val="15"/>
        <w:szCs w:val="20"/>
        <w:lang w:eastAsia="zh-CN"/>
        <w14:ligatures w14:val="none"/>
      </w:rPr>
      <w:t>Krach Leadership Center | Room 336</w:t>
    </w:r>
  </w:p>
  <w:p w14:paraId="0E9E4D21" w14:textId="77777777" w:rsidR="00F63639" w:rsidRPr="00746895" w:rsidRDefault="00F63639" w:rsidP="00F63639">
    <w:pPr>
      <w:pBdr>
        <w:left w:val="single" w:sz="8" w:space="6" w:color="CFB991"/>
      </w:pBdr>
      <w:tabs>
        <w:tab w:val="center" w:pos="4320"/>
        <w:tab w:val="right" w:pos="8640"/>
      </w:tabs>
      <w:spacing w:after="0" w:line="240" w:lineRule="auto"/>
      <w:ind w:left="187"/>
      <w:rPr>
        <w:rFonts w:ascii="Franklin Gothic Book" w:eastAsia="Times" w:hAnsi="Franklin Gothic Book" w:cs="Times New Roman"/>
        <w:noProof/>
        <w:color w:val="000000"/>
        <w:kern w:val="0"/>
        <w:sz w:val="15"/>
        <w:szCs w:val="20"/>
        <w:lang w:eastAsia="zh-CN"/>
        <w14:ligatures w14:val="none"/>
      </w:rPr>
    </w:pPr>
    <w:r w:rsidRPr="00746895">
      <w:rPr>
        <w:rFonts w:ascii="Franklin Gothic Book" w:eastAsia="Times" w:hAnsi="Franklin Gothic Book" w:cs="Times New Roman"/>
        <w:noProof/>
        <w:color w:val="000000"/>
        <w:kern w:val="0"/>
        <w:sz w:val="15"/>
        <w:szCs w:val="20"/>
        <w:lang w:eastAsia="zh-CN"/>
        <w14:ligatures w14:val="none"/>
      </w:rPr>
      <w:t>1198 Third Street, West Lafayette, IN  47907</w:t>
    </w:r>
  </w:p>
  <w:p w14:paraId="6A019F36" w14:textId="77777777" w:rsidR="00F63639" w:rsidRPr="00746895" w:rsidRDefault="00F63639" w:rsidP="00F63639">
    <w:pPr>
      <w:pBdr>
        <w:left w:val="single" w:sz="8" w:space="6" w:color="CFB991"/>
      </w:pBdr>
      <w:tabs>
        <w:tab w:val="center" w:pos="4320"/>
        <w:tab w:val="right" w:pos="8640"/>
      </w:tabs>
      <w:spacing w:after="0" w:line="240" w:lineRule="auto"/>
      <w:ind w:left="187"/>
      <w:rPr>
        <w:rFonts w:ascii="Franklin Gothic Book" w:eastAsia="Times" w:hAnsi="Franklin Gothic Book" w:cs="Times New Roman"/>
        <w:noProof/>
        <w:color w:val="000000"/>
        <w:kern w:val="0"/>
        <w:sz w:val="15"/>
        <w:szCs w:val="20"/>
        <w:lang w:eastAsia="zh-CN"/>
        <w14:ligatures w14:val="none"/>
      </w:rPr>
    </w:pPr>
    <w:r w:rsidRPr="00746895">
      <w:rPr>
        <w:rFonts w:ascii="Franklin Gothic Book" w:eastAsia="Times" w:hAnsi="Franklin Gothic Book" w:cs="Times New Roman"/>
        <w:noProof/>
        <w:color w:val="000000"/>
        <w:kern w:val="0"/>
        <w:sz w:val="15"/>
        <w:szCs w:val="20"/>
        <w:lang w:eastAsia="zh-CN"/>
        <w14:ligatures w14:val="none"/>
      </w:rPr>
      <w:t>Phone:  (765) 496-2450</w:t>
    </w:r>
  </w:p>
  <w:p w14:paraId="5B45D71C" w14:textId="77777777" w:rsidR="00F63639" w:rsidRPr="00746895" w:rsidRDefault="00F63639" w:rsidP="00F63639">
    <w:pPr>
      <w:pBdr>
        <w:left w:val="single" w:sz="8" w:space="6" w:color="CFB991"/>
      </w:pBdr>
      <w:tabs>
        <w:tab w:val="center" w:pos="4320"/>
        <w:tab w:val="right" w:pos="8640"/>
      </w:tabs>
      <w:spacing w:after="0" w:line="240" w:lineRule="auto"/>
      <w:ind w:left="187"/>
      <w:rPr>
        <w:rFonts w:ascii="Franklin Gothic Book" w:eastAsia="Times" w:hAnsi="Franklin Gothic Book" w:cs="Times New Roman"/>
        <w:noProof/>
        <w:color w:val="000000"/>
        <w:kern w:val="0"/>
        <w:sz w:val="15"/>
        <w:szCs w:val="20"/>
        <w:lang w:val="fr-FR" w:eastAsia="zh-CN"/>
        <w14:ligatures w14:val="none"/>
      </w:rPr>
    </w:pPr>
    <w:r w:rsidRPr="00746895">
      <w:rPr>
        <w:rFonts w:ascii="Franklin Gothic Book" w:eastAsia="Times" w:hAnsi="Franklin Gothic Book" w:cs="Times New Roman"/>
        <w:noProof/>
        <w:color w:val="000000"/>
        <w:kern w:val="0"/>
        <w:sz w:val="15"/>
        <w:szCs w:val="20"/>
        <w:lang w:eastAsia="zh-CN"/>
        <w14:ligatures w14:val="none"/>
      </w:rPr>
      <w:t xml:space="preserve">Email: </w:t>
    </w:r>
    <w:hyperlink r:id="rId1" w:history="1">
      <w:r w:rsidRPr="00746895">
        <w:rPr>
          <w:rFonts w:ascii="Franklin Gothic Book" w:eastAsia="Times" w:hAnsi="Franklin Gothic Book" w:cs="Times New Roman"/>
          <w:noProof/>
          <w:color w:val="0563C1"/>
          <w:kern w:val="0"/>
          <w:sz w:val="15"/>
          <w:szCs w:val="20"/>
          <w:u w:val="single"/>
          <w:lang w:eastAsia="zh-CN"/>
          <w14:ligatures w14:val="none"/>
        </w:rPr>
        <w:t>leadership@purdue.edu</w:t>
      </w:r>
    </w:hyperlink>
    <w:r w:rsidRPr="00746895">
      <w:rPr>
        <w:rFonts w:ascii="Franklin Gothic Book" w:eastAsia="Times" w:hAnsi="Franklin Gothic Book" w:cs="Times New Roman"/>
        <w:noProof/>
        <w:color w:val="000000"/>
        <w:kern w:val="0"/>
        <w:sz w:val="15"/>
        <w:szCs w:val="20"/>
        <w:lang w:eastAsia="zh-CN"/>
        <w14:ligatures w14:val="none"/>
      </w:rPr>
      <w:t xml:space="preserve"> </w:t>
    </w:r>
  </w:p>
  <w:p w14:paraId="2D7C83E4" w14:textId="77777777" w:rsidR="00F63639" w:rsidRDefault="00F63639" w:rsidP="00F63639">
    <w:pPr>
      <w:spacing w:after="0" w:line="276" w:lineRule="auto"/>
      <w:contextualSpacing/>
      <w:rPr>
        <w:rFonts w:eastAsia="Calibri" w:cs="Times New Roman"/>
        <w:kern w:val="0"/>
        <w:sz w:val="16"/>
        <w:szCs w:val="16"/>
        <w14:ligatures w14:val="none"/>
      </w:rPr>
    </w:pPr>
  </w:p>
  <w:p w14:paraId="1796E30C" w14:textId="1CDC9FDE" w:rsidR="00F63639" w:rsidRPr="00F63639" w:rsidRDefault="00F63639" w:rsidP="00F63639">
    <w:pPr>
      <w:spacing w:after="0" w:line="276" w:lineRule="auto"/>
      <w:contextualSpacing/>
      <w:rPr>
        <w:rFonts w:eastAsia="Calibri" w:cs="Times New Roman"/>
        <w:kern w:val="0"/>
        <w:sz w:val="16"/>
        <w:szCs w:val="16"/>
        <w14:ligatures w14:val="none"/>
      </w:rPr>
    </w:pPr>
    <w:r>
      <w:rPr>
        <w:rFonts w:eastAsia="Calibri" w:cs="Times New Roman"/>
        <w:kern w:val="0"/>
        <w:sz w:val="16"/>
        <w:szCs w:val="16"/>
        <w14:ligatures w14:val="none"/>
      </w:rPr>
      <w:t>*</w:t>
    </w:r>
    <w:r w:rsidRPr="00F63639">
      <w:rPr>
        <w:rFonts w:eastAsia="Calibri" w:cs="Times New Roman"/>
        <w:kern w:val="0"/>
        <w:sz w:val="16"/>
        <w:szCs w:val="16"/>
        <w14:ligatures w14:val="none"/>
      </w:rPr>
      <w:t>This learning module is based on Kevin Eikenberry's published article, Unleashing Your Remarkable Potential.</w:t>
    </w:r>
  </w:p>
  <w:p w14:paraId="68822481" w14:textId="77777777" w:rsidR="00F63639" w:rsidRDefault="00F6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7A42" w14:textId="77777777" w:rsidR="005576D1" w:rsidRDefault="005576D1" w:rsidP="00F63639">
      <w:pPr>
        <w:spacing w:after="0" w:line="240" w:lineRule="auto"/>
      </w:pPr>
      <w:r>
        <w:separator/>
      </w:r>
    </w:p>
  </w:footnote>
  <w:footnote w:type="continuationSeparator" w:id="0">
    <w:p w14:paraId="4149A3EF" w14:textId="77777777" w:rsidR="005576D1" w:rsidRDefault="005576D1" w:rsidP="00F6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B73B" w14:textId="467A8A32" w:rsidR="00F63639" w:rsidRDefault="00F63639">
    <w:pPr>
      <w:pStyle w:val="Header"/>
    </w:pPr>
    <w:r>
      <w:rPr>
        <w:noProof/>
      </w:rPr>
      <w:drawing>
        <wp:inline distT="0" distB="0" distL="0" distR="0" wp14:anchorId="244D0A94" wp14:editId="3A9B838B">
          <wp:extent cx="4324206" cy="460859"/>
          <wp:effectExtent l="0" t="0" r="0" b="0"/>
          <wp:docPr id="27939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92840" name="Picture 279392840"/>
                  <pic:cNvPicPr/>
                </pic:nvPicPr>
                <pic:blipFill>
                  <a:blip r:embed="rId1">
                    <a:extLst>
                      <a:ext uri="{28A0092B-C50C-407E-A947-70E740481C1C}">
                        <a14:useLocalDpi xmlns:a14="http://schemas.microsoft.com/office/drawing/2010/main" val="0"/>
                      </a:ext>
                    </a:extLst>
                  </a:blip>
                  <a:stretch>
                    <a:fillRect/>
                  </a:stretch>
                </pic:blipFill>
                <pic:spPr>
                  <a:xfrm>
                    <a:off x="0" y="0"/>
                    <a:ext cx="4324206" cy="460859"/>
                  </a:xfrm>
                  <a:prstGeom prst="rect">
                    <a:avLst/>
                  </a:prstGeom>
                </pic:spPr>
              </pic:pic>
            </a:graphicData>
          </a:graphic>
        </wp:inline>
      </w:drawing>
    </w:r>
  </w:p>
  <w:p w14:paraId="7F982E63" w14:textId="77777777" w:rsidR="00F63639" w:rsidRDefault="00F63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05C73"/>
    <w:multiLevelType w:val="hybridMultilevel"/>
    <w:tmpl w:val="71B49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81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39"/>
    <w:rsid w:val="005576D1"/>
    <w:rsid w:val="008A5B6B"/>
    <w:rsid w:val="00962D9E"/>
    <w:rsid w:val="00980BFC"/>
    <w:rsid w:val="00F6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4B65A"/>
  <w15:chartTrackingRefBased/>
  <w15:docId w15:val="{97089D7C-29BF-9A4F-B38C-6562E7E6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639"/>
    <w:pPr>
      <w:spacing w:after="160" w:line="259" w:lineRule="auto"/>
    </w:pPr>
    <w:rPr>
      <w:rFonts w:ascii="Georgia" w:hAnsi="Georg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639"/>
    <w:pPr>
      <w:tabs>
        <w:tab w:val="center" w:pos="4680"/>
        <w:tab w:val="right" w:pos="9360"/>
      </w:tabs>
    </w:pPr>
  </w:style>
  <w:style w:type="character" w:customStyle="1" w:styleId="HeaderChar">
    <w:name w:val="Header Char"/>
    <w:basedOn w:val="DefaultParagraphFont"/>
    <w:link w:val="Header"/>
    <w:uiPriority w:val="99"/>
    <w:rsid w:val="00F63639"/>
  </w:style>
  <w:style w:type="paragraph" w:styleId="Footer">
    <w:name w:val="footer"/>
    <w:basedOn w:val="Normal"/>
    <w:link w:val="FooterChar"/>
    <w:uiPriority w:val="99"/>
    <w:unhideWhenUsed/>
    <w:rsid w:val="00F63639"/>
    <w:pPr>
      <w:tabs>
        <w:tab w:val="center" w:pos="4680"/>
        <w:tab w:val="right" w:pos="9360"/>
      </w:tabs>
    </w:pPr>
  </w:style>
  <w:style w:type="character" w:customStyle="1" w:styleId="FooterChar">
    <w:name w:val="Footer Char"/>
    <w:basedOn w:val="DefaultParagraphFont"/>
    <w:link w:val="Footer"/>
    <w:uiPriority w:val="99"/>
    <w:rsid w:val="00F63639"/>
  </w:style>
  <w:style w:type="paragraph" w:styleId="ListParagraph">
    <w:name w:val="List Paragraph"/>
    <w:basedOn w:val="Normal"/>
    <w:uiPriority w:val="34"/>
    <w:qFormat/>
    <w:rsid w:val="00F6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leadership@purdu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Hoeing, Emily L</dc:creator>
  <cp:keywords/>
  <dc:description/>
  <cp:lastModifiedBy>Hoeing, Emily L</cp:lastModifiedBy>
  <cp:revision>1</cp:revision>
  <dcterms:created xsi:type="dcterms:W3CDTF">2023-08-31T16:36:00Z</dcterms:created>
  <dcterms:modified xsi:type="dcterms:W3CDTF">2023-08-31T16:48:00Z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2023-08-31T16:48:21Z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67af0fae-253d-4b8d-bcf6-5287673affab</vt:lpwstr>
  </property>
  <property fmtid="{D5CDD505-2E9C-101B-9397-08002B2CF9AE}" pid="8" name="MSIP_Label_4044bd30-2ed7-4c9d-9d12-46200872a97b_ContentBits">
    <vt:lpwstr>0</vt:lpwstr>
  </property>
</Properties>
</file>