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29000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submit your STAT 29000 Project 1 at this URL:</w:t>
      </w:r>
      <w:r>
        <w:t xml:space="preserve"> </w:t>
      </w:r>
      <w:hyperlink r:id="rId20">
        <w:r>
          <w:rPr>
            <w:rStyle w:val="Hyperlink"/>
          </w:rPr>
          <w:t xml:space="preserve">https://classroom.github.com/a/PBr7CuA6</w:t>
        </w:r>
      </w:hyperlink>
      <w:r>
        <w:t xml:space="preserve"> </w:t>
      </w:r>
      <w:r>
        <w:t xml:space="preserve">using the instructions found in the GitHub Classroom instructions folder on Blackboard.</w:t>
      </w:r>
    </w:p>
    <w:p>
      <w:pPr>
        <w:pStyle w:val="Heading2"/>
      </w:pPr>
      <w:bookmarkStart w:id="21" w:name="topics-reminders-about-using-unix-on-scholar"/>
      <w:r>
        <w:t xml:space="preserve">Topics: Reminders about Using UNIX on Scholar</w:t>
      </w:r>
      <w:bookmarkEnd w:id="21"/>
    </w:p>
    <w:p>
      <w:pPr>
        <w:pStyle w:val="FirstParagraph"/>
      </w:pPr>
      <w:r>
        <w:t xml:space="preserve">Before getting started with this project, read the Motivation / Context / Scope discussion, called</w:t>
      </w:r>
      <w:r>
        <w:t xml:space="preserve"> </w:t>
      </w:r>
      <w:r>
        <w:t xml:space="preserve">“</w:t>
      </w:r>
      <w:r>
        <w:t xml:space="preserve">Why are we here?</w:t>
      </w:r>
      <w:r>
        <w:t xml:space="preserve">”</w:t>
      </w:r>
      <w:r>
        <w:t xml:space="preserve">, in the Blackboard site.</w:t>
      </w:r>
    </w:p>
    <w:p>
      <w:pPr>
        <w:pStyle w:val="Heading2"/>
      </w:pPr>
      <w:bookmarkStart w:id="22" w:name="thinlinc"/>
      <w:r>
        <w:t xml:space="preserve">ThinLinc</w:t>
      </w:r>
      <w:bookmarkEnd w:id="22"/>
    </w:p>
    <w:p>
      <w:pPr>
        <w:pStyle w:val="FirstParagraph"/>
      </w:pPr>
      <w:r>
        <w:t xml:space="preserve">Remember that you can either log onto Scholar via this website:</w:t>
      </w:r>
      <w:r>
        <w:t xml:space="preserve"> </w:t>
      </w:r>
      <w:hyperlink r:id="rId23">
        <w:r>
          <w:rPr>
            <w:rStyle w:val="Hyperlink"/>
          </w:rPr>
          <w:t xml:space="preserve">https://desktop.scholar.rcac.purdue.edu</w:t>
        </w:r>
      </w:hyperlink>
    </w:p>
    <w:p>
      <w:pPr>
        <w:pStyle w:val="BodyText"/>
      </w:pPr>
      <w:r>
        <w:t xml:space="preserve">or you can install the ThinLinc Client onto your computer. The advantage of using the ThinLinc Client on your computer is that it is stable and allows copy-and-paste to work with your computer. At the start of the academic year, it is worthwhile to download the newest version of the ThinLinc Client:</w:t>
      </w:r>
    </w:p>
    <w:p>
      <w:pPr>
        <w:pStyle w:val="Heading2"/>
      </w:pPr>
      <w:bookmarkStart w:id="24" w:name="download-the-thinlinc-client-files"/>
      <w:r>
        <w:t xml:space="preserve">Download the ThinLinc Client files: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For Windows users, the installer is here:</w:t>
      </w:r>
    </w:p>
    <w:p>
      <w:pPr>
        <w:pStyle w:val="FirstParagraph"/>
      </w:pPr>
      <w:hyperlink r:id="rId25">
        <w:r>
          <w:rPr>
            <w:rStyle w:val="Hyperlink"/>
          </w:rPr>
          <w:t xml:space="preserve">https://www.cendio.com/downloads/clients/tl-4.10.0-client-windows.exe</w:t>
        </w:r>
      </w:hyperlink>
    </w:p>
    <w:p>
      <w:pPr>
        <w:pStyle w:val="Compact"/>
        <w:numPr>
          <w:numId w:val="1002"/>
          <w:ilvl w:val="0"/>
        </w:numPr>
      </w:pPr>
      <w:r>
        <w:t xml:space="preserve">For Mac users, the installer is here: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https://www.cendio.com/downloads/clients/tl-4.10.0_6068-client-macos.iso</w:t>
        </w:r>
      </w:hyperlink>
    </w:p>
    <w:p>
      <w:pPr>
        <w:pStyle w:val="Compact"/>
        <w:numPr>
          <w:numId w:val="1003"/>
          <w:ilvl w:val="0"/>
        </w:numPr>
      </w:pPr>
      <w:r>
        <w:t xml:space="preserve">For UNIX users, choose the appropriate installer: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https://www.cendio.com/thinlinc/download</w:t>
        </w:r>
      </w:hyperlink>
    </w:p>
    <w:p>
      <w:pPr>
        <w:pStyle w:val="Heading2"/>
      </w:pPr>
      <w:bookmarkStart w:id="28" w:name="reminder-about-setting-up-the-thinlinc-client"/>
      <w:r>
        <w:t xml:space="preserve">Reminder about setting up the ThinLinc Client:</w:t>
      </w:r>
      <w:bookmarkEnd w:id="28"/>
    </w:p>
    <w:p>
      <w:pPr>
        <w:pStyle w:val="FirstParagraph"/>
      </w:pPr>
      <w:r>
        <w:t xml:space="preserve">Here are the settings to use inside the ThinLinc Client:</w:t>
      </w:r>
    </w:p>
    <w:p>
      <w:pPr>
        <w:numPr>
          <w:numId w:val="1004"/>
          <w:ilvl w:val="0"/>
        </w:numPr>
      </w:pPr>
      <w:r>
        <w:t xml:space="preserve">Server:</w:t>
      </w:r>
      <w:r>
        <w:t xml:space="preserve"> </w:t>
      </w:r>
      <w:r>
        <w:rPr>
          <w:rStyle w:val="VerbatimChar"/>
        </w:rPr>
        <w:t xml:space="preserve">desktop.scholar.rcac.purdue.edu</w:t>
      </w:r>
    </w:p>
    <w:p>
      <w:pPr>
        <w:numPr>
          <w:numId w:val="1004"/>
          <w:ilvl w:val="0"/>
        </w:numPr>
      </w:pPr>
      <w:r>
        <w:t xml:space="preserve">Username: your Purdue username without the</w:t>
      </w:r>
      <w:r>
        <w:t xml:space="preserve"> </w:t>
      </w:r>
      <w:r>
        <w:t xml:space="preserve">@purdue.edu</w:t>
      </w:r>
      <w:r>
        <w:t xml:space="preserve"> </w:t>
      </w:r>
      <w:r>
        <w:t xml:space="preserve">– for instance, Dr Ward’s username is:</w:t>
      </w:r>
      <w:r>
        <w:t xml:space="preserve"> </w:t>
      </w:r>
      <w:r>
        <w:rPr>
          <w:rStyle w:val="VerbatimChar"/>
        </w:rPr>
        <w:t xml:space="preserve">mdw</w:t>
      </w:r>
    </w:p>
    <w:p>
      <w:pPr>
        <w:numPr>
          <w:numId w:val="1004"/>
          <w:ilvl w:val="0"/>
        </w:numPr>
      </w:pPr>
      <w:r>
        <w:t xml:space="preserve">Password: your regular Purdue Career account password. (This is not BoilerKey.)</w:t>
      </w:r>
    </w:p>
    <w:p>
      <w:pPr>
        <w:numPr>
          <w:numId w:val="1004"/>
          <w:ilvl w:val="0"/>
        </w:numPr>
      </w:pPr>
      <w:r>
        <w:t xml:space="preserve">Options: Click on</w:t>
      </w:r>
      <w:r>
        <w:t xml:space="preserve"> </w:t>
      </w:r>
      <w:r>
        <w:t xml:space="preserve">“</w:t>
      </w:r>
      <w:r>
        <w:t xml:space="preserve">Options</w:t>
      </w:r>
      <w:r>
        <w:t xml:space="preserve">”</w:t>
      </w:r>
      <w:r>
        <w:t xml:space="preserve"> </w:t>
      </w:r>
      <w:r>
        <w:t xml:space="preserve">and when the window opens, choose the</w:t>
      </w:r>
      <w:r>
        <w:t xml:space="preserve"> </w:t>
      </w:r>
      <w:r>
        <w:t xml:space="preserve">“</w:t>
      </w:r>
      <w:r>
        <w:t xml:space="preserve">Screen</w:t>
      </w:r>
      <w:r>
        <w:t xml:space="preserve">”</w:t>
      </w:r>
      <w:r>
        <w:t xml:space="preserve"> </w:t>
      </w:r>
      <w:r>
        <w:t xml:space="preserve">tab, and do the following:</w:t>
      </w:r>
    </w:p>
    <w:p>
      <w:pPr>
        <w:numPr>
          <w:numId w:val="1005"/>
          <w:ilvl w:val="1"/>
        </w:numPr>
      </w:pPr>
      <w:r>
        <w:t xml:space="preserve">choose the</w:t>
      </w:r>
      <w:r>
        <w:t xml:space="preserve"> </w:t>
      </w:r>
      <w:r>
        <w:t xml:space="preserve">“</w:t>
      </w:r>
      <w:r>
        <w:t xml:space="preserve">Resize remote session to the local window</w:t>
      </w:r>
      <w:r>
        <w:t xml:space="preserve">”</w:t>
      </w:r>
    </w:p>
    <w:p>
      <w:pPr>
        <w:numPr>
          <w:numId w:val="1005"/>
          <w:ilvl w:val="1"/>
        </w:numPr>
      </w:pPr>
      <w:r>
        <w:t xml:space="preserve">do NOT choose Full screen mode, and do NOT enable full screen mode over all monitors</w:t>
      </w:r>
    </w:p>
    <w:p>
      <w:pPr>
        <w:numPr>
          <w:numId w:val="1004"/>
          <w:ilvl w:val="0"/>
        </w:numPr>
      </w:pPr>
      <w:r>
        <w:t xml:space="preserve">If you do accidentally get stuck in full screen mode, the F8 key will help you to escape.</w:t>
      </w:r>
    </w:p>
    <w:p>
      <w:pPr>
        <w:numPr>
          <w:numId w:val="1004"/>
          <w:ilvl w:val="0"/>
        </w:numPr>
      </w:pPr>
      <w:r>
        <w:t xml:space="preserve">NOTE: The very first time that you log onto Scholar, you will have an option of</w:t>
      </w:r>
      <w:r>
        <w:t xml:space="preserve"> </w:t>
      </w:r>
      <w:r>
        <w:t xml:space="preserve">“</w:t>
      </w:r>
      <w:r>
        <w:t xml:space="preserve">use default config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one empty panel</w:t>
      </w:r>
      <w:r>
        <w:t xml:space="preserve">”</w:t>
      </w:r>
      <w:r>
        <w:t xml:space="preserve">. PLEASE choose the</w:t>
      </w:r>
      <w:r>
        <w:t xml:space="preserve"> </w:t>
      </w:r>
      <w:r>
        <w:t xml:space="preserve">“</w:t>
      </w:r>
      <w:r>
        <w:t xml:space="preserve">use default config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motivationgoal"/>
      <w:r>
        <w:t xml:space="preserve">Motivation/Goal</w:t>
      </w:r>
      <w:bookmarkEnd w:id="29"/>
    </w:p>
    <w:p>
      <w:pPr>
        <w:pStyle w:val="FirstParagraph"/>
      </w:pPr>
      <w:r>
        <w:t xml:space="preserve">Last year, we studied some of the data contributed by individual donors in a specific election cycle. To kickoff this academic year, we remind ourselves about some of the basic techniques that we have learned. This is intended to bring back some fond memories!</w:t>
      </w:r>
    </w:p>
    <w:p>
      <w:pPr>
        <w:pStyle w:val="BodyText"/>
      </w:pPr>
      <w:r>
        <w:t xml:space="preserve">In this project we will learn about way that contributions to elections have changed over the years.</w:t>
      </w:r>
    </w:p>
    <w:p>
      <w:pPr>
        <w:pStyle w:val="Heading2"/>
      </w:pPr>
      <w:bookmarkStart w:id="30" w:name="scope-the-election-data"/>
      <w:r>
        <w:t xml:space="preserve">Scope: The Election Data</w:t>
      </w:r>
      <w:bookmarkEnd w:id="30"/>
    </w:p>
    <w:p>
      <w:pPr>
        <w:pStyle w:val="FirstParagraph"/>
      </w:pPr>
      <w:r>
        <w:t xml:space="preserve">Consider the data about contributions by individuals in each of the 21 (two-year) election cycles from 1979 to 2020. The data for those election cycles are given online here: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https://www.fec.gov/data/browse-data/?tab=bulk-data</w:t>
        </w:r>
      </w:hyperlink>
    </w:p>
    <w:p>
      <w:pPr>
        <w:pStyle w:val="BodyText"/>
      </w:pPr>
      <w:r>
        <w:t xml:space="preserve">under the heading</w:t>
      </w:r>
      <w:r>
        <w:t xml:space="preserve"> </w:t>
      </w:r>
      <w:r>
        <w:t xml:space="preserve">“</w:t>
      </w:r>
      <w:r>
        <w:t xml:space="preserve">contributions by individuals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data is documented online here:</w:t>
      </w:r>
    </w:p>
    <w:p>
      <w:pPr>
        <w:pStyle w:val="BodyText"/>
      </w:pPr>
      <w:hyperlink r:id="rId32">
        <w:r>
          <w:rPr>
            <w:rStyle w:val="Hyperlink"/>
          </w:rPr>
          <w:t xml:space="preserve">https://www.fec.gov/campaign-finance-data/contributions-individuals-file-description/</w:t>
        </w:r>
      </w:hyperlink>
    </w:p>
    <w:p>
      <w:pPr>
        <w:pStyle w:val="BodyText"/>
      </w:pPr>
      <w:r>
        <w:t xml:space="preserve">Of course, we emphasize that the method of reporting has changed somewhat over the years, so we cannot easily capture the contribution patterns with 1 graph… but we will make a first attempt to understand such patterns, by making a graph.</w:t>
      </w:r>
    </w:p>
    <w:p>
      <w:pPr>
        <w:pStyle w:val="BodyText"/>
      </w:pPr>
      <w:r>
        <w:t xml:space="preserve">For your convenience, the data from the 21 election cycles (including a header on each file) is already stored on Scholar here:</w:t>
      </w:r>
    </w:p>
    <w:p>
      <w:pPr>
        <w:pStyle w:val="BodyText"/>
      </w:pPr>
      <w:r>
        <w:rPr>
          <w:rStyle w:val="VerbatimChar"/>
        </w:rPr>
        <w:t xml:space="preserve">/class/datamine/data/election</w:t>
      </w:r>
    </w:p>
    <w:p>
      <w:pPr>
        <w:pStyle w:val="BodyText"/>
      </w:pPr>
      <w:r>
        <w:t xml:space="preserve">Notice that we expanded the amount of data available about election donations, and we moved the data to a new location. It was previously stored at:</w:t>
      </w:r>
      <w:r>
        <w:t xml:space="preserve"> </w:t>
      </w:r>
      <w:r>
        <w:rPr>
          <w:rStyle w:val="VerbatimChar"/>
        </w:rPr>
        <w:t xml:space="preserve">/depot/statclass/data/election2018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/depot/statclass/data/election2016</w:t>
      </w:r>
      <w:r>
        <w:t xml:space="preserve"> </w:t>
      </w:r>
      <w:r>
        <w:t xml:space="preserve">but now we have 21 election cycles of data stored on Scholar.</w:t>
      </w:r>
    </w:p>
    <w:p>
      <w:pPr>
        <w:pStyle w:val="Heading2"/>
      </w:pPr>
      <w:bookmarkStart w:id="33" w:name="question-1-number-of-donations-per-election-cycle"/>
      <w:r>
        <w:t xml:space="preserve">Question 1: Number of Donations per Election Cycle</w:t>
      </w:r>
      <w:bookmarkEnd w:id="33"/>
    </w:p>
    <w:p>
      <w:pPr>
        <w:pStyle w:val="FirstParagraph"/>
      </w:pPr>
      <w:r>
        <w:t xml:space="preserve">1a. Using the terminal, find the</w:t>
      </w:r>
      <w:r>
        <w:t xml:space="preserve"> </w:t>
      </w:r>
      <w:r>
        <w:rPr>
          <w:i/>
        </w:rPr>
        <w:t xml:space="preserve">numbers</w:t>
      </w:r>
      <w:r>
        <w:t xml:space="preserve"> </w:t>
      </w:r>
      <w:r>
        <w:t xml:space="preserve">of donations in</w:t>
      </w:r>
      <w:r>
        <w:t xml:space="preserve"> </w:t>
      </w:r>
      <w:r>
        <w:rPr>
          <w:i/>
        </w:rPr>
        <w:t xml:space="preserve">each</w:t>
      </w:r>
      <w:r>
        <w:t xml:space="preserve"> </w:t>
      </w:r>
      <w:r>
        <w:t xml:space="preserve">of the 21 election cycles.</w:t>
      </w:r>
    </w:p>
    <w:p>
      <w:pPr>
        <w:pStyle w:val="BodyText"/>
      </w:pPr>
      <w:r>
        <w:t xml:space="preserve">Note: It is OK if your count includes the header, i.e., if you are off by 1 in each count.</w:t>
      </w:r>
    </w:p>
    <w:p>
      <w:pPr>
        <w:pStyle w:val="BodyText"/>
      </w:pPr>
      <w:r>
        <w:t xml:space="preserve">Background reading: Although you can run 21 separate commands to answer question 1a, it is also possible to do this with just 1 simple line of UNIX. Please feel welcome to brush-up on your UNIX skills if needed. Two potential ways to do this are to check out Chapters 1, 3, 4, 5 in this book:</w:t>
      </w:r>
    </w:p>
    <w:p>
      <w:pPr>
        <w:pStyle w:val="BodyText"/>
      </w:pPr>
      <w:hyperlink r:id="rId34">
        <w:r>
          <w:rPr>
            <w:rStyle w:val="Hyperlink"/>
          </w:rPr>
          <w:t xml:space="preserve">http://proquestcombo.safaribooksonline.com.ezproxy.lib.purdue.edu/0596002610</w:t>
        </w:r>
      </w:hyperlink>
    </w:p>
    <w:p>
      <w:pPr>
        <w:pStyle w:val="BodyText"/>
      </w:pPr>
      <w:r>
        <w:t xml:space="preserve">or Chapters 1, 2, 4, 6 in this book:</w:t>
      </w:r>
    </w:p>
    <w:p>
      <w:pPr>
        <w:pStyle w:val="BodyText"/>
      </w:pPr>
      <w:hyperlink r:id="rId35">
        <w:r>
          <w:rPr>
            <w:rStyle w:val="Hyperlink"/>
          </w:rPr>
          <w:t xml:space="preserve">http://linuxcommand.org/tlcl.php</w:t>
        </w:r>
      </w:hyperlink>
    </w:p>
    <w:p>
      <w:pPr>
        <w:pStyle w:val="BodyText"/>
      </w:pPr>
      <w:r>
        <w:t xml:space="preserve">(Chapter 20 is worthwhile as a reminder of some ideas too, but not needed for this question)</w:t>
      </w:r>
    </w:p>
    <w:p>
      <w:pPr>
        <w:pStyle w:val="Heading2"/>
      </w:pPr>
      <w:bookmarkStart w:id="36" w:name="question-2-size-of-the-data-and-comparison-with-other-data-sets"/>
      <w:r>
        <w:t xml:space="preserve">Question 2: Size of the Data (and Comparison with other Data Sets)</w:t>
      </w:r>
      <w:bookmarkEnd w:id="36"/>
    </w:p>
    <w:p>
      <w:pPr>
        <w:pStyle w:val="FirstParagraph"/>
      </w:pPr>
      <w:r>
        <w:t xml:space="preserve">2a. The data for the elections is big, but it is not massive data. How many bytes are stored (altogether) in the 21 files?</w:t>
      </w:r>
    </w:p>
    <w:p>
      <w:pPr>
        <w:pStyle w:val="BodyText"/>
      </w:pPr>
      <w:r>
        <w:t xml:space="preserve">2b. As a side note, just for comparison, how many bytes are stored (altogether) in the yellow taxi cab data? This data is located in the directory:</w:t>
      </w:r>
    </w:p>
    <w:p>
      <w:pPr>
        <w:pStyle w:val="BodyText"/>
      </w:pPr>
      <w:r>
        <w:rPr>
          <w:rStyle w:val="VerbatimChar"/>
        </w:rPr>
        <w:t xml:space="preserve">/class/datamine/data/taxi/yellow</w:t>
      </w:r>
    </w:p>
    <w:p>
      <w:pPr>
        <w:pStyle w:val="Heading2"/>
      </w:pPr>
      <w:bookmarkStart w:id="37" w:name="question-3-trends-in-campaign-donations"/>
      <w:r>
        <w:t xml:space="preserve">Question 3: Trends in Campaign Donations</w:t>
      </w:r>
      <w:bookmarkEnd w:id="37"/>
    </w:p>
    <w:p>
      <w:pPr>
        <w:pStyle w:val="FirstParagraph"/>
      </w:pPr>
      <w:r>
        <w:t xml:space="preserve">3a. How does the trend in the number of donations look? Take the 21 points of data about the 21 election cycles, and make a plot in R that shows the trend. The y-axis should show the number of donations in each of the 21 election cycles, and the x-axis should show the years (1980, 1982, 1984, …, 2020). Reminder: the</w:t>
      </w:r>
      <w:r>
        <w:t xml:space="preserve"> </w:t>
      </w:r>
      <w:r>
        <w:t xml:space="preserve">“</w:t>
      </w:r>
      <w:r>
        <w:t xml:space="preserve">seq</w:t>
      </w:r>
      <w:r>
        <w:t xml:space="preserve">”</w:t>
      </w:r>
      <w:r>
        <w:t xml:space="preserve"> </w:t>
      </w:r>
      <w:r>
        <w:t xml:space="preserve">command in R could easily be used to create the data for the x-axis. It is OK to create a new variable for year (manually). It is not necessary to extract the year out of the file name.</w:t>
      </w:r>
    </w:p>
    <w:p>
      <w:pPr>
        <w:pStyle w:val="BodyText"/>
      </w:pPr>
      <w:r>
        <w:t xml:space="preserve">3b. Since the data in recent years is so large, it tends to swamp the data from a few years ago, and it is difficult to understand the trend. Modify the plot in question 3a, so that the y-axis shows the logarithm of the number of donations in each election cycle.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linuxcommand.org/tlcl.php" TargetMode="External" /><Relationship Type="http://schemas.openxmlformats.org/officeDocument/2006/relationships/hyperlink" Id="rId34" Target="http://proquestcombo.safaribooksonline.com.ezproxy.lib.purdue.edu/0596002610" TargetMode="External" /><Relationship Type="http://schemas.openxmlformats.org/officeDocument/2006/relationships/hyperlink" Id="rId20" Target="https://classroom.github.com/a/PBr7CuA6" TargetMode="External" /><Relationship Type="http://schemas.openxmlformats.org/officeDocument/2006/relationships/hyperlink" Id="rId23" Target="https://desktop.scholar.rcac.purdue.edu" TargetMode="External" /><Relationship Type="http://schemas.openxmlformats.org/officeDocument/2006/relationships/hyperlink" Id="rId25" Target="https://www.cendio.com/downloads/clients/tl-4.10.0-client-windows.exe" TargetMode="External" /><Relationship Type="http://schemas.openxmlformats.org/officeDocument/2006/relationships/hyperlink" Id="rId26" Target="https://www.cendio.com/downloads/clients/tl-4.10.0_6068-client-macos.iso" TargetMode="External" /><Relationship Type="http://schemas.openxmlformats.org/officeDocument/2006/relationships/hyperlink" Id="rId27" Target="https://www.cendio.com/thinlinc/download" TargetMode="External" /><Relationship Type="http://schemas.openxmlformats.org/officeDocument/2006/relationships/hyperlink" Id="rId32" Target="https://www.fec.gov/campaign-finance-data/contributions-individuals-file-description/" TargetMode="External" /><Relationship Type="http://schemas.openxmlformats.org/officeDocument/2006/relationships/hyperlink" Id="rId31" Target="https://www.fec.gov/data/browse-data/?tab=bulk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linuxcommand.org/tlcl.php" TargetMode="External" /><Relationship Type="http://schemas.openxmlformats.org/officeDocument/2006/relationships/hyperlink" Id="rId34" Target="http://proquestcombo.safaribooksonline.com.ezproxy.lib.purdue.edu/0596002610" TargetMode="External" /><Relationship Type="http://schemas.openxmlformats.org/officeDocument/2006/relationships/hyperlink" Id="rId20" Target="https://classroom.github.com/a/PBr7CuA6" TargetMode="External" /><Relationship Type="http://schemas.openxmlformats.org/officeDocument/2006/relationships/hyperlink" Id="rId23" Target="https://desktop.scholar.rcac.purdue.edu" TargetMode="External" /><Relationship Type="http://schemas.openxmlformats.org/officeDocument/2006/relationships/hyperlink" Id="rId25" Target="https://www.cendio.com/downloads/clients/tl-4.10.0-client-windows.exe" TargetMode="External" /><Relationship Type="http://schemas.openxmlformats.org/officeDocument/2006/relationships/hyperlink" Id="rId26" Target="https://www.cendio.com/downloads/clients/tl-4.10.0_6068-client-macos.iso" TargetMode="External" /><Relationship Type="http://schemas.openxmlformats.org/officeDocument/2006/relationships/hyperlink" Id="rId27" Target="https://www.cendio.com/thinlinc/download" TargetMode="External" /><Relationship Type="http://schemas.openxmlformats.org/officeDocument/2006/relationships/hyperlink" Id="rId32" Target="https://www.fec.gov/campaign-finance-data/contributions-individuals-file-description/" TargetMode="External" /><Relationship Type="http://schemas.openxmlformats.org/officeDocument/2006/relationships/hyperlink" Id="rId31" Target="https://www.fec.gov/data/browse-data/?tab=bulk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29000 Project 1</dc:title>
  <dc:creator/>
  <cp:keywords/>
  <dcterms:created xsi:type="dcterms:W3CDTF">2019-09-09T11:52:16Z</dcterms:created>
  <dcterms:modified xsi:type="dcterms:W3CDTF">2019-09-09T11:52:16Z</dcterms:modified>
</cp:coreProperties>
</file>